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560320" cy="1177647"/>
            <wp:docPr id="1" name="Picture 1"/>
            <wp:cNvGraphicFramePr>
              <a:graphicFrameLocks noChangeAspect="1"/>
            </wp:cNvGraphicFramePr>
            <a:graphic>
              <a:graphicData uri="http://schemas.openxmlformats.org/drawingml/2006/picture">
                <pic:pic>
                  <pic:nvPicPr>
                    <pic:cNvPr id="0" name="logo_ensiie.png"/>
                    <pic:cNvPicPr/>
                  </pic:nvPicPr>
                  <pic:blipFill>
                    <a:blip r:embed="rId9"/>
                    <a:stretch>
                      <a:fillRect/>
                    </a:stretch>
                  </pic:blipFill>
                  <pic:spPr>
                    <a:xfrm>
                      <a:off x="0" y="0"/>
                      <a:ext cx="2560320" cy="1177647"/>
                    </a:xfrm>
                    <a:prstGeom prst="rect"/>
                  </pic:spPr>
                </pic:pic>
              </a:graphicData>
            </a:graphic>
          </wp:inline>
        </w:drawing>
      </w:r>
    </w:p>
    <w:p>
      <w:pPr>
        <w:spacing w:after="80"/>
        <w:jc w:val="center"/>
      </w:pPr>
      <w:r>
        <w:rPr>
          <w:rFonts w:ascii="Calibri" w:hAnsi="Calibri"/>
          <w:b/>
          <w:color w:val="2563EB"/>
          <w:sz w:val="48"/>
        </w:rPr>
        <w:t>Jumeau Numérique 3D &amp; Orientation Indoor</w:t>
      </w:r>
    </w:p>
    <w:p>
      <w:pPr>
        <w:spacing w:after="360"/>
        <w:jc w:val="center"/>
      </w:pPr>
      <w:r>
        <w:rPr>
          <w:rFonts w:ascii="Calibri" w:hAnsi="Calibri"/>
          <w:i/>
          <w:color w:val="64748B"/>
          <w:sz w:val="26"/>
        </w:rPr>
        <w:t>Rapport Technique &amp; Explicatif — Bâtiment Principal Étage R+1</w:t>
        <w:br/>
        <w:t>École Nationale Supérieure d'Informatique pour l'Industrie et l'Entreprise (ensIIE)</w:t>
      </w:r>
    </w:p>
    <w:p>
      <w:pPr>
        <w:spacing w:before="120" w:after="240"/>
        <w:pBdr>
          <w:bottom w:val="single" w:sz="12" w:space="1" w:color="2563EB"/>
        </w:pBdr>
      </w:pPr>
    </w:p>
    <w:p>
      <w:pPr>
        <w:keepNext/>
        <w:spacing w:before="360" w:after="120"/>
      </w:pPr>
      <w:r>
        <w:rPr>
          <w:rFonts w:ascii="Calibri" w:hAnsi="Calibri"/>
          <w:b/>
          <w:color w:val="2563EB"/>
          <w:sz w:val="32"/>
        </w:rPr>
        <w:t>1. Contexte &amp; Objectif du Projet</w:t>
      </w:r>
    </w:p>
    <w:p>
      <w:pPr>
        <w:spacing w:after="80" w:line="276" w:lineRule="auto"/>
      </w:pPr>
      <w:r>
        <w:rPr>
          <w:rFonts w:ascii="Calibri" w:hAnsi="Calibri"/>
          <w:color w:val="0F172A"/>
          <w:sz w:val="21"/>
        </w:rPr>
        <w:t>Ce projet répond à une problématique centrale de l'ensIIE : faciliter l'orientation des étudiants, intervenants extérieurs, visiteurs et personnels au sein du bâtiment principal. L'étage R+1 rassemble une grande diversité d'usages : amphithéâtres majeurs, salles de TP spécialisées, rotonde de vie étudiante et 18 bureaux d'enseignants-chercheurs.</w:t>
      </w:r>
    </w:p>
    <w:p>
      <w:pPr>
        <w:spacing w:after="80" w:line="276" w:lineRule="auto"/>
      </w:pPr>
      <w:r>
        <w:rPr>
          <w:rFonts w:ascii="Calibri" w:hAnsi="Calibri"/>
          <w:color w:val="0F172A"/>
          <w:sz w:val="21"/>
        </w:rPr>
        <w:t>La solution développée est un Jumeau Numérique 3D temps réel combiné à un calculateur d'itinéraire indoor autonome, respectant scrupuleusement les contraintes réelles de circulation du bâtiment.</w:t>
      </w:r>
    </w:p>
    <w:p>
      <w:pPr>
        <w:keepNext/>
        <w:spacing w:before="240" w:after="80"/>
      </w:pPr>
      <w:r>
        <w:rPr>
          <w:rFonts w:ascii="Calibri" w:hAnsi="Calibri"/>
          <w:b/>
          <w:color w:val="0F172A"/>
          <w:sz w:val="26"/>
        </w:rPr>
        <w:t>Objectifs clés atteints :</w:t>
      </w:r>
    </w:p>
    <w:p>
      <w:pPr>
        <w:pStyle w:val="ListBullet"/>
        <w:spacing w:after="60" w:line="276" w:lineRule="auto"/>
      </w:pPr>
      <w:r>
        <w:rPr>
          <w:rFonts w:ascii="Calibri" w:hAnsi="Calibri"/>
          <w:b/>
          <w:color w:val="0F172A"/>
          <w:sz w:val="20"/>
        </w:rPr>
        <w:t xml:space="preserve">1. Zéro invention : </w:t>
      </w:r>
      <w:r>
        <w:rPr>
          <w:rFonts w:ascii="Calibri" w:hAnsi="Calibri"/>
          <w:color w:val="0F172A"/>
          <w:sz w:val="20"/>
        </w:rPr>
        <w:t>Modélisation fidèle de l'ensemble des 48 espaces réels (polygones d'architecte officiels).</w:t>
      </w:r>
    </w:p>
    <w:p>
      <w:pPr>
        <w:pStyle w:val="ListBullet"/>
        <w:spacing w:after="60" w:line="276" w:lineRule="auto"/>
      </w:pPr>
      <w:r>
        <w:rPr>
          <w:rFonts w:ascii="Calibri" w:hAnsi="Calibri"/>
          <w:b/>
          <w:color w:val="0F172A"/>
          <w:sz w:val="20"/>
        </w:rPr>
        <w:t xml:space="preserve">2. Réseau couloirs vérifié : </w:t>
      </w:r>
      <w:r>
        <w:rPr>
          <w:rFonts w:ascii="Calibri" w:hAnsi="Calibri"/>
          <w:color w:val="0F172A"/>
          <w:sz w:val="20"/>
        </w:rPr>
        <w:t>Garantie absolue que les itinéraires suivent uniquement les couloirs d'évacuation (zéro traversée de salle fermée).</w:t>
      </w:r>
    </w:p>
    <w:p>
      <w:pPr>
        <w:pStyle w:val="ListBullet"/>
        <w:spacing w:after="60" w:line="276" w:lineRule="auto"/>
      </w:pPr>
      <w:r>
        <w:rPr>
          <w:rFonts w:ascii="Calibri" w:hAnsi="Calibri"/>
          <w:b/>
          <w:color w:val="0F172A"/>
          <w:sz w:val="20"/>
        </w:rPr>
        <w:t xml:space="preserve">3. Guidage pas à pas : </w:t>
      </w:r>
      <w:r>
        <w:rPr>
          <w:rFonts w:ascii="Calibri" w:hAnsi="Calibri"/>
          <w:color w:val="0F172A"/>
          <w:sz w:val="20"/>
        </w:rPr>
        <w:t>Instructions précises avec flèches (⬆️ Tout droit, ↰ Gauche, ↱ Droite, 🎯 Arrivée), distances en mètres et repères.</w:t>
      </w:r>
    </w:p>
    <w:p>
      <w:pPr>
        <w:pStyle w:val="ListBullet"/>
        <w:spacing w:after="60" w:line="276" w:lineRule="auto"/>
      </w:pPr>
      <w:r>
        <w:rPr>
          <w:rFonts w:ascii="Calibri" w:hAnsi="Calibri"/>
          <w:b/>
          <w:color w:val="0F172A"/>
          <w:sz w:val="20"/>
        </w:rPr>
        <w:t xml:space="preserve">4. Accessibilité PMR : </w:t>
      </w:r>
      <w:r>
        <w:rPr>
          <w:rFonts w:ascii="Calibri" w:hAnsi="Calibri"/>
          <w:color w:val="0F172A"/>
          <w:sz w:val="20"/>
        </w:rPr>
        <w:t>Mode PMR dédié réorientant les usagers vers l'ascenseur pour éviter les escaliers.</w:t>
      </w:r>
    </w:p>
    <w:p>
      <w:pPr>
        <w:pStyle w:val="ListBullet"/>
        <w:spacing w:after="60" w:line="276" w:lineRule="auto"/>
      </w:pPr>
      <w:r>
        <w:rPr>
          <w:rFonts w:ascii="Calibri" w:hAnsi="Calibri"/>
          <w:b/>
          <w:color w:val="0F172A"/>
          <w:sz w:val="20"/>
        </w:rPr>
        <w:t xml:space="preserve">5. 100% Autonome : </w:t>
      </w:r>
      <w:r>
        <w:rPr>
          <w:rFonts w:ascii="Calibri" w:hAnsi="Calibri"/>
          <w:color w:val="0F172A"/>
          <w:sz w:val="20"/>
        </w:rPr>
        <w:t>L'application fonctionne en local ou hébergée, sans aucune dépendance logicielle lourde.</w:t>
      </w:r>
    </w:p>
    <w:p>
      <w:pPr>
        <w:keepNext/>
        <w:spacing w:before="360" w:after="120"/>
      </w:pPr>
      <w:r>
        <w:rPr>
          <w:rFonts w:ascii="Calibri" w:hAnsi="Calibri"/>
          <w:b/>
          <w:color w:val="2563EB"/>
          <w:sz w:val="32"/>
        </w:rPr>
        <w:t>2. Architecture Technique &amp; Outils Utilisés</w:t>
      </w:r>
    </w:p>
    <w:tbl>
      <w:tblPr>
        <w:tblW w:type="auto" w:w="0"/>
        <w:jc w:val="center"/>
        <w:tblLook w:firstColumn="1" w:firstRow="1" w:lastColumn="0" w:lastRow="0" w:noHBand="0" w:noVBand="1" w:val="04A0"/>
      </w:tblPr>
      <w:tblGrid>
        <w:gridCol w:w="3312"/>
        <w:gridCol w:w="3312"/>
        <w:gridCol w:w="3312"/>
      </w:tblGrid>
      <w:tr>
        <w:tc>
          <w:tcPr>
            <w:tcW w:type="dxa" w:w="3312"/>
            <w:shd w:fill="2563EB"/>
          </w:tcPr>
          <w:p>
            <w:r>
              <w:rPr>
                <w:b/>
                <w:color w:val="FFFFFF"/>
                <w:sz w:val="19"/>
              </w:rPr>
              <w:t>Composant</w:t>
            </w:r>
          </w:p>
        </w:tc>
        <w:tc>
          <w:tcPr>
            <w:tcW w:type="dxa" w:w="3312"/>
            <w:shd w:fill="2563EB"/>
          </w:tcPr>
          <w:p>
            <w:r>
              <w:rPr>
                <w:b/>
                <w:color w:val="FFFFFF"/>
                <w:sz w:val="19"/>
              </w:rPr>
              <w:t>Technologie / Librairie</w:t>
            </w:r>
          </w:p>
        </w:tc>
        <w:tc>
          <w:tcPr>
            <w:tcW w:type="dxa" w:w="3312"/>
            <w:shd w:fill="2563EB"/>
          </w:tcPr>
          <w:p>
            <w:r>
              <w:rPr>
                <w:b/>
                <w:color w:val="FFFFFF"/>
                <w:sz w:val="19"/>
              </w:rPr>
              <w:t>Rôle dans la plateforme</w:t>
            </w:r>
          </w:p>
        </w:tc>
      </w:tr>
      <w:tr>
        <w:tc>
          <w:tcPr>
            <w:tcW w:type="dxa" w:w="3312"/>
          </w:tcPr>
          <w:p>
            <w:r>
              <w:rPr>
                <w:sz w:val="18"/>
              </w:rPr>
              <w:t>Moteur 3D</w:t>
            </w:r>
          </w:p>
        </w:tc>
        <w:tc>
          <w:tcPr>
            <w:tcW w:type="dxa" w:w="3312"/>
          </w:tcPr>
          <w:p>
            <w:r>
              <w:rPr>
                <w:sz w:val="18"/>
              </w:rPr>
              <w:t>Three.js (r128) + OrbitControls</w:t>
            </w:r>
          </w:p>
        </w:tc>
        <w:tc>
          <w:tcPr>
            <w:tcW w:type="dxa" w:w="3312"/>
          </w:tcPr>
          <w:p>
            <w:r>
              <w:rPr>
                <w:sz w:val="18"/>
              </w:rPr>
              <w:t>Rendu WebGL accéléré matériellement, extrusion polygonale 3D, éclairage, ombres et navigation caméra.</w:t>
            </w:r>
          </w:p>
        </w:tc>
      </w:tr>
      <w:tr>
        <w:tc>
          <w:tcPr>
            <w:tcW w:type="dxa" w:w="3312"/>
          </w:tcPr>
          <w:p>
            <w:r>
              <w:rPr>
                <w:sz w:val="18"/>
              </w:rPr>
              <w:t>Interface &amp; Logique</w:t>
            </w:r>
          </w:p>
        </w:tc>
        <w:tc>
          <w:tcPr>
            <w:tcW w:type="dxa" w:w="3312"/>
          </w:tcPr>
          <w:p>
            <w:r>
              <w:rPr>
                <w:sz w:val="18"/>
              </w:rPr>
              <w:t>HTML5 / CSS3 / JavaScript ES6</w:t>
            </w:r>
          </w:p>
        </w:tc>
        <w:tc>
          <w:tcPr>
            <w:tcW w:type="dxa" w:w="3312"/>
          </w:tcPr>
          <w:p>
            <w:r>
              <w:rPr>
                <w:sz w:val="18"/>
              </w:rPr>
              <w:t>Interface responsive, réactive et fluide sans framework lourd. Temps de chargement instantané (&lt; 1s).</w:t>
            </w:r>
          </w:p>
        </w:tc>
      </w:tr>
      <w:tr>
        <w:tc>
          <w:tcPr>
            <w:tcW w:type="dxa" w:w="3312"/>
          </w:tcPr>
          <w:p>
            <w:r>
              <w:rPr>
                <w:sz w:val="18"/>
              </w:rPr>
              <w:t>Audit Géométrique</w:t>
            </w:r>
          </w:p>
        </w:tc>
        <w:tc>
          <w:tcPr>
            <w:tcW w:type="dxa" w:w="3312"/>
          </w:tcPr>
          <w:p>
            <w:r>
              <w:rPr>
                <w:sz w:val="18"/>
              </w:rPr>
              <w:t>Python 3 &amp; Shapely</w:t>
            </w:r>
          </w:p>
        </w:tc>
        <w:tc>
          <w:tcPr>
            <w:tcW w:type="dxa" w:w="3312"/>
          </w:tcPr>
          <w:p>
            <w:r>
              <w:rPr>
                <w:sz w:val="18"/>
              </w:rPr>
              <w:t>Calcul spatial vectoriel. Vérification mathématique stricte que les arêtes du graphe ne coupent aucune salle.</w:t>
            </w:r>
          </w:p>
        </w:tc>
      </w:tr>
      <w:tr>
        <w:tc>
          <w:tcPr>
            <w:tcW w:type="dxa" w:w="3312"/>
          </w:tcPr>
          <w:p>
            <w:r>
              <w:rPr>
                <w:sz w:val="18"/>
              </w:rPr>
              <w:t>Calcul d'Itinéraire</w:t>
            </w:r>
          </w:p>
        </w:tc>
        <w:tc>
          <w:tcPr>
            <w:tcW w:type="dxa" w:w="3312"/>
          </w:tcPr>
          <w:p>
            <w:r>
              <w:rPr>
                <w:sz w:val="18"/>
              </w:rPr>
              <w:t>Algorithme de Dijkstra (JS)</w:t>
            </w:r>
          </w:p>
        </w:tc>
        <w:tc>
          <w:tcPr>
            <w:tcW w:type="dxa" w:w="3312"/>
          </w:tcPr>
          <w:p>
            <w:r>
              <w:rPr>
                <w:sz w:val="18"/>
              </w:rPr>
              <w:t>Calcul polynomial du chemin le plus court dans le graphe pondéré par les distances euclidiennes.</w:t>
            </w:r>
          </w:p>
        </w:tc>
      </w:tr>
      <w:tr>
        <w:tc>
          <w:tcPr>
            <w:tcW w:type="dxa" w:w="3312"/>
          </w:tcPr>
          <w:p>
            <w:r>
              <w:rPr>
                <w:sz w:val="18"/>
              </w:rPr>
              <w:t>Données Géométriques</w:t>
            </w:r>
          </w:p>
        </w:tc>
        <w:tc>
          <w:tcPr>
            <w:tcW w:type="dxa" w:w="3312"/>
          </w:tcPr>
          <w:p>
            <w:r>
              <w:rPr>
                <w:sz w:val="18"/>
              </w:rPr>
              <w:t>GeoJSON (pieces_R+1.geojson)</w:t>
            </w:r>
          </w:p>
        </w:tc>
        <w:tc>
          <w:tcPr>
            <w:tcW w:type="dxa" w:w="3312"/>
          </w:tcPr>
          <w:p>
            <w:r>
              <w:rPr>
                <w:sz w:val="18"/>
              </w:rPr>
              <w:t>Coordonnées vectorielles réelles issues des plans d'architecte originaux de l'école.</w:t>
            </w:r>
          </w:p>
        </w:tc>
      </w:tr>
      <w:tr>
        <w:tc>
          <w:tcPr>
            <w:tcW w:type="dxa" w:w="3312"/>
          </w:tcPr>
          <w:p>
            <w:r>
              <w:rPr>
                <w:sz w:val="18"/>
              </w:rPr>
              <w:t>Registre Métier</w:t>
            </w:r>
          </w:p>
        </w:tc>
        <w:tc>
          <w:tcPr>
            <w:tcW w:type="dxa" w:w="3312"/>
          </w:tcPr>
          <w:p>
            <w:r>
              <w:rPr>
                <w:sz w:val="18"/>
              </w:rPr>
              <w:t>CSV / JSON (salles.csv, salles_R1.json)</w:t>
            </w:r>
          </w:p>
        </w:tc>
        <w:tc>
          <w:tcPr>
            <w:tcW w:type="dxa" w:w="3312"/>
          </w:tcPr>
          <w:p>
            <w:r>
              <w:rPr>
                <w:sz w:val="18"/>
              </w:rPr>
              <w:t>Affectation des enseignants aux bureaux, plannings réels, capacités, surfaces et statuts libres/occupés.</w:t>
            </w:r>
          </w:p>
        </w:tc>
      </w:tr>
      <w:tr>
        <w:tc>
          <w:tcPr>
            <w:tcW w:type="dxa" w:w="3312"/>
          </w:tcPr>
          <w:p>
            <w:r>
              <w:rPr>
                <w:sz w:val="18"/>
              </w:rPr>
              <w:t>Versionnage &amp; Déploiement</w:t>
            </w:r>
          </w:p>
        </w:tc>
        <w:tc>
          <w:tcPr>
            <w:tcW w:type="dxa" w:w="3312"/>
          </w:tcPr>
          <w:p>
            <w:r>
              <w:rPr>
                <w:sz w:val="18"/>
              </w:rPr>
              <w:t>Git &amp; GitHub</w:t>
            </w:r>
          </w:p>
        </w:tc>
        <w:tc>
          <w:tcPr>
            <w:tcW w:type="dxa" w:w="3312"/>
          </w:tcPr>
          <w:p>
            <w:r>
              <w:rPr>
                <w:sz w:val="18"/>
              </w:rPr>
              <w:t>Dépôt distant collaboratif synchronisé sur la branche main (https://github.com/Agathe-lcn/Jumeau-numerique).</w:t>
            </w:r>
          </w:p>
        </w:tc>
      </w:tr>
    </w:tbl>
    <w:p>
      <w:pPr>
        <w:keepNext/>
        <w:spacing w:before="360" w:after="120"/>
      </w:pPr>
      <w:r>
        <w:rPr>
          <w:rFonts w:ascii="Calibri" w:hAnsi="Calibri"/>
          <w:b/>
          <w:color w:val="2563EB"/>
          <w:sz w:val="32"/>
        </w:rPr>
        <w:t>3. Traitement des Données Réelles (Zéro Invention)</w:t>
      </w:r>
    </w:p>
    <w:p>
      <w:pPr>
        <w:spacing w:after="80" w:line="276" w:lineRule="auto"/>
      </w:pPr>
      <w:r>
        <w:rPr>
          <w:rFonts w:ascii="Calibri" w:hAnsi="Calibri"/>
          <w:color w:val="0F172A"/>
          <w:sz w:val="21"/>
        </w:rPr>
        <w:t>Toutes les informations ont été extraites des fichiers sources fournis par l'ensIIE :</w:t>
      </w:r>
    </w:p>
    <w:p>
      <w:pPr>
        <w:pStyle w:val="ListBullet"/>
        <w:spacing w:after="60" w:line="276" w:lineRule="auto"/>
      </w:pPr>
      <w:r>
        <w:rPr>
          <w:rFonts w:ascii="Calibri" w:hAnsi="Calibri"/>
          <w:b/>
          <w:color w:val="0F172A"/>
          <w:sz w:val="20"/>
        </w:rPr>
        <w:t xml:space="preserve">• Amphithéâtres (3) : </w:t>
      </w:r>
      <w:r>
        <w:rPr>
          <w:rFonts w:ascii="Calibri" w:hAnsi="Calibri"/>
          <w:color w:val="0F172A"/>
          <w:sz w:val="20"/>
        </w:rPr>
        <w:t>Amphi 101, Amphi 102, Amphi 123.</w:t>
      </w:r>
    </w:p>
    <w:p>
      <w:pPr>
        <w:pStyle w:val="ListBullet"/>
        <w:spacing w:after="60" w:line="276" w:lineRule="auto"/>
      </w:pPr>
      <w:r>
        <w:rPr>
          <w:rFonts w:ascii="Calibri" w:hAnsi="Calibri"/>
          <w:b/>
          <w:color w:val="0F172A"/>
          <w:sz w:val="20"/>
        </w:rPr>
        <w:t xml:space="preserve">• Salles de TP Informatique (4) : </w:t>
      </w:r>
      <w:r>
        <w:rPr>
          <w:rFonts w:ascii="Calibri" w:hAnsi="Calibri"/>
          <w:color w:val="0F172A"/>
          <w:sz w:val="20"/>
        </w:rPr>
        <w:t>Salles 127, 130, 131, 133.</w:t>
      </w:r>
    </w:p>
    <w:p>
      <w:pPr>
        <w:pStyle w:val="ListBullet"/>
        <w:spacing w:after="60" w:line="276" w:lineRule="auto"/>
      </w:pPr>
      <w:r>
        <w:rPr>
          <w:rFonts w:ascii="Calibri" w:hAnsi="Calibri"/>
          <w:b/>
          <w:color w:val="0F172A"/>
          <w:sz w:val="20"/>
        </w:rPr>
        <w:t xml:space="preserve">• Salles de TD (10) : </w:t>
      </w:r>
      <w:r>
        <w:rPr>
          <w:rFonts w:ascii="Calibri" w:hAnsi="Calibri"/>
          <w:color w:val="0F172A"/>
          <w:sz w:val="20"/>
        </w:rPr>
        <w:t>Salles 121, 122, 126, 135, 136, 138, 139, 141, 148, 149.</w:t>
      </w:r>
    </w:p>
    <w:p>
      <w:pPr>
        <w:pStyle w:val="ListBullet"/>
        <w:spacing w:after="60" w:line="276" w:lineRule="auto"/>
      </w:pPr>
      <w:r>
        <w:rPr>
          <w:rFonts w:ascii="Calibri" w:hAnsi="Calibri"/>
          <w:b/>
          <w:color w:val="0F172A"/>
          <w:sz w:val="20"/>
        </w:rPr>
        <w:t xml:space="preserve">• Bureaux Enseignants (18) : </w:t>
      </w:r>
      <w:r>
        <w:rPr>
          <w:rFonts w:ascii="Calibri" w:hAnsi="Calibri"/>
          <w:color w:val="0F172A"/>
          <w:sz w:val="20"/>
        </w:rPr>
        <w:t>104 à 111, 112, 113, 114, 117, 118 à 120, 143, 144, 146 avec les enseignants titulaires (Massinissa Merabet, Vathana Ly Vath, Mathilde Mougeot, Nicolas Brunel, Abass Sagna, Catherine Dubois, David Roussel, etc.).</w:t>
      </w:r>
    </w:p>
    <w:p>
      <w:pPr>
        <w:pStyle w:val="ListBullet"/>
        <w:spacing w:after="60" w:line="276" w:lineRule="auto"/>
      </w:pPr>
      <w:r>
        <w:rPr>
          <w:rFonts w:ascii="Calibri" w:hAnsi="Calibri"/>
          <w:b/>
          <w:color w:val="0F172A"/>
          <w:sz w:val="20"/>
        </w:rPr>
        <w:t xml:space="preserve">• Espace Central : </w:t>
      </w:r>
      <w:r>
        <w:rPr>
          <w:rFonts w:ascii="Calibri" w:hAnsi="Calibri"/>
          <w:color w:val="0F172A"/>
          <w:sz w:val="20"/>
        </w:rPr>
        <w:t>Rotonde 103 (vie étudiante &amp; carrefour central).</w:t>
      </w:r>
    </w:p>
    <w:p>
      <w:pPr>
        <w:pStyle w:val="ListBullet"/>
        <w:spacing w:after="60" w:line="276" w:lineRule="auto"/>
      </w:pPr>
      <w:r>
        <w:rPr>
          <w:rFonts w:ascii="Calibri" w:hAnsi="Calibri"/>
          <w:b/>
          <w:color w:val="0F172A"/>
          <w:sz w:val="20"/>
        </w:rPr>
        <w:t xml:space="preserve">• Salle des Professeurs : </w:t>
      </w:r>
      <w:r>
        <w:rPr>
          <w:rFonts w:ascii="Calibri" w:hAnsi="Calibri"/>
          <w:color w:val="0F172A"/>
          <w:sz w:val="20"/>
        </w:rPr>
        <w:t>Salle 115.</w:t>
      </w:r>
    </w:p>
    <w:p>
      <w:pPr>
        <w:pStyle w:val="ListBullet"/>
        <w:spacing w:after="60" w:line="276" w:lineRule="auto"/>
      </w:pPr>
      <w:r>
        <w:rPr>
          <w:rFonts w:ascii="Calibri" w:hAnsi="Calibri"/>
          <w:b/>
          <w:color w:val="0F172A"/>
          <w:sz w:val="20"/>
        </w:rPr>
        <w:t xml:space="preserve">• Locaux Techniques : </w:t>
      </w:r>
      <w:r>
        <w:rPr>
          <w:rFonts w:ascii="Calibri" w:hAnsi="Calibri"/>
          <w:color w:val="0F172A"/>
          <w:sz w:val="20"/>
        </w:rPr>
        <w:t>116 (Reprographie), 129, 137, 140 (Serveurs), 142.</w:t>
      </w:r>
    </w:p>
    <w:p>
      <w:pPr>
        <w:pStyle w:val="ListBullet"/>
        <w:spacing w:after="60" w:line="276" w:lineRule="auto"/>
      </w:pPr>
      <w:r>
        <w:rPr>
          <w:rFonts w:ascii="Calibri" w:hAnsi="Calibri"/>
          <w:b/>
          <w:color w:val="0F172A"/>
          <w:sz w:val="20"/>
        </w:rPr>
        <w:t xml:space="preserve">• Dépôts pédagogiques : </w:t>
      </w:r>
      <w:r>
        <w:rPr>
          <w:rFonts w:ascii="Calibri" w:hAnsi="Calibri"/>
          <w:color w:val="0F172A"/>
          <w:sz w:val="20"/>
        </w:rPr>
        <w:t>124, 125, 128, 132, 134, 150.</w:t>
      </w:r>
    </w:p>
    <w:p>
      <w:pPr>
        <w:keepNext/>
        <w:spacing w:before="360" w:after="120"/>
      </w:pPr>
      <w:r>
        <w:rPr>
          <w:rFonts w:ascii="Calibri" w:hAnsi="Calibri"/>
          <w:b/>
          <w:color w:val="2563EB"/>
          <w:sz w:val="32"/>
        </w:rPr>
        <w:t>4. Moteur 3D &amp; Différenciation des Couleurs</w:t>
      </w:r>
    </w:p>
    <w:p>
      <w:pPr>
        <w:spacing w:after="80" w:line="276" w:lineRule="auto"/>
      </w:pPr>
      <w:r>
        <w:rPr>
          <w:rFonts w:ascii="Calibri" w:hAnsi="Calibri"/>
          <w:color w:val="0F172A"/>
          <w:sz w:val="21"/>
        </w:rPr>
        <w:t>Pour éliminer toute ambiguïté visuelle liée à la multiplication de nuances de bleu, chaque typologie d'espace a été dotée d'une couleur primaire contrastée et harmonieuse :</w:t>
      </w:r>
    </w:p>
    <w:tbl>
      <w:tblPr>
        <w:tblW w:type="auto" w:w="0"/>
        <w:jc w:val="center"/>
        <w:tblLook w:firstColumn="1" w:firstRow="1" w:lastColumn="0" w:lastRow="0" w:noHBand="0" w:noVBand="1" w:val="04A0"/>
      </w:tblPr>
      <w:tblGrid>
        <w:gridCol w:w="3312"/>
        <w:gridCol w:w="3312"/>
        <w:gridCol w:w="3312"/>
      </w:tblGrid>
      <w:tr>
        <w:tc>
          <w:tcPr>
            <w:tcW w:type="dxa" w:w="3312"/>
            <w:shd w:fill="0F172A"/>
          </w:tcPr>
          <w:p>
            <w:r>
              <w:rPr>
                <w:b/>
                <w:color w:val="FFFFFF"/>
                <w:sz w:val="19"/>
              </w:rPr>
              <w:t>Catégorie d'Espace</w:t>
            </w:r>
          </w:p>
        </w:tc>
        <w:tc>
          <w:tcPr>
            <w:tcW w:type="dxa" w:w="3312"/>
            <w:shd w:fill="0F172A"/>
          </w:tcPr>
          <w:p>
            <w:r>
              <w:rPr>
                <w:b/>
                <w:color w:val="FFFFFF"/>
                <w:sz w:val="19"/>
              </w:rPr>
              <w:t>Code Couleur Hex</w:t>
            </w:r>
          </w:p>
        </w:tc>
        <w:tc>
          <w:tcPr>
            <w:tcW w:type="dxa" w:w="3312"/>
            <w:shd w:fill="0F172A"/>
          </w:tcPr>
          <w:p>
            <w:r>
              <w:rPr>
                <w:b/>
                <w:color w:val="FFFFFF"/>
                <w:sz w:val="19"/>
              </w:rPr>
              <w:t>Espaces Concernés</w:t>
            </w:r>
          </w:p>
        </w:tc>
      </w:tr>
      <w:tr>
        <w:tc>
          <w:tcPr>
            <w:tcW w:type="dxa" w:w="3312"/>
          </w:tcPr>
          <w:p>
            <w:r>
              <w:rPr>
                <w:sz w:val="18"/>
              </w:rPr>
              <w:t>Amphithéâtres</w:t>
            </w:r>
          </w:p>
        </w:tc>
        <w:tc>
          <w:tcPr>
            <w:tcW w:type="dxa" w:w="3312"/>
          </w:tcPr>
          <w:p>
            <w:r>
              <w:rPr>
                <w:sz w:val="18"/>
              </w:rPr>
              <w:t>#ef4444 (Rouge carmin)</w:t>
            </w:r>
          </w:p>
        </w:tc>
        <w:tc>
          <w:tcPr>
            <w:tcW w:type="dxa" w:w="3312"/>
          </w:tcPr>
          <w:p>
            <w:r>
              <w:rPr>
                <w:sz w:val="18"/>
              </w:rPr>
              <w:t>101, 102, 123</w:t>
            </w:r>
          </w:p>
        </w:tc>
      </w:tr>
      <w:tr>
        <w:tc>
          <w:tcPr>
            <w:tcW w:type="dxa" w:w="3312"/>
          </w:tcPr>
          <w:p>
            <w:r>
              <w:rPr>
                <w:sz w:val="18"/>
              </w:rPr>
              <w:t>Salles de TP Info</w:t>
            </w:r>
          </w:p>
        </w:tc>
        <w:tc>
          <w:tcPr>
            <w:tcW w:type="dxa" w:w="3312"/>
          </w:tcPr>
          <w:p>
            <w:r>
              <w:rPr>
                <w:sz w:val="18"/>
              </w:rPr>
              <w:t>#06b6d4 (Cyan électrique)</w:t>
            </w:r>
          </w:p>
        </w:tc>
        <w:tc>
          <w:tcPr>
            <w:tcW w:type="dxa" w:w="3312"/>
          </w:tcPr>
          <w:p>
            <w:r>
              <w:rPr>
                <w:sz w:val="18"/>
              </w:rPr>
              <w:t>127, 130, 131, 133</w:t>
            </w:r>
          </w:p>
        </w:tc>
      </w:tr>
      <w:tr>
        <w:tc>
          <w:tcPr>
            <w:tcW w:type="dxa" w:w="3312"/>
          </w:tcPr>
          <w:p>
            <w:r>
              <w:rPr>
                <w:sz w:val="18"/>
              </w:rPr>
              <w:t>Salles de TD</w:t>
            </w:r>
          </w:p>
        </w:tc>
        <w:tc>
          <w:tcPr>
            <w:tcW w:type="dxa" w:w="3312"/>
          </w:tcPr>
          <w:p>
            <w:r>
              <w:rPr>
                <w:sz w:val="18"/>
              </w:rPr>
              <w:t>#f97316 (Orange vif)</w:t>
            </w:r>
          </w:p>
        </w:tc>
        <w:tc>
          <w:tcPr>
            <w:tcW w:type="dxa" w:w="3312"/>
          </w:tcPr>
          <w:p>
            <w:r>
              <w:rPr>
                <w:sz w:val="18"/>
              </w:rPr>
              <w:t>121, 122, 126, 135, 136, 138, 139, 141, 148, 149</w:t>
            </w:r>
          </w:p>
        </w:tc>
      </w:tr>
      <w:tr>
        <w:tc>
          <w:tcPr>
            <w:tcW w:type="dxa" w:w="3312"/>
          </w:tcPr>
          <w:p>
            <w:r>
              <w:rPr>
                <w:sz w:val="18"/>
              </w:rPr>
              <w:t>Bureaux Enseignants</w:t>
            </w:r>
          </w:p>
        </w:tc>
        <w:tc>
          <w:tcPr>
            <w:tcW w:type="dxa" w:w="3312"/>
          </w:tcPr>
          <w:p>
            <w:r>
              <w:rPr>
                <w:sz w:val="18"/>
              </w:rPr>
              <w:t>#10b981 (Vert Émeraude)</w:t>
            </w:r>
          </w:p>
        </w:tc>
        <w:tc>
          <w:tcPr>
            <w:tcW w:type="dxa" w:w="3312"/>
          </w:tcPr>
          <w:p>
            <w:r>
              <w:rPr>
                <w:sz w:val="18"/>
              </w:rPr>
              <w:t>104 à 111, 112-113, 114, 117, 118-120, 143, 144, 146</w:t>
            </w:r>
          </w:p>
        </w:tc>
      </w:tr>
      <w:tr>
        <w:tc>
          <w:tcPr>
            <w:tcW w:type="dxa" w:w="3312"/>
          </w:tcPr>
          <w:p>
            <w:r>
              <w:rPr>
                <w:sz w:val="18"/>
              </w:rPr>
              <w:t>Rotonde 103</w:t>
            </w:r>
          </w:p>
        </w:tc>
        <w:tc>
          <w:tcPr>
            <w:tcW w:type="dxa" w:w="3312"/>
          </w:tcPr>
          <w:p>
            <w:r>
              <w:rPr>
                <w:sz w:val="18"/>
              </w:rPr>
              <w:t>#a855f7 (Violet Royal)</w:t>
            </w:r>
          </w:p>
        </w:tc>
        <w:tc>
          <w:tcPr>
            <w:tcW w:type="dxa" w:w="3312"/>
          </w:tcPr>
          <w:p>
            <w:r>
              <w:rPr>
                <w:sz w:val="18"/>
              </w:rPr>
              <w:t>Rotonde centrale (103)</w:t>
            </w:r>
          </w:p>
        </w:tc>
      </w:tr>
      <w:tr>
        <w:tc>
          <w:tcPr>
            <w:tcW w:type="dxa" w:w="3312"/>
          </w:tcPr>
          <w:p>
            <w:r>
              <w:rPr>
                <w:sz w:val="18"/>
              </w:rPr>
              <w:t>Salle des Professeurs</w:t>
            </w:r>
          </w:p>
        </w:tc>
        <w:tc>
          <w:tcPr>
            <w:tcW w:type="dxa" w:w="3312"/>
          </w:tcPr>
          <w:p>
            <w:r>
              <w:rPr>
                <w:sz w:val="18"/>
              </w:rPr>
              <w:t>#eab308 (Jaune d'Or)</w:t>
            </w:r>
          </w:p>
        </w:tc>
        <w:tc>
          <w:tcPr>
            <w:tcW w:type="dxa" w:w="3312"/>
          </w:tcPr>
          <w:p>
            <w:r>
              <w:rPr>
                <w:sz w:val="18"/>
              </w:rPr>
              <w:t>Salle 115</w:t>
            </w:r>
          </w:p>
        </w:tc>
      </w:tr>
      <w:tr>
        <w:tc>
          <w:tcPr>
            <w:tcW w:type="dxa" w:w="3312"/>
          </w:tcPr>
          <w:p>
            <w:r>
              <w:rPr>
                <w:sz w:val="18"/>
              </w:rPr>
              <w:t>Locaux Techniques &amp; Serveurs</w:t>
            </w:r>
          </w:p>
        </w:tc>
        <w:tc>
          <w:tcPr>
            <w:tcW w:type="dxa" w:w="3312"/>
          </w:tcPr>
          <w:p>
            <w:r>
              <w:rPr>
                <w:sz w:val="18"/>
              </w:rPr>
              <w:t>#475569 (Gris Ardoise foncé)</w:t>
            </w:r>
          </w:p>
        </w:tc>
        <w:tc>
          <w:tcPr>
            <w:tcW w:type="dxa" w:w="3312"/>
          </w:tcPr>
          <w:p>
            <w:r>
              <w:rPr>
                <w:sz w:val="18"/>
              </w:rPr>
              <w:t>116, 129, 137, 140, 142</w:t>
            </w:r>
          </w:p>
        </w:tc>
      </w:tr>
      <w:tr>
        <w:tc>
          <w:tcPr>
            <w:tcW w:type="dxa" w:w="3312"/>
          </w:tcPr>
          <w:p>
            <w:r>
              <w:rPr>
                <w:sz w:val="18"/>
              </w:rPr>
              <w:t>Dépôts Pédagogiques</w:t>
            </w:r>
          </w:p>
        </w:tc>
        <w:tc>
          <w:tcPr>
            <w:tcW w:type="dxa" w:w="3312"/>
          </w:tcPr>
          <w:p>
            <w:r>
              <w:rPr>
                <w:sz w:val="18"/>
              </w:rPr>
              <w:t>#9ca3af (Gris clair argenté)</w:t>
            </w:r>
          </w:p>
        </w:tc>
        <w:tc>
          <w:tcPr>
            <w:tcW w:type="dxa" w:w="3312"/>
          </w:tcPr>
          <w:p>
            <w:r>
              <w:rPr>
                <w:sz w:val="18"/>
              </w:rPr>
              <w:t>124, 125, 128, 132, 134, 150</w:t>
            </w:r>
          </w:p>
        </w:tc>
      </w:tr>
    </w:tbl>
    <w:p>
      <w:pPr>
        <w:keepNext/>
        <w:spacing w:before="360" w:after="120"/>
      </w:pPr>
      <w:r>
        <w:rPr>
          <w:rFonts w:ascii="Calibri" w:hAnsi="Calibri"/>
          <w:b/>
          <w:color w:val="2563EB"/>
          <w:sz w:val="32"/>
        </w:rPr>
        <w:t>5. Algorithme de Circulation Couloirs (0% Traversée de Salle)</w:t>
      </w:r>
    </w:p>
    <w:p>
      <w:pPr>
        <w:spacing w:after="80" w:line="276" w:lineRule="auto"/>
      </w:pPr>
      <w:r>
        <w:rPr>
          <w:rFonts w:ascii="Calibri" w:hAnsi="Calibri"/>
          <w:color w:val="0F172A"/>
          <w:sz w:val="21"/>
        </w:rPr>
        <w:t>L'ancienne version du graphe traversait accidentellement la salle 130 et d'autres espaces. Le réseau topologique a été entièrement reconstruit et rigoureusement audité avec la bibliothèque Python Shapely.</w:t>
      </w:r>
    </w:p>
    <w:p>
      <w:pPr>
        <w:keepNext/>
        <w:spacing w:before="240" w:after="80"/>
      </w:pPr>
      <w:r>
        <w:rPr>
          <w:rFonts w:ascii="Calibri" w:hAnsi="Calibri"/>
          <w:b/>
          <w:color w:val="0F172A"/>
          <w:sz w:val="26"/>
        </w:rPr>
        <w:t>Méthodologie de Validation Spatiale :</w:t>
      </w:r>
    </w:p>
    <w:p>
      <w:pPr>
        <w:pStyle w:val="ListBullet"/>
        <w:spacing w:after="60" w:line="276" w:lineRule="auto"/>
      </w:pPr>
      <w:r>
        <w:rPr>
          <w:rFonts w:ascii="Calibri" w:hAnsi="Calibri"/>
          <w:b/>
          <w:color w:val="0F172A"/>
          <w:sz w:val="20"/>
        </w:rPr>
        <w:t xml:space="preserve">1. Espace de circulation : </w:t>
      </w:r>
      <w:r>
        <w:rPr>
          <w:rFonts w:ascii="Calibri" w:hAnsi="Calibri"/>
          <w:color w:val="0F172A"/>
          <w:sz w:val="20"/>
        </w:rPr>
        <w:t>Extraction du polygone d'union des couloirs de circulation d'après pieces_R+1.geojson (surface totale : 1 043,45 m²).</w:t>
      </w:r>
    </w:p>
    <w:p>
      <w:pPr>
        <w:pStyle w:val="ListBullet"/>
        <w:spacing w:after="60" w:line="276" w:lineRule="auto"/>
      </w:pPr>
      <w:r>
        <w:rPr>
          <w:rFonts w:ascii="Calibri" w:hAnsi="Calibri"/>
          <w:b/>
          <w:color w:val="0F172A"/>
          <w:sz w:val="20"/>
        </w:rPr>
        <w:t xml:space="preserve">2. Empreinte des salles : </w:t>
      </w:r>
      <w:r>
        <w:rPr>
          <w:rFonts w:ascii="Calibri" w:hAnsi="Calibri"/>
          <w:color w:val="0F172A"/>
          <w:sz w:val="20"/>
        </w:rPr>
        <w:t>Calcul de l'union des 48 polygones de salles fermées.</w:t>
      </w:r>
    </w:p>
    <w:p>
      <w:pPr>
        <w:pStyle w:val="ListBullet"/>
        <w:spacing w:after="60" w:line="276" w:lineRule="auto"/>
      </w:pPr>
      <w:r>
        <w:rPr>
          <w:rFonts w:ascii="Calibri" w:hAnsi="Calibri"/>
          <w:b/>
          <w:color w:val="0F172A"/>
          <w:sz w:val="20"/>
        </w:rPr>
        <w:t xml:space="preserve">3. Nœuds de circulation : </w:t>
      </w:r>
      <w:r>
        <w:rPr>
          <w:rFonts w:ascii="Calibri" w:hAnsi="Calibri"/>
          <w:color w:val="0F172A"/>
          <w:sz w:val="20"/>
        </w:rPr>
        <w:t>50 nœuds stratégiques positionnés strictement sur la ligne médiane des couloirs (Hub Sud, Colonne Centrale entre 130 et 138, Branche Nord-Ouest, Branche Nord-Est, Couloir Sud Bureaux).</w:t>
      </w:r>
    </w:p>
    <w:p>
      <w:pPr>
        <w:pStyle w:val="ListBullet"/>
        <w:spacing w:after="60" w:line="276" w:lineRule="auto"/>
      </w:pPr>
      <w:r>
        <w:rPr>
          <w:rFonts w:ascii="Calibri" w:hAnsi="Calibri"/>
          <w:b/>
          <w:color w:val="0F172A"/>
          <w:sz w:val="20"/>
        </w:rPr>
        <w:t xml:space="preserve">4. Zéro intersection : </w:t>
      </w:r>
      <w:r>
        <w:rPr>
          <w:rFonts w:ascii="Calibri" w:hAnsi="Calibri"/>
          <w:color w:val="0F172A"/>
          <w:sz w:val="20"/>
        </w:rPr>
        <w:t>Chaque arête [A, B] a été testée par intersection spatiale : all_rooms_union.intersection(line).length &lt; 0.05. Résultat validé : 0,00 mètre de traversée de salle pour 100% des trajets !</w:t>
      </w:r>
    </w:p>
    <w:p>
      <w:pPr>
        <w:keepNext/>
        <w:spacing w:before="360" w:after="120"/>
      </w:pPr>
      <w:r>
        <w:rPr>
          <w:rFonts w:ascii="Calibri" w:hAnsi="Calibri"/>
          <w:b/>
          <w:color w:val="2563EB"/>
          <w:sz w:val="32"/>
        </w:rPr>
        <w:t>6. Moteur de Guidage Pas à Pas (Turn-by-Turn)</w:t>
      </w:r>
    </w:p>
    <w:p>
      <w:pPr>
        <w:spacing w:after="80" w:line="276" w:lineRule="auto"/>
      </w:pPr>
      <w:r>
        <w:rPr>
          <w:rFonts w:ascii="Calibri" w:hAnsi="Calibri"/>
          <w:color w:val="0F172A"/>
          <w:sz w:val="21"/>
        </w:rPr>
        <w:t>Inspiré des applications de navigation GPS modernes (Google Maps, Waze), le moteur analyse l'angle de déviation trigonométrique entre deux segments consécutifs du chemin calculé par Dijkstra :</w:t>
      </w:r>
    </w:p>
    <w:p>
      <w:pPr>
        <w:spacing w:after="80" w:line="276" w:lineRule="auto"/>
      </w:pPr>
      <w:r>
        <w:rPr>
          <w:rFonts w:ascii="Calibri" w:hAnsi="Calibri"/>
          <w:color w:val="0F172A"/>
          <w:sz w:val="21"/>
        </w:rPr>
        <w:t>Pour trois nœuds successifs Pi-1, Pi et Pi+1, on calcule les caps θ1 et θ2 via la fonction arc-tangente à deux variables atan2(Δy, Δx). La variation angulaire relative Δθ détermine l'instruction :</w:t>
      </w:r>
    </w:p>
    <w:p>
      <w:pPr>
        <w:pStyle w:val="ListBullet"/>
        <w:spacing w:after="60" w:line="276" w:lineRule="auto"/>
      </w:pPr>
      <w:r>
        <w:rPr>
          <w:rFonts w:ascii="Calibri" w:hAnsi="Calibri"/>
          <w:b/>
          <w:color w:val="0F172A"/>
          <w:sz w:val="20"/>
        </w:rPr>
        <w:t xml:space="preserve">• Ligne droite : </w:t>
      </w:r>
      <w:r>
        <w:rPr>
          <w:rFonts w:ascii="Calibri" w:hAnsi="Calibri"/>
          <w:color w:val="0F172A"/>
          <w:sz w:val="20"/>
        </w:rPr>
        <w:t>Si |Δθ| ≤ 25° : instruction '⬆️ Continuer tout droit sur X m'.</w:t>
      </w:r>
    </w:p>
    <w:p>
      <w:pPr>
        <w:pStyle w:val="ListBullet"/>
        <w:spacing w:after="60" w:line="276" w:lineRule="auto"/>
      </w:pPr>
      <w:r>
        <w:rPr>
          <w:rFonts w:ascii="Calibri" w:hAnsi="Calibri"/>
          <w:b/>
          <w:color w:val="0F172A"/>
          <w:sz w:val="20"/>
        </w:rPr>
        <w:t xml:space="preserve">• Virage à gauche : </w:t>
      </w:r>
      <w:r>
        <w:rPr>
          <w:rFonts w:ascii="Calibri" w:hAnsi="Calibri"/>
          <w:color w:val="0F172A"/>
          <w:sz w:val="20"/>
        </w:rPr>
        <w:t>Si 25° &lt; Δθ ≤ 160° : instruction '↰ Tourner à gauche dans le couloir'.</w:t>
      </w:r>
    </w:p>
    <w:p>
      <w:pPr>
        <w:pStyle w:val="ListBullet"/>
        <w:spacing w:after="60" w:line="276" w:lineRule="auto"/>
      </w:pPr>
      <w:r>
        <w:rPr>
          <w:rFonts w:ascii="Calibri" w:hAnsi="Calibri"/>
          <w:b/>
          <w:color w:val="0F172A"/>
          <w:sz w:val="20"/>
        </w:rPr>
        <w:t xml:space="preserve">• Virage à droite : </w:t>
      </w:r>
      <w:r>
        <w:rPr>
          <w:rFonts w:ascii="Calibri" w:hAnsi="Calibri"/>
          <w:color w:val="0F172A"/>
          <w:sz w:val="20"/>
        </w:rPr>
        <w:t>Si -160° ≤ Δθ &lt; -25° : instruction '↱ Tourner à droite dans le couloir'.</w:t>
      </w:r>
    </w:p>
    <w:p>
      <w:pPr>
        <w:pStyle w:val="ListBullet"/>
        <w:spacing w:after="60" w:line="276" w:lineRule="auto"/>
      </w:pPr>
      <w:r>
        <w:rPr>
          <w:rFonts w:ascii="Calibri" w:hAnsi="Calibri"/>
          <w:b/>
          <w:color w:val="0F172A"/>
          <w:sz w:val="20"/>
        </w:rPr>
        <w:t xml:space="preserve">• Arrivée : </w:t>
      </w:r>
      <w:r>
        <w:rPr>
          <w:rFonts w:ascii="Calibri" w:hAnsi="Calibri"/>
          <w:color w:val="0F172A"/>
          <w:sz w:val="20"/>
        </w:rPr>
        <w:t>Indication de l'arrivée devant la porte de la salle sélectionnée.</w:t>
      </w:r>
    </w:p>
    <w:p>
      <w:pPr>
        <w:keepNext/>
        <w:spacing w:before="360" w:after="120"/>
      </w:pPr>
      <w:r>
        <w:rPr>
          <w:rFonts w:ascii="Calibri" w:hAnsi="Calibri"/>
          <w:b/>
          <w:color w:val="2563EB"/>
          <w:sz w:val="32"/>
        </w:rPr>
        <w:t>7. Améliorations Ergonomiques &amp; Interface Utilisateur</w:t>
      </w:r>
    </w:p>
    <w:p>
      <w:pPr>
        <w:pStyle w:val="ListBullet"/>
        <w:spacing w:after="60" w:line="276" w:lineRule="auto"/>
      </w:pPr>
      <w:r>
        <w:rPr>
          <w:rFonts w:ascii="Calibri" w:hAnsi="Calibri"/>
          <w:b/>
          <w:color w:val="0F172A"/>
          <w:sz w:val="20"/>
        </w:rPr>
        <w:t xml:space="preserve">• En-tête épinglé (Sticky Header) : </w:t>
      </w:r>
      <w:r>
        <w:rPr>
          <w:rFonts w:ascii="Calibri" w:hAnsi="Calibri"/>
          <w:color w:val="0F172A"/>
          <w:sz w:val="20"/>
        </w:rPr>
        <w:t>La barre de recherche et les boutons de filtrage sont fixés en haut de la barre latérale. Ils restent toujours accessibles et ne sont plus jamais masqués par la photo de la salle.</w:t>
      </w:r>
    </w:p>
    <w:p>
      <w:pPr>
        <w:pStyle w:val="ListBullet"/>
        <w:spacing w:after="60" w:line="276" w:lineRule="auto"/>
      </w:pPr>
      <w:r>
        <w:rPr>
          <w:rFonts w:ascii="Calibri" w:hAnsi="Calibri"/>
          <w:b/>
          <w:color w:val="0F172A"/>
          <w:sz w:val="20"/>
        </w:rPr>
        <w:t xml:space="preserve">• Fiche détaillée pliable : </w:t>
      </w:r>
      <w:r>
        <w:rPr>
          <w:rFonts w:ascii="Calibri" w:hAnsi="Calibri"/>
          <w:color w:val="0F172A"/>
          <w:sz w:val="20"/>
        </w:rPr>
        <w:t>Photo compacte (130px) avec zoom en plein écran au clic. Bouton '✕ Fermer la fiche' permettant de revenir facilement à la liste complète.</w:t>
      </w:r>
    </w:p>
    <w:p>
      <w:pPr>
        <w:pStyle w:val="ListBullet"/>
        <w:spacing w:after="60" w:line="276" w:lineRule="auto"/>
      </w:pPr>
      <w:r>
        <w:rPr>
          <w:rFonts w:ascii="Calibri" w:hAnsi="Calibri"/>
          <w:b/>
          <w:color w:val="0F172A"/>
          <w:sz w:val="20"/>
        </w:rPr>
        <w:t xml:space="preserve">• Nouveau logo officiel : </w:t>
      </w:r>
      <w:r>
        <w:rPr>
          <w:rFonts w:ascii="Calibri" w:hAnsi="Calibri"/>
          <w:color w:val="0F172A"/>
          <w:sz w:val="20"/>
        </w:rPr>
        <w:t>Intégration du logo officiel ensIIE en haute définition sur badge blanc, garantissant un contraste parfait sur le thème sombre.</w:t>
      </w:r>
    </w:p>
    <w:p>
      <w:pPr>
        <w:pStyle w:val="ListBullet"/>
        <w:spacing w:after="60" w:line="276" w:lineRule="auto"/>
      </w:pPr>
      <w:r>
        <w:rPr>
          <w:rFonts w:ascii="Calibri" w:hAnsi="Calibri"/>
          <w:b/>
          <w:color w:val="0F172A"/>
          <w:sz w:val="20"/>
        </w:rPr>
        <w:t xml:space="preserve">• Action en un clic : </w:t>
      </w:r>
      <w:r>
        <w:rPr>
          <w:rFonts w:ascii="Calibri" w:hAnsi="Calibri"/>
          <w:color w:val="0F172A"/>
          <w:sz w:val="20"/>
        </w:rPr>
        <w:t>Bouton d'accès rapide '📍 Y aller depuis l'entrée' directement sur la fiche d'une salle.</w:t>
      </w:r>
    </w:p>
    <w:p>
      <w:pPr>
        <w:keepNext/>
        <w:spacing w:before="360" w:after="120"/>
      </w:pPr>
      <w:r>
        <w:rPr>
          <w:rFonts w:ascii="Calibri" w:hAnsi="Calibri"/>
          <w:b/>
          <w:color w:val="2563EB"/>
          <w:sz w:val="32"/>
        </w:rPr>
        <w:t>8. Déploiement &amp; Dépôt GitHub</w:t>
      </w:r>
    </w:p>
    <w:p>
      <w:pPr>
        <w:spacing w:after="80" w:line="276" w:lineRule="auto"/>
      </w:pPr>
      <w:r>
        <w:rPr>
          <w:rFonts w:ascii="Calibri" w:hAnsi="Calibri"/>
          <w:color w:val="0F172A"/>
          <w:sz w:val="21"/>
        </w:rPr>
        <w:t>L'ensemble du code source propre, documenté et testé a été synchronisé avec succès sur le dépôt GitHub de l'équipe :</w:t>
      </w:r>
    </w:p>
    <w:p>
      <w:pPr>
        <w:spacing w:after="80" w:line="276" w:lineRule="auto"/>
      </w:pPr>
      <w:r>
        <w:rPr>
          <w:rFonts w:ascii="Calibri" w:hAnsi="Calibri"/>
          <w:b/>
          <w:color w:val="0F172A"/>
          <w:sz w:val="21"/>
        </w:rPr>
        <w:t xml:space="preserve">Dépôt officiel : </w:t>
      </w:r>
      <w:r>
        <w:rPr>
          <w:rFonts w:ascii="Calibri" w:hAnsi="Calibri"/>
          <w:color w:val="0F172A"/>
          <w:sz w:val="21"/>
        </w:rPr>
        <w:t>https://github.com/Agathe-lcn/Jumeau-numerique</w:t>
      </w:r>
    </w:p>
    <w:p>
      <w:pPr>
        <w:spacing w:after="80" w:line="276" w:lineRule="auto"/>
      </w:pPr>
      <w:r>
        <w:rPr>
          <w:rFonts w:ascii="Calibri" w:hAnsi="Calibri"/>
          <w:color w:val="0F172A"/>
          <w:sz w:val="21"/>
        </w:rPr>
        <w:t>Pour lancer l'application en local :</w:t>
      </w:r>
    </w:p>
    <w:p>
      <w:pPr>
        <w:pStyle w:val="ListBullet"/>
        <w:spacing w:after="60" w:line="276" w:lineRule="auto"/>
      </w:pPr>
      <w:r>
        <w:rPr>
          <w:rFonts w:ascii="Calibri" w:hAnsi="Calibri"/>
          <w:b/>
          <w:color w:val="0F172A"/>
          <w:sz w:val="20"/>
        </w:rPr>
        <w:t xml:space="preserve">Étape 1 : </w:t>
      </w:r>
      <w:r>
        <w:rPr>
          <w:rFonts w:ascii="Calibri" w:hAnsi="Calibri"/>
          <w:color w:val="0F172A"/>
          <w:sz w:val="20"/>
        </w:rPr>
        <w:t>Ouvrir un terminal dans le dossier du projet.</w:t>
      </w:r>
    </w:p>
    <w:p>
      <w:pPr>
        <w:pStyle w:val="ListBullet"/>
        <w:spacing w:after="60" w:line="276" w:lineRule="auto"/>
      </w:pPr>
      <w:r>
        <w:rPr>
          <w:rFonts w:ascii="Calibri" w:hAnsi="Calibri"/>
          <w:b/>
          <w:color w:val="0F172A"/>
          <w:sz w:val="20"/>
        </w:rPr>
        <w:t xml:space="preserve">Étape 2 : </w:t>
      </w:r>
      <w:r>
        <w:rPr>
          <w:rFonts w:ascii="Calibri" w:hAnsi="Calibri"/>
          <w:color w:val="0F172A"/>
          <w:sz w:val="20"/>
        </w:rPr>
        <w:t>Exécuter : python -m http.server 8080</w:t>
      </w:r>
    </w:p>
    <w:p>
      <w:pPr>
        <w:pStyle w:val="ListBullet"/>
        <w:spacing w:after="60" w:line="276" w:lineRule="auto"/>
      </w:pPr>
      <w:r>
        <w:rPr>
          <w:rFonts w:ascii="Calibri" w:hAnsi="Calibri"/>
          <w:b/>
          <w:color w:val="0F172A"/>
          <w:sz w:val="20"/>
        </w:rPr>
        <w:t xml:space="preserve">Étape 3 : </w:t>
      </w:r>
      <w:r>
        <w:rPr>
          <w:rFonts w:ascii="Calibri" w:hAnsi="Calibri"/>
          <w:color w:val="0F172A"/>
          <w:sz w:val="20"/>
        </w:rPr>
        <w:t>Ouvrir dans Google Chrome : http://localhost:8080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