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drawing>
          <wp:inline xmlns:a="http://schemas.openxmlformats.org/drawingml/2006/main" xmlns:pic="http://schemas.openxmlformats.org/drawingml/2006/picture">
            <wp:extent cx="2286000" cy="1051471"/>
            <wp:docPr id="1" name="Picture 1"/>
            <wp:cNvGraphicFramePr>
              <a:graphicFrameLocks noChangeAspect="1"/>
            </wp:cNvGraphicFramePr>
            <a:graphic>
              <a:graphicData uri="http://schemas.openxmlformats.org/drawingml/2006/picture">
                <pic:pic>
                  <pic:nvPicPr>
                    <pic:cNvPr id="0" name="logo_ensiie.png"/>
                    <pic:cNvPicPr/>
                  </pic:nvPicPr>
                  <pic:blipFill>
                    <a:blip r:embed="rId9"/>
                    <a:stretch>
                      <a:fillRect/>
                    </a:stretch>
                  </pic:blipFill>
                  <pic:spPr>
                    <a:xfrm>
                      <a:off x="0" y="0"/>
                      <a:ext cx="2286000" cy="1051471"/>
                    </a:xfrm>
                    <a:prstGeom prst="rect"/>
                  </pic:spPr>
                </pic:pic>
              </a:graphicData>
            </a:graphic>
          </wp:inline>
        </w:drawing>
      </w:r>
    </w:p>
    <w:p>
      <w:pPr>
        <w:spacing w:after="80"/>
        <w:jc w:val="center"/>
      </w:pPr>
      <w:r>
        <w:rPr>
          <w:rFonts w:ascii="Calibri" w:hAnsi="Calibri"/>
          <w:b/>
          <w:color w:val="2563EB"/>
          <w:sz w:val="44"/>
        </w:rPr>
        <w:t>JUMEAU NUMÉRIQUE 3D &amp; ORIENTATION INDOOR</w:t>
      </w:r>
    </w:p>
    <w:p>
      <w:pPr>
        <w:spacing w:after="320"/>
        <w:jc w:val="center"/>
      </w:pPr>
      <w:r>
        <w:rPr>
          <w:rFonts w:ascii="Calibri" w:hAnsi="Calibri"/>
          <w:i/>
          <w:color w:val="64748B"/>
          <w:sz w:val="24"/>
        </w:rPr>
        <w:t>Dossier Technique &amp; Explicatif Exhaustif — Étage R+1 du Bâtiment Principal</w:t>
        <w:br/>
        <w:t>École Nationale Supérieure d'Informatique pour l'Industrie et l'Entreprise (ensIIE)</w:t>
      </w:r>
    </w:p>
    <w:p>
      <w:pPr>
        <w:spacing w:before="80" w:after="200"/>
        <w:pBdr>
          <w:bottom w:val="single" w:sz="12" w:space="1" w:color="2563EB"/>
        </w:pBdr>
      </w:pPr>
    </w:p>
    <w:p>
      <w:pPr>
        <w:keepNext/>
        <w:spacing w:before="320" w:after="120"/>
      </w:pPr>
      <w:r>
        <w:rPr>
          <w:rFonts w:ascii="Calibri" w:hAnsi="Calibri"/>
          <w:b/>
          <w:color w:val="2563EB"/>
          <w:sz w:val="30"/>
        </w:rPr>
        <w:t>1. Contexte &amp; Objectifs du Projet</w:t>
      </w:r>
    </w:p>
    <w:p>
      <w:pPr>
        <w:spacing w:after="80" w:line="276" w:lineRule="auto"/>
      </w:pPr>
      <w:r>
        <w:rPr>
          <w:rFonts w:ascii="Calibri" w:hAnsi="Calibri"/>
          <w:color w:val="0F172A"/>
          <w:sz w:val="20"/>
        </w:rPr>
        <w:t>L'étage R+1 du bâtiment principal de l'ensIIE est le cœur névralgique académique de l'école. Il concentre les grands amphithéâtres (101, 102, 123), 4 salles de TP informatique, 10 salles de TD, la Rotonde centrale étudiante, ainsi que 18 bureaux d'enseignants-chercheurs et de la direction.</w:t>
      </w:r>
    </w:p>
    <w:p>
      <w:pPr>
        <w:spacing w:after="80" w:line="276" w:lineRule="auto"/>
      </w:pPr>
      <w:r>
        <w:rPr>
          <w:rFonts w:ascii="Calibri" w:hAnsi="Calibri"/>
          <w:color w:val="0F172A"/>
          <w:sz w:val="20"/>
        </w:rPr>
        <w:t>Ce projet a été conçu pour résoudre le problème récurrent d'orientation rencontré par les nouveaux étudiants, les conférenciers, les entreprises et les personnes à mobilité réduite (PMR).</w:t>
      </w:r>
    </w:p>
    <w:p>
      <w:pPr>
        <w:keepNext/>
        <w:spacing w:before="220" w:after="80"/>
      </w:pPr>
      <w:r>
        <w:rPr>
          <w:rFonts w:ascii="Calibri" w:hAnsi="Calibri"/>
          <w:b/>
          <w:color w:val="0F172A"/>
          <w:sz w:val="25"/>
        </w:rPr>
        <w:t>Les 5 piliers de la solution :</w:t>
      </w:r>
    </w:p>
    <w:p>
      <w:pPr>
        <w:pStyle w:val="ListBullet"/>
        <w:spacing w:after="50" w:line="276" w:lineRule="auto"/>
      </w:pPr>
      <w:r>
        <w:rPr>
          <w:rFonts w:ascii="Calibri" w:hAnsi="Calibri"/>
          <w:b/>
          <w:color w:val="0F172A"/>
          <w:sz w:val="19"/>
        </w:rPr>
        <w:t xml:space="preserve">1. Réalisme Absolu : </w:t>
      </w:r>
      <w:r>
        <w:rPr>
          <w:rFonts w:ascii="Calibri" w:hAnsi="Calibri"/>
          <w:color w:val="0F172A"/>
          <w:sz w:val="19"/>
        </w:rPr>
        <w:t>Aucune salle approximative. Chaque espace provient fidèlement des plans architecturaux d'origine (GeoJSON officiel).</w:t>
      </w:r>
    </w:p>
    <w:p>
      <w:pPr>
        <w:pStyle w:val="ListBullet"/>
        <w:spacing w:after="50" w:line="276" w:lineRule="auto"/>
      </w:pPr>
      <w:r>
        <w:rPr>
          <w:rFonts w:ascii="Calibri" w:hAnsi="Calibri"/>
          <w:b/>
          <w:color w:val="0F172A"/>
          <w:sz w:val="19"/>
        </w:rPr>
        <w:t xml:space="preserve">2. Guidage 100% Couloirs : </w:t>
      </w:r>
      <w:r>
        <w:rPr>
          <w:rFonts w:ascii="Calibri" w:hAnsi="Calibri"/>
          <w:color w:val="0F172A"/>
          <w:sz w:val="19"/>
        </w:rPr>
        <w:t>Calcul mathématique rigoureux garantissant que 100% des itinéraires restent dans les couloirs et ne traversent jamais une salle fermée.</w:t>
      </w:r>
    </w:p>
    <w:p>
      <w:pPr>
        <w:pStyle w:val="ListBullet"/>
        <w:spacing w:after="50" w:line="276" w:lineRule="auto"/>
      </w:pPr>
      <w:r>
        <w:rPr>
          <w:rFonts w:ascii="Calibri" w:hAnsi="Calibri"/>
          <w:b/>
          <w:color w:val="0F172A"/>
          <w:sz w:val="19"/>
        </w:rPr>
        <w:t xml:space="preserve">3. Guidage Pas à Pas : </w:t>
      </w:r>
      <w:r>
        <w:rPr>
          <w:rFonts w:ascii="Calibri" w:hAnsi="Calibri"/>
          <w:color w:val="0F172A"/>
          <w:sz w:val="19"/>
        </w:rPr>
        <w:t>Instructions GPS claires avec flèches de direction (⬆️ Tout droit, ↰ Tourner à gauche, ↱ Tourner à droite) et distances réelles.</w:t>
      </w:r>
    </w:p>
    <w:p>
      <w:pPr>
        <w:pStyle w:val="ListBullet"/>
        <w:spacing w:after="50" w:line="276" w:lineRule="auto"/>
      </w:pPr>
      <w:r>
        <w:rPr>
          <w:rFonts w:ascii="Calibri" w:hAnsi="Calibri"/>
          <w:b/>
          <w:color w:val="0F172A"/>
          <w:sz w:val="19"/>
        </w:rPr>
        <w:t xml:space="preserve">4. Ergonomie Visuelle : </w:t>
      </w:r>
      <w:r>
        <w:rPr>
          <w:rFonts w:ascii="Calibri" w:hAnsi="Calibri"/>
          <w:color w:val="0F172A"/>
          <w:sz w:val="19"/>
        </w:rPr>
        <w:t>Code couleur contrasté éliminant les confusions de nuances de bleu (Amphis en rouge, TP en cyan, TD en orange, Bureaux en vert, Rotonde en violet).</w:t>
      </w:r>
    </w:p>
    <w:p>
      <w:pPr>
        <w:pStyle w:val="ListBullet"/>
        <w:spacing w:after="50" w:line="276" w:lineRule="auto"/>
      </w:pPr>
      <w:r>
        <w:rPr>
          <w:rFonts w:ascii="Calibri" w:hAnsi="Calibri"/>
          <w:b/>
          <w:color w:val="0F172A"/>
          <w:sz w:val="19"/>
        </w:rPr>
        <w:t xml:space="preserve">5. Autonomie Complète : </w:t>
      </w:r>
      <w:r>
        <w:rPr>
          <w:rFonts w:ascii="Calibri" w:hAnsi="Calibri"/>
          <w:color w:val="0F172A"/>
          <w:sz w:val="19"/>
        </w:rPr>
        <w:t>L'application fonctionne immédiatement dans n'importe quel navigateur via HTTP local ou hébergé, sans installation préalable de logiciel.</w:t>
      </w:r>
    </w:p>
    <w:p>
      <w:pPr>
        <w:keepNext/>
        <w:spacing w:before="320" w:after="120"/>
      </w:pPr>
      <w:r>
        <w:rPr>
          <w:rFonts w:ascii="Calibri" w:hAnsi="Calibri"/>
          <w:b/>
          <w:color w:val="2563EB"/>
          <w:sz w:val="30"/>
        </w:rPr>
        <w:t>2. Architecture Système &amp; Stack Technologique</w:t>
      </w:r>
    </w:p>
    <w:p>
      <w:pPr>
        <w:spacing w:after="80" w:line="276" w:lineRule="auto"/>
      </w:pPr>
      <w:r>
        <w:rPr>
          <w:rFonts w:ascii="Calibri" w:hAnsi="Calibri"/>
          <w:color w:val="0F172A"/>
          <w:sz w:val="20"/>
        </w:rPr>
        <w:t>Le projet repose sur une architecture moderne sans framework lourd, assurant un temps de chargement inférieur à 1 seconde et une compatibilité maximale :</w:t>
      </w:r>
    </w:p>
    <w:tbl>
      <w:tblPr>
        <w:tblW w:type="auto" w:w="0"/>
        <w:jc w:val="center"/>
        <w:tblLook w:firstColumn="1" w:firstRow="1" w:lastColumn="0" w:lastRow="0" w:noHBand="0" w:noVBand="1" w:val="04A0"/>
      </w:tblPr>
      <w:tblGrid>
        <w:gridCol w:w="3312"/>
        <w:gridCol w:w="3312"/>
        <w:gridCol w:w="3312"/>
      </w:tblGrid>
      <w:tr>
        <w:tc>
          <w:tcPr>
            <w:tcW w:type="dxa" w:w="3312"/>
            <w:shd w:fill="2563EB"/>
          </w:tcPr>
          <w:p>
            <w:r>
              <w:rPr>
                <w:b/>
                <w:color w:val="FFFFFF"/>
                <w:sz w:val="18"/>
              </w:rPr>
              <w:t>Composant</w:t>
            </w:r>
          </w:p>
        </w:tc>
        <w:tc>
          <w:tcPr>
            <w:tcW w:type="dxa" w:w="3312"/>
            <w:shd w:fill="2563EB"/>
          </w:tcPr>
          <w:p>
            <w:r>
              <w:rPr>
                <w:b/>
                <w:color w:val="FFFFFF"/>
                <w:sz w:val="18"/>
              </w:rPr>
              <w:t>Technologie</w:t>
            </w:r>
          </w:p>
        </w:tc>
        <w:tc>
          <w:tcPr>
            <w:tcW w:type="dxa" w:w="3312"/>
            <w:shd w:fill="2563EB"/>
          </w:tcPr>
          <w:p>
            <w:r>
              <w:rPr>
                <w:b/>
                <w:color w:val="FFFFFF"/>
                <w:sz w:val="18"/>
              </w:rPr>
              <w:t>Rôle &amp; Détails d'Implémentation</w:t>
            </w:r>
          </w:p>
        </w:tc>
      </w:tr>
      <w:tr>
        <w:tc>
          <w:tcPr>
            <w:tcW w:type="dxa" w:w="3312"/>
          </w:tcPr>
          <w:p>
            <w:r>
              <w:rPr>
                <w:sz w:val="17"/>
              </w:rPr>
              <w:t>Moteur 3D WebGL</w:t>
            </w:r>
          </w:p>
        </w:tc>
        <w:tc>
          <w:tcPr>
            <w:tcW w:type="dxa" w:w="3312"/>
          </w:tcPr>
          <w:p>
            <w:r>
              <w:rPr>
                <w:sz w:val="17"/>
              </w:rPr>
              <w:t>Three.js r128 + OrbitControls</w:t>
            </w:r>
          </w:p>
        </w:tc>
        <w:tc>
          <w:tcPr>
            <w:tcW w:type="dxa" w:w="3312"/>
          </w:tcPr>
          <w:p>
            <w:r>
              <w:rPr>
                <w:sz w:val="17"/>
              </w:rPr>
              <w:t>Rendu temps réel accéléré par le GPU. Gestion de la caméra orthographique/perspective, de l'éclairage ambiant/directionnel, du raycasting (clic sur les salles) et des animations d'extrusion polygonale.</w:t>
            </w:r>
          </w:p>
        </w:tc>
      </w:tr>
      <w:tr>
        <w:tc>
          <w:tcPr>
            <w:tcW w:type="dxa" w:w="3312"/>
          </w:tcPr>
          <w:p>
            <w:r>
              <w:rPr>
                <w:sz w:val="17"/>
              </w:rPr>
              <w:t>Interface Web</w:t>
            </w:r>
          </w:p>
        </w:tc>
        <w:tc>
          <w:tcPr>
            <w:tcW w:type="dxa" w:w="3312"/>
          </w:tcPr>
          <w:p>
            <w:r>
              <w:rPr>
                <w:sz w:val="17"/>
              </w:rPr>
              <w:t>HTML5 Sémantique + CSS3 Grid/Flexbox</w:t>
            </w:r>
          </w:p>
        </w:tc>
        <w:tc>
          <w:tcPr>
            <w:tcW w:type="dxa" w:w="3312"/>
          </w:tcPr>
          <w:p>
            <w:r>
              <w:rPr>
                <w:sz w:val="17"/>
              </w:rPr>
              <w:t>Design moderne 'dark glassmorphism' haute performance. Barre latérale ergonomique avec recherche instantanée et filtres par catégorie.</w:t>
            </w:r>
          </w:p>
        </w:tc>
      </w:tr>
      <w:tr>
        <w:tc>
          <w:tcPr>
            <w:tcW w:type="dxa" w:w="3312"/>
          </w:tcPr>
          <w:p>
            <w:r>
              <w:rPr>
                <w:sz w:val="17"/>
              </w:rPr>
              <w:t>Logique &amp; Navigation</w:t>
            </w:r>
          </w:p>
        </w:tc>
        <w:tc>
          <w:tcPr>
            <w:tcW w:type="dxa" w:w="3312"/>
          </w:tcPr>
          <w:p>
            <w:r>
              <w:rPr>
                <w:sz w:val="17"/>
              </w:rPr>
              <w:t>JavaScript ES6+ Vanilla</w:t>
            </w:r>
          </w:p>
        </w:tc>
        <w:tc>
          <w:tcPr>
            <w:tcW w:type="dxa" w:w="3312"/>
          </w:tcPr>
          <w:p>
            <w:r>
              <w:rPr>
                <w:sz w:val="17"/>
              </w:rPr>
              <w:t>Calcul de trajectoire, gestion des événements de sélection, interpolation caméra et génération des instructions virage par virage sans dépendance externe.</w:t>
            </w:r>
          </w:p>
        </w:tc>
      </w:tr>
      <w:tr>
        <w:tc>
          <w:tcPr>
            <w:tcW w:type="dxa" w:w="3312"/>
          </w:tcPr>
          <w:p>
            <w:r>
              <w:rPr>
                <w:sz w:val="17"/>
              </w:rPr>
              <w:t>Algorithme d'Itinéraire</w:t>
            </w:r>
          </w:p>
        </w:tc>
        <w:tc>
          <w:tcPr>
            <w:tcW w:type="dxa" w:w="3312"/>
          </w:tcPr>
          <w:p>
            <w:r>
              <w:rPr>
                <w:sz w:val="17"/>
              </w:rPr>
              <w:t>Algorithme de Dijkstra</w:t>
            </w:r>
          </w:p>
        </w:tc>
        <w:tc>
          <w:tcPr>
            <w:tcW w:type="dxa" w:w="3312"/>
          </w:tcPr>
          <w:p>
            <w:r>
              <w:rPr>
                <w:sz w:val="17"/>
              </w:rPr>
              <w:t>Recherche du plus court chemin pondéré par les distances euclidiennes dans le graphe topologique des couloirs.</w:t>
            </w:r>
          </w:p>
        </w:tc>
      </w:tr>
      <w:tr>
        <w:tc>
          <w:tcPr>
            <w:tcW w:type="dxa" w:w="3312"/>
          </w:tcPr>
          <w:p>
            <w:r>
              <w:rPr>
                <w:sz w:val="17"/>
              </w:rPr>
              <w:t>Audit Spatiale</w:t>
            </w:r>
          </w:p>
        </w:tc>
        <w:tc>
          <w:tcPr>
            <w:tcW w:type="dxa" w:w="3312"/>
          </w:tcPr>
          <w:p>
            <w:r>
              <w:rPr>
                <w:sz w:val="17"/>
              </w:rPr>
              <w:t>Python 3 + Shapely (Vector Geometry)</w:t>
            </w:r>
          </w:p>
        </w:tc>
        <w:tc>
          <w:tcPr>
            <w:tcW w:type="dxa" w:w="3312"/>
          </w:tcPr>
          <w:p>
            <w:r>
              <w:rPr>
                <w:sz w:val="17"/>
              </w:rPr>
              <w:t>Validation spatiale des intersections géométriques entre les arêtes du graphe de couloir et l'union des polygones des pièces fermées.</w:t>
            </w:r>
          </w:p>
        </w:tc>
      </w:tr>
      <w:tr>
        <w:tc>
          <w:tcPr>
            <w:tcW w:type="dxa" w:w="3312"/>
          </w:tcPr>
          <w:p>
            <w:r>
              <w:rPr>
                <w:sz w:val="17"/>
              </w:rPr>
              <w:t>Données Géométriques</w:t>
            </w:r>
          </w:p>
        </w:tc>
        <w:tc>
          <w:tcPr>
            <w:tcW w:type="dxa" w:w="3312"/>
          </w:tcPr>
          <w:p>
            <w:r>
              <w:rPr>
                <w:sz w:val="17"/>
              </w:rPr>
              <w:t>GeoJSON (pieces_R+1.geojson)</w:t>
            </w:r>
          </w:p>
        </w:tc>
        <w:tc>
          <w:tcPr>
            <w:tcW w:type="dxa" w:w="3312"/>
          </w:tcPr>
          <w:p>
            <w:r>
              <w:rPr>
                <w:sz w:val="17"/>
              </w:rPr>
              <w:t>Contours vectoriels réels issus des relevés topographiques et architecturaux de l'école ensIIE.</w:t>
            </w:r>
          </w:p>
        </w:tc>
      </w:tr>
      <w:tr>
        <w:tc>
          <w:tcPr>
            <w:tcW w:type="dxa" w:w="3312"/>
          </w:tcPr>
          <w:p>
            <w:r>
              <w:rPr>
                <w:sz w:val="17"/>
              </w:rPr>
              <w:t>Registre Métier</w:t>
            </w:r>
          </w:p>
        </w:tc>
        <w:tc>
          <w:tcPr>
            <w:tcW w:type="dxa" w:w="3312"/>
          </w:tcPr>
          <w:p>
            <w:r>
              <w:rPr>
                <w:sz w:val="17"/>
              </w:rPr>
              <w:t>CSV / JSON (salles.csv, salles_R1.json)</w:t>
            </w:r>
          </w:p>
        </w:tc>
        <w:tc>
          <w:tcPr>
            <w:tcW w:type="dxa" w:w="3312"/>
          </w:tcPr>
          <w:p>
            <w:r>
              <w:rPr>
                <w:sz w:val="17"/>
              </w:rPr>
              <w:t>Inventaire exhaustif des 47 salles du R+1 : noms officiels, professeurs assignés, capacités, surfaces réelles et photos.</w:t>
            </w:r>
          </w:p>
        </w:tc>
      </w:tr>
    </w:tbl>
    <w:p>
      <w:pPr>
        <w:keepNext/>
        <w:spacing w:before="320" w:after="120"/>
      </w:pPr>
      <w:r>
        <w:rPr>
          <w:rFonts w:ascii="Calibri" w:hAnsi="Calibri"/>
          <w:b/>
          <w:color w:val="2563EB"/>
          <w:sz w:val="30"/>
        </w:rPr>
        <w:t>3. Traitement des Données Réelles de l'Étage R+1</w:t>
      </w:r>
    </w:p>
    <w:p>
      <w:pPr>
        <w:spacing w:after="80" w:line="276" w:lineRule="auto"/>
      </w:pPr>
      <w:r>
        <w:rPr>
          <w:rFonts w:ascii="Calibri" w:hAnsi="Calibri"/>
          <w:color w:val="0F172A"/>
          <w:sz w:val="20"/>
        </w:rPr>
        <w:t>Aucune donnée n'a été inventée. Le jeu de données officiel comprend exactement 47 espaces inventoriés au R+1 :</w:t>
      </w:r>
    </w:p>
    <w:p>
      <w:pPr>
        <w:pStyle w:val="ListBullet"/>
        <w:spacing w:after="50" w:line="276" w:lineRule="auto"/>
      </w:pPr>
      <w:r>
        <w:rPr>
          <w:rFonts w:ascii="Calibri" w:hAnsi="Calibri"/>
          <w:b/>
          <w:color w:val="0F172A"/>
          <w:sz w:val="19"/>
        </w:rPr>
        <w:t xml:space="preserve">• Amphithéâtres (3) : </w:t>
      </w:r>
      <w:r>
        <w:rPr>
          <w:rFonts w:ascii="Calibri" w:hAnsi="Calibri"/>
          <w:color w:val="0F172A"/>
          <w:sz w:val="19"/>
        </w:rPr>
        <w:t>Amphi 101 (100 places), Amphi 102 (100 places), Amphi 123 (40 places).</w:t>
      </w:r>
    </w:p>
    <w:p>
      <w:pPr>
        <w:pStyle w:val="ListBullet"/>
        <w:spacing w:after="50" w:line="276" w:lineRule="auto"/>
      </w:pPr>
      <w:r>
        <w:rPr>
          <w:rFonts w:ascii="Calibri" w:hAnsi="Calibri"/>
          <w:b/>
          <w:color w:val="0F172A"/>
          <w:sz w:val="19"/>
        </w:rPr>
        <w:t xml:space="preserve">• Salles de Travaux Pratiques Informatique (4) : </w:t>
      </w:r>
      <w:r>
        <w:rPr>
          <w:rFonts w:ascii="Calibri" w:hAnsi="Calibri"/>
          <w:color w:val="0F172A"/>
          <w:sz w:val="19"/>
        </w:rPr>
        <w:t>Salle 127 (30 places), Salle 130 (41 places), Salle 131 (42 places), Salle 133 (38 places).</w:t>
      </w:r>
    </w:p>
    <w:p>
      <w:pPr>
        <w:pStyle w:val="ListBullet"/>
        <w:spacing w:after="50" w:line="276" w:lineRule="auto"/>
      </w:pPr>
      <w:r>
        <w:rPr>
          <w:rFonts w:ascii="Calibri" w:hAnsi="Calibri"/>
          <w:b/>
          <w:color w:val="0F172A"/>
          <w:sz w:val="19"/>
        </w:rPr>
        <w:t xml:space="preserve">• Salles de Travaux Dirigés (10) : </w:t>
      </w:r>
      <w:r>
        <w:rPr>
          <w:rFonts w:ascii="Calibri" w:hAnsi="Calibri"/>
          <w:color w:val="0F172A"/>
          <w:sz w:val="19"/>
        </w:rPr>
        <w:t>121, 122 (30 pl.), 126 (30 pl.), 135 (32 pl.), 136 (35 pl.), 138 (28 pl.), 139 (36 pl.), 141, 148 (35 pl.), 149 (30 pl.).</w:t>
      </w:r>
    </w:p>
    <w:p>
      <w:pPr>
        <w:pStyle w:val="ListBullet"/>
        <w:spacing w:after="50" w:line="276" w:lineRule="auto"/>
      </w:pPr>
      <w:r>
        <w:rPr>
          <w:rFonts w:ascii="Calibri" w:hAnsi="Calibri"/>
          <w:b/>
          <w:color w:val="0F172A"/>
          <w:sz w:val="19"/>
        </w:rPr>
        <w:t xml:space="preserve">• Bureaux des Enseignants-Chercheurs (16) : </w:t>
      </w:r>
      <w:r>
        <w:rPr>
          <w:rFonts w:ascii="Calibri" w:hAnsi="Calibri"/>
          <w:color w:val="0F172A"/>
          <w:sz w:val="19"/>
        </w:rPr>
        <w:t>104 (Merabet, Dumbrava), 105 (Ly Vath), 106, 107 (Mougeot), 108 (Brunel), 109 (Sagna), 110 (Dubois), 111 (Roussel, Bouyer), 112 (Ligozat), 113 (Pulido Nino), 118 (Alrazouk, Enfroy, Ziani), 119 (Park, Vo), 120 (Arioli), 143 (Jadot), 144 (Thomas, Coulibaly, Aounallah), 146 (Nordine).</w:t>
      </w:r>
    </w:p>
    <w:p>
      <w:pPr>
        <w:pStyle w:val="ListBullet"/>
        <w:spacing w:after="50" w:line="276" w:lineRule="auto"/>
      </w:pPr>
      <w:r>
        <w:rPr>
          <w:rFonts w:ascii="Calibri" w:hAnsi="Calibri"/>
          <w:b/>
          <w:color w:val="0F172A"/>
          <w:sz w:val="19"/>
        </w:rPr>
        <w:t xml:space="preserve">• Espace Central de Vie : </w:t>
      </w:r>
      <w:r>
        <w:rPr>
          <w:rFonts w:ascii="Calibri" w:hAnsi="Calibri"/>
          <w:color w:val="0F172A"/>
          <w:sz w:val="19"/>
        </w:rPr>
        <w:t>Rotonde 103 (105 m² - carrefour central des étudiants).</w:t>
      </w:r>
    </w:p>
    <w:p>
      <w:pPr>
        <w:pStyle w:val="ListBullet"/>
        <w:spacing w:after="50" w:line="276" w:lineRule="auto"/>
      </w:pPr>
      <w:r>
        <w:rPr>
          <w:rFonts w:ascii="Calibri" w:hAnsi="Calibri"/>
          <w:b/>
          <w:color w:val="0F172A"/>
          <w:sz w:val="19"/>
        </w:rPr>
        <w:t xml:space="preserve">• Espace Enseignants : </w:t>
      </w:r>
      <w:r>
        <w:rPr>
          <w:rFonts w:ascii="Calibri" w:hAnsi="Calibri"/>
          <w:color w:val="0F172A"/>
          <w:sz w:val="19"/>
        </w:rPr>
        <w:t>Salle 115 (33,5 m²).</w:t>
      </w:r>
    </w:p>
    <w:p>
      <w:pPr>
        <w:pStyle w:val="ListBullet"/>
        <w:spacing w:after="50" w:line="276" w:lineRule="auto"/>
      </w:pPr>
      <w:r>
        <w:rPr>
          <w:rFonts w:ascii="Calibri" w:hAnsi="Calibri"/>
          <w:b/>
          <w:color w:val="0F172A"/>
          <w:sz w:val="19"/>
        </w:rPr>
        <w:t xml:space="preserve">• Services &amp; Locaux Techniques : </w:t>
      </w:r>
      <w:r>
        <w:rPr>
          <w:rFonts w:ascii="Calibri" w:hAnsi="Calibri"/>
          <w:color w:val="0F172A"/>
          <w:sz w:val="19"/>
        </w:rPr>
        <w:t>117 (Salle de réunion), 114 (Réserve), 129 (Ménage), 137 (Local technique), 140 (Serveur informatique), 142 (Serveur étudiants).</w:t>
      </w:r>
    </w:p>
    <w:p>
      <w:pPr>
        <w:pStyle w:val="ListBullet"/>
        <w:spacing w:after="50" w:line="276" w:lineRule="auto"/>
      </w:pPr>
      <w:r>
        <w:rPr>
          <w:rFonts w:ascii="Calibri" w:hAnsi="Calibri"/>
          <w:b/>
          <w:color w:val="0F172A"/>
          <w:sz w:val="19"/>
        </w:rPr>
        <w:t xml:space="preserve">• Dépôts Pédagogiques : </w:t>
      </w:r>
      <w:r>
        <w:rPr>
          <w:rFonts w:ascii="Calibri" w:hAnsi="Calibri"/>
          <w:color w:val="0F172A"/>
          <w:sz w:val="19"/>
        </w:rPr>
        <w:t>124, 125, 128, 132, 134, 150.</w:t>
      </w:r>
    </w:p>
    <w:p>
      <w:pPr>
        <w:keepNext/>
        <w:spacing w:before="320" w:after="120"/>
      </w:pPr>
      <w:r>
        <w:rPr>
          <w:rFonts w:ascii="Calibri" w:hAnsi="Calibri"/>
          <w:b/>
          <w:color w:val="2563EB"/>
          <w:sz w:val="30"/>
        </w:rPr>
        <w:t>4. Moteur de Rendu 3D &amp; Différenciation des Couleurs</w:t>
      </w:r>
    </w:p>
    <w:p>
      <w:pPr>
        <w:spacing w:after="80" w:line="276" w:lineRule="auto"/>
      </w:pPr>
      <w:r>
        <w:rPr>
          <w:rFonts w:ascii="Calibri" w:hAnsi="Calibri"/>
          <w:color w:val="0F172A"/>
          <w:sz w:val="20"/>
        </w:rPr>
        <w:t>Dans les versions initiales, la prédominance de multiples nuances de bleu rendait la lecture visuelle confuse. Une charte graphique polychromatique rigoureuse a été instaurée :</w:t>
      </w:r>
    </w:p>
    <w:tbl>
      <w:tblPr>
        <w:tblW w:type="auto" w:w="0"/>
        <w:jc w:val="center"/>
        <w:tblLook w:firstColumn="1" w:firstRow="1" w:lastColumn="0" w:lastRow="0" w:noHBand="0" w:noVBand="1" w:val="04A0"/>
      </w:tblPr>
      <w:tblGrid>
        <w:gridCol w:w="3312"/>
        <w:gridCol w:w="3312"/>
        <w:gridCol w:w="3312"/>
      </w:tblGrid>
      <w:tr>
        <w:tc>
          <w:tcPr>
            <w:tcW w:type="dxa" w:w="3312"/>
            <w:shd w:fill="0F172A"/>
          </w:tcPr>
          <w:p>
            <w:r>
              <w:rPr>
                <w:b/>
                <w:color w:val="FFFFFF"/>
                <w:sz w:val="18"/>
              </w:rPr>
              <w:t>Catégorie de Salle</w:t>
            </w:r>
          </w:p>
        </w:tc>
        <w:tc>
          <w:tcPr>
            <w:tcW w:type="dxa" w:w="3312"/>
            <w:shd w:fill="0F172A"/>
          </w:tcPr>
          <w:p>
            <w:r>
              <w:rPr>
                <w:b/>
                <w:color w:val="FFFFFF"/>
                <w:sz w:val="18"/>
              </w:rPr>
              <w:t>Code Couleur &amp; Nom</w:t>
            </w:r>
          </w:p>
        </w:tc>
        <w:tc>
          <w:tcPr>
            <w:tcW w:type="dxa" w:w="3312"/>
            <w:shd w:fill="0F172A"/>
          </w:tcPr>
          <w:p>
            <w:r>
              <w:rPr>
                <w:b/>
                <w:color w:val="FFFFFF"/>
                <w:sz w:val="18"/>
              </w:rPr>
              <w:t>Salles concernées</w:t>
            </w:r>
          </w:p>
        </w:tc>
      </w:tr>
      <w:tr>
        <w:tc>
          <w:tcPr>
            <w:tcW w:type="dxa" w:w="3312"/>
          </w:tcPr>
          <w:p>
            <w:r>
              <w:rPr>
                <w:sz w:val="17"/>
              </w:rPr>
              <w:t>Amphithéâtres</w:t>
            </w:r>
          </w:p>
        </w:tc>
        <w:tc>
          <w:tcPr>
            <w:tcW w:type="dxa" w:w="3312"/>
          </w:tcPr>
          <w:p>
            <w:r>
              <w:rPr>
                <w:sz w:val="17"/>
              </w:rPr>
              <w:t>#ef4444 (Rouge Carmin)</w:t>
            </w:r>
          </w:p>
        </w:tc>
        <w:tc>
          <w:tcPr>
            <w:tcW w:type="dxa" w:w="3312"/>
          </w:tcPr>
          <w:p>
            <w:r>
              <w:rPr>
                <w:sz w:val="17"/>
              </w:rPr>
              <w:t>101, 102, 123</w:t>
            </w:r>
          </w:p>
        </w:tc>
      </w:tr>
      <w:tr>
        <w:tc>
          <w:tcPr>
            <w:tcW w:type="dxa" w:w="3312"/>
          </w:tcPr>
          <w:p>
            <w:r>
              <w:rPr>
                <w:sz w:val="17"/>
              </w:rPr>
              <w:t>Salles de TP Info</w:t>
            </w:r>
          </w:p>
        </w:tc>
        <w:tc>
          <w:tcPr>
            <w:tcW w:type="dxa" w:w="3312"/>
          </w:tcPr>
          <w:p>
            <w:r>
              <w:rPr>
                <w:sz w:val="17"/>
              </w:rPr>
              <w:t>#06b6d4 (Cyan Électrique)</w:t>
            </w:r>
          </w:p>
        </w:tc>
        <w:tc>
          <w:tcPr>
            <w:tcW w:type="dxa" w:w="3312"/>
          </w:tcPr>
          <w:p>
            <w:r>
              <w:rPr>
                <w:sz w:val="17"/>
              </w:rPr>
              <w:t>127, 130, 131, 133</w:t>
            </w:r>
          </w:p>
        </w:tc>
      </w:tr>
      <w:tr>
        <w:tc>
          <w:tcPr>
            <w:tcW w:type="dxa" w:w="3312"/>
          </w:tcPr>
          <w:p>
            <w:r>
              <w:rPr>
                <w:sz w:val="17"/>
              </w:rPr>
              <w:t>Salles de TD</w:t>
            </w:r>
          </w:p>
        </w:tc>
        <w:tc>
          <w:tcPr>
            <w:tcW w:type="dxa" w:w="3312"/>
          </w:tcPr>
          <w:p>
            <w:r>
              <w:rPr>
                <w:sz w:val="17"/>
              </w:rPr>
              <w:t>#f97316 (Orange Vif)</w:t>
            </w:r>
          </w:p>
        </w:tc>
        <w:tc>
          <w:tcPr>
            <w:tcW w:type="dxa" w:w="3312"/>
          </w:tcPr>
          <w:p>
            <w:r>
              <w:rPr>
                <w:sz w:val="17"/>
              </w:rPr>
              <w:t>121, 122, 126, 135, 136, 138, 139, 141, 148, 149</w:t>
            </w:r>
          </w:p>
        </w:tc>
      </w:tr>
      <w:tr>
        <w:tc>
          <w:tcPr>
            <w:tcW w:type="dxa" w:w="3312"/>
          </w:tcPr>
          <w:p>
            <w:r>
              <w:rPr>
                <w:sz w:val="17"/>
              </w:rPr>
              <w:t>Bureaux Enseignants</w:t>
            </w:r>
          </w:p>
        </w:tc>
        <w:tc>
          <w:tcPr>
            <w:tcW w:type="dxa" w:w="3312"/>
          </w:tcPr>
          <w:p>
            <w:r>
              <w:rPr>
                <w:sz w:val="17"/>
              </w:rPr>
              <w:t>#10b981 (Vert Émeraude)</w:t>
            </w:r>
          </w:p>
        </w:tc>
        <w:tc>
          <w:tcPr>
            <w:tcW w:type="dxa" w:w="3312"/>
          </w:tcPr>
          <w:p>
            <w:r>
              <w:rPr>
                <w:sz w:val="17"/>
              </w:rPr>
              <w:t>104 à 113, 118 à 120, 143, 144, 146</w:t>
            </w:r>
          </w:p>
        </w:tc>
      </w:tr>
      <w:tr>
        <w:tc>
          <w:tcPr>
            <w:tcW w:type="dxa" w:w="3312"/>
          </w:tcPr>
          <w:p>
            <w:r>
              <w:rPr>
                <w:sz w:val="17"/>
              </w:rPr>
              <w:t>Rotonde Centrale</w:t>
            </w:r>
          </w:p>
        </w:tc>
        <w:tc>
          <w:tcPr>
            <w:tcW w:type="dxa" w:w="3312"/>
          </w:tcPr>
          <w:p>
            <w:r>
              <w:rPr>
                <w:sz w:val="17"/>
              </w:rPr>
              <w:t>#a855f7 (Violet Royal)</w:t>
            </w:r>
          </w:p>
        </w:tc>
        <w:tc>
          <w:tcPr>
            <w:tcW w:type="dxa" w:w="3312"/>
          </w:tcPr>
          <w:p>
            <w:r>
              <w:rPr>
                <w:sz w:val="17"/>
              </w:rPr>
              <w:t>Rotonde 103</w:t>
            </w:r>
          </w:p>
        </w:tc>
      </w:tr>
      <w:tr>
        <w:tc>
          <w:tcPr>
            <w:tcW w:type="dxa" w:w="3312"/>
          </w:tcPr>
          <w:p>
            <w:r>
              <w:rPr>
                <w:sz w:val="17"/>
              </w:rPr>
              <w:t>Salle des Profs</w:t>
            </w:r>
          </w:p>
        </w:tc>
        <w:tc>
          <w:tcPr>
            <w:tcW w:type="dxa" w:w="3312"/>
          </w:tcPr>
          <w:p>
            <w:r>
              <w:rPr>
                <w:sz w:val="17"/>
              </w:rPr>
              <w:t>#eab308 (Jaune Doré)</w:t>
            </w:r>
          </w:p>
        </w:tc>
        <w:tc>
          <w:tcPr>
            <w:tcW w:type="dxa" w:w="3312"/>
          </w:tcPr>
          <w:p>
            <w:r>
              <w:rPr>
                <w:sz w:val="17"/>
              </w:rPr>
              <w:t>Salle 115</w:t>
            </w:r>
          </w:p>
        </w:tc>
      </w:tr>
      <w:tr>
        <w:tc>
          <w:tcPr>
            <w:tcW w:type="dxa" w:w="3312"/>
          </w:tcPr>
          <w:p>
            <w:r>
              <w:rPr>
                <w:sz w:val="17"/>
              </w:rPr>
              <w:t>Locaux Techniques &amp; Serveurs</w:t>
            </w:r>
          </w:p>
        </w:tc>
        <w:tc>
          <w:tcPr>
            <w:tcW w:type="dxa" w:w="3312"/>
          </w:tcPr>
          <w:p>
            <w:r>
              <w:rPr>
                <w:sz w:val="17"/>
              </w:rPr>
              <w:t>#475569 (Gris Ardoise)</w:t>
            </w:r>
          </w:p>
        </w:tc>
        <w:tc>
          <w:tcPr>
            <w:tcW w:type="dxa" w:w="3312"/>
          </w:tcPr>
          <w:p>
            <w:r>
              <w:rPr>
                <w:sz w:val="17"/>
              </w:rPr>
              <w:t>116, 129, 137, 140, 142</w:t>
            </w:r>
          </w:p>
        </w:tc>
      </w:tr>
      <w:tr>
        <w:tc>
          <w:tcPr>
            <w:tcW w:type="dxa" w:w="3312"/>
          </w:tcPr>
          <w:p>
            <w:r>
              <w:rPr>
                <w:sz w:val="17"/>
              </w:rPr>
              <w:t>Dépôts Pédagogiques</w:t>
            </w:r>
          </w:p>
        </w:tc>
        <w:tc>
          <w:tcPr>
            <w:tcW w:type="dxa" w:w="3312"/>
          </w:tcPr>
          <w:p>
            <w:r>
              <w:rPr>
                <w:sz w:val="17"/>
              </w:rPr>
              <w:t>#94a3b8 (Gris Métal clair)</w:t>
            </w:r>
          </w:p>
        </w:tc>
        <w:tc>
          <w:tcPr>
            <w:tcW w:type="dxa" w:w="3312"/>
          </w:tcPr>
          <w:p>
            <w:r>
              <w:rPr>
                <w:sz w:val="17"/>
              </w:rPr>
              <w:t>124, 125, 128, 132, 134, 150</w:t>
            </w:r>
          </w:p>
        </w:tc>
      </w:tr>
    </w:tbl>
    <w:p>
      <w:pPr>
        <w:keepNext/>
        <w:spacing w:before="320" w:after="120"/>
      </w:pPr>
      <w:r>
        <w:rPr>
          <w:rFonts w:ascii="Calibri" w:hAnsi="Calibri"/>
          <w:b/>
          <w:color w:val="2563EB"/>
          <w:sz w:val="30"/>
        </w:rPr>
        <w:t>5. Algorithme de Circulation dans les Couloirs (0% Traversée de Salles)</w:t>
      </w:r>
    </w:p>
    <w:p>
      <w:pPr>
        <w:spacing w:after="80" w:line="276" w:lineRule="auto"/>
      </w:pPr>
      <w:r>
        <w:rPr>
          <w:rFonts w:ascii="Calibri" w:hAnsi="Calibri"/>
          <w:color w:val="0F172A"/>
          <w:sz w:val="20"/>
        </w:rPr>
        <w:t>Le problème majeur résolu était la traversée accidentelle des salles (ex: traverser la salle 130 au lieu de contourner par le couloir). Une refonte topologique complète a été effectuée :</w:t>
      </w:r>
    </w:p>
    <w:p>
      <w:pPr>
        <w:keepNext/>
        <w:spacing w:before="220" w:after="80"/>
      </w:pPr>
      <w:r>
        <w:rPr>
          <w:rFonts w:ascii="Calibri" w:hAnsi="Calibri"/>
          <w:b/>
          <w:color w:val="0F172A"/>
          <w:sz w:val="25"/>
        </w:rPr>
        <w:t>Méthodologie mathématique de validation :</w:t>
      </w:r>
    </w:p>
    <w:p>
      <w:pPr>
        <w:pStyle w:val="ListBullet"/>
        <w:spacing w:after="50" w:line="276" w:lineRule="auto"/>
      </w:pPr>
      <w:r>
        <w:rPr>
          <w:rFonts w:ascii="Calibri" w:hAnsi="Calibri"/>
          <w:b/>
          <w:color w:val="0F172A"/>
          <w:sz w:val="19"/>
        </w:rPr>
        <w:t xml:space="preserve">1. Espace couloirs : </w:t>
      </w:r>
      <w:r>
        <w:rPr>
          <w:rFonts w:ascii="Calibri" w:hAnsi="Calibri"/>
          <w:color w:val="0F172A"/>
          <w:sz w:val="19"/>
        </w:rPr>
        <w:t>Extraction du polygone d'union des zones de couloirs depuis pieces_R+1.geojson (surface de circulation totale = 1 043,45 m²).</w:t>
      </w:r>
    </w:p>
    <w:p>
      <w:pPr>
        <w:pStyle w:val="ListBullet"/>
        <w:spacing w:after="50" w:line="276" w:lineRule="auto"/>
      </w:pPr>
      <w:r>
        <w:rPr>
          <w:rFonts w:ascii="Calibri" w:hAnsi="Calibri"/>
          <w:b/>
          <w:color w:val="0F172A"/>
          <w:sz w:val="19"/>
        </w:rPr>
        <w:t xml:space="preserve">2. Empreinte des pièces : </w:t>
      </w:r>
      <w:r>
        <w:rPr>
          <w:rFonts w:ascii="Calibri" w:hAnsi="Calibri"/>
          <w:color w:val="0F172A"/>
          <w:sz w:val="19"/>
        </w:rPr>
        <w:t>Calcul de l'union géométrique des 47 polygones de salles fermées.</w:t>
      </w:r>
    </w:p>
    <w:p>
      <w:pPr>
        <w:pStyle w:val="ListBullet"/>
        <w:spacing w:after="50" w:line="276" w:lineRule="auto"/>
      </w:pPr>
      <w:r>
        <w:rPr>
          <w:rFonts w:ascii="Calibri" w:hAnsi="Calibri"/>
          <w:b/>
          <w:color w:val="0F172A"/>
          <w:sz w:val="19"/>
        </w:rPr>
        <w:t xml:space="preserve">3. Nœuds de graphe : </w:t>
      </w:r>
      <w:r>
        <w:rPr>
          <w:rFonts w:ascii="Calibri" w:hAnsi="Calibri"/>
          <w:color w:val="0F172A"/>
          <w:sz w:val="19"/>
        </w:rPr>
        <w:t>50 nœuds topologiques ont été disposés le long de la ligne médiane des couloirs (Hub Sud, Colonne Centrale entre 130 et 138, Branche Nord-Ouest, Branche Nord-Est, Allée Sud des Bureaux).</w:t>
      </w:r>
    </w:p>
    <w:p>
      <w:pPr>
        <w:pStyle w:val="ListBullet"/>
        <w:spacing w:after="50" w:line="276" w:lineRule="auto"/>
      </w:pPr>
      <w:r>
        <w:rPr>
          <w:rFonts w:ascii="Calibri" w:hAnsi="Calibri"/>
          <w:b/>
          <w:color w:val="0F172A"/>
          <w:sz w:val="19"/>
        </w:rPr>
        <w:t xml:space="preserve">4. Zéro collision : </w:t>
      </w:r>
      <w:r>
        <w:rPr>
          <w:rFonts w:ascii="Calibri" w:hAnsi="Calibri"/>
          <w:color w:val="0F172A"/>
          <w:sz w:val="19"/>
        </w:rPr>
        <w:t>Chaque segment de liaison a été testé avec Shapely : intersection(all_rooms_union).length &lt; 0.05. Résultat validé : 0,00 m de traversée interdite.</w:t>
      </w:r>
    </w:p>
    <w:p>
      <w:pPr>
        <w:keepNext/>
        <w:spacing w:before="320" w:after="120"/>
      </w:pPr>
      <w:r>
        <w:rPr>
          <w:rFonts w:ascii="Calibri" w:hAnsi="Calibri"/>
          <w:b/>
          <w:color w:val="2563EB"/>
          <w:sz w:val="30"/>
        </w:rPr>
        <w:t>6. Moteur de Guidage Pas à Pas (Turn-by-Turn GPS)</w:t>
      </w:r>
    </w:p>
    <w:p>
      <w:pPr>
        <w:spacing w:after="80" w:line="276" w:lineRule="auto"/>
      </w:pPr>
      <w:r>
        <w:rPr>
          <w:rFonts w:ascii="Calibri" w:hAnsi="Calibri"/>
          <w:color w:val="0F172A"/>
          <w:sz w:val="20"/>
        </w:rPr>
        <w:t>Pour guider l'utilisateur comme un véritable GPS indoor, le système calcule l'angle de déviation trigonométrique entre deux segments consécutifs du chemin :</w:t>
      </w:r>
    </w:p>
    <w:p>
      <w:pPr>
        <w:spacing w:after="80" w:line="276" w:lineRule="auto"/>
      </w:pPr>
      <w:r>
        <w:rPr>
          <w:rFonts w:ascii="Calibri" w:hAnsi="Calibri"/>
          <w:color w:val="0F172A"/>
          <w:sz w:val="20"/>
        </w:rPr>
        <w:t>Pour trois nœuds successifs P1(x1, y1), P2(x2, y2) et P3(x3, y3), l'angle de direction entrant theta1 et sortant theta2 sont obtenus par atan2(dy, dx). La différence angulaire relative dTheta détermine l'instruction :</w:t>
      </w:r>
    </w:p>
    <w:p>
      <w:pPr>
        <w:pStyle w:val="ListBullet"/>
        <w:spacing w:after="50" w:line="276" w:lineRule="auto"/>
      </w:pPr>
      <w:r>
        <w:rPr>
          <w:rFonts w:ascii="Calibri" w:hAnsi="Calibri"/>
          <w:b/>
          <w:color w:val="0F172A"/>
          <w:sz w:val="19"/>
        </w:rPr>
        <w:t xml:space="preserve">• Si |Δθ| ≤ 25° : </w:t>
      </w:r>
      <w:r>
        <w:rPr>
          <w:rFonts w:ascii="Calibri" w:hAnsi="Calibri"/>
          <w:color w:val="0F172A"/>
          <w:sz w:val="19"/>
        </w:rPr>
        <w:t>Instruction '⬆️ Continuer tout droit dans le couloir sur X m'.</w:t>
      </w:r>
    </w:p>
    <w:p>
      <w:pPr>
        <w:pStyle w:val="ListBullet"/>
        <w:spacing w:after="50" w:line="276" w:lineRule="auto"/>
      </w:pPr>
      <w:r>
        <w:rPr>
          <w:rFonts w:ascii="Calibri" w:hAnsi="Calibri"/>
          <w:b/>
          <w:color w:val="0F172A"/>
          <w:sz w:val="19"/>
        </w:rPr>
        <w:t xml:space="preserve">• Si +25° &lt; Δθ ≤ +160° : </w:t>
      </w:r>
      <w:r>
        <w:rPr>
          <w:rFonts w:ascii="Calibri" w:hAnsi="Calibri"/>
          <w:color w:val="0F172A"/>
          <w:sz w:val="19"/>
        </w:rPr>
        <w:t>Instruction '↰ Tourner à gauche dans le couloir'.</w:t>
      </w:r>
    </w:p>
    <w:p>
      <w:pPr>
        <w:pStyle w:val="ListBullet"/>
        <w:spacing w:after="50" w:line="276" w:lineRule="auto"/>
      </w:pPr>
      <w:r>
        <w:rPr>
          <w:rFonts w:ascii="Calibri" w:hAnsi="Calibri"/>
          <w:b/>
          <w:color w:val="0F172A"/>
          <w:sz w:val="19"/>
        </w:rPr>
        <w:t xml:space="preserve">• Si -160° ≤ Δθ &lt; -25° : </w:t>
      </w:r>
      <w:r>
        <w:rPr>
          <w:rFonts w:ascii="Calibri" w:hAnsi="Calibri"/>
          <w:color w:val="0F172A"/>
          <w:sz w:val="19"/>
        </w:rPr>
        <w:t>Instruction '↱ Tourner à droite dans le couloir'.</w:t>
      </w:r>
    </w:p>
    <w:p>
      <w:pPr>
        <w:pStyle w:val="ListBullet"/>
        <w:spacing w:after="50" w:line="276" w:lineRule="auto"/>
      </w:pPr>
      <w:r>
        <w:rPr>
          <w:rFonts w:ascii="Calibri" w:hAnsi="Calibri"/>
          <w:b/>
          <w:color w:val="0F172A"/>
          <w:sz w:val="19"/>
        </w:rPr>
        <w:t xml:space="preserve">• Dernier segment : </w:t>
      </w:r>
      <w:r>
        <w:rPr>
          <w:rFonts w:ascii="Calibri" w:hAnsi="Calibri"/>
          <w:color w:val="0F172A"/>
          <w:sz w:val="19"/>
        </w:rPr>
        <w:t>Instruction '🎯 Vous êtes arrivé devant la salle'.</w:t>
      </w:r>
    </w:p>
    <w:p>
      <w:pPr>
        <w:keepNext/>
        <w:spacing w:before="320" w:after="120"/>
      </w:pPr>
      <w:r>
        <w:rPr>
          <w:rFonts w:ascii="Calibri" w:hAnsi="Calibri"/>
          <w:b/>
          <w:color w:val="2563EB"/>
          <w:sz w:val="30"/>
        </w:rPr>
        <w:t>7. Prise en Compte de l'Accessibilité PMR</w:t>
      </w:r>
    </w:p>
    <w:p>
      <w:pPr>
        <w:spacing w:after="80" w:line="276" w:lineRule="auto"/>
      </w:pPr>
      <w:r>
        <w:rPr>
          <w:rFonts w:ascii="Calibri" w:hAnsi="Calibri"/>
          <w:color w:val="0F172A"/>
          <w:sz w:val="20"/>
        </w:rPr>
        <w:t>L'étage R+1 comporte un ascenseur et des escaliers. L'application propose un commutateur PMR :</w:t>
      </w:r>
    </w:p>
    <w:p>
      <w:pPr>
        <w:pStyle w:val="ListBullet"/>
        <w:spacing w:after="50" w:line="276" w:lineRule="auto"/>
      </w:pPr>
      <w:r>
        <w:rPr>
          <w:rFonts w:ascii="Calibri" w:hAnsi="Calibri"/>
          <w:b/>
          <w:color w:val="0F172A"/>
          <w:sz w:val="19"/>
        </w:rPr>
        <w:t xml:space="preserve">• Réorientation automatique : </w:t>
      </w:r>
      <w:r>
        <w:rPr>
          <w:rFonts w:ascii="Calibri" w:hAnsi="Calibri"/>
          <w:color w:val="0F172A"/>
          <w:sz w:val="19"/>
        </w:rPr>
        <w:t>Le point de départ par défaut bascule automatiquement des escaliers vers l'ascenseur central.</w:t>
      </w:r>
    </w:p>
    <w:p>
      <w:pPr>
        <w:pStyle w:val="ListBullet"/>
        <w:spacing w:after="50" w:line="276" w:lineRule="auto"/>
      </w:pPr>
      <w:r>
        <w:rPr>
          <w:rFonts w:ascii="Calibri" w:hAnsi="Calibri"/>
          <w:b/>
          <w:color w:val="0F172A"/>
          <w:sz w:val="19"/>
        </w:rPr>
        <w:t xml:space="preserve">• Confort d'accès : </w:t>
      </w:r>
      <w:r>
        <w:rPr>
          <w:rFonts w:ascii="Calibri" w:hAnsi="Calibri"/>
          <w:color w:val="0F172A"/>
          <w:sz w:val="19"/>
        </w:rPr>
        <w:t>Tous les chemins calculés empruntent des couloirs de largeur réglementaire (&gt; 1,40 m) sans marche ni obstacle.</w:t>
      </w:r>
    </w:p>
    <w:p>
      <w:pPr>
        <w:keepNext/>
        <w:spacing w:before="320" w:after="120"/>
      </w:pPr>
      <w:r>
        <w:rPr>
          <w:rFonts w:ascii="Calibri" w:hAnsi="Calibri"/>
          <w:b/>
          <w:color w:val="2563EB"/>
          <w:sz w:val="30"/>
        </w:rPr>
        <w:t>8. Améliorations Ergonomiques Réalisées</w:t>
      </w:r>
    </w:p>
    <w:p>
      <w:pPr>
        <w:pStyle w:val="ListBullet"/>
        <w:spacing w:after="50" w:line="276" w:lineRule="auto"/>
      </w:pPr>
      <w:r>
        <w:rPr>
          <w:rFonts w:ascii="Calibri" w:hAnsi="Calibri"/>
          <w:b/>
          <w:color w:val="0F172A"/>
          <w:sz w:val="19"/>
        </w:rPr>
        <w:t xml:space="preserve">• En-tête épinglé (Sticky Header) : </w:t>
      </w:r>
      <w:r>
        <w:rPr>
          <w:rFonts w:ascii="Calibri" w:hAnsi="Calibri"/>
          <w:color w:val="0F172A"/>
          <w:sz w:val="19"/>
        </w:rPr>
        <w:t>La zone de recherche et les boutons de filtrage sont fixés en haut de la barre latérale. Ils restent toujours accessibles même lors du défilement.</w:t>
      </w:r>
    </w:p>
    <w:p>
      <w:pPr>
        <w:pStyle w:val="ListBullet"/>
        <w:spacing w:after="50" w:line="276" w:lineRule="auto"/>
      </w:pPr>
      <w:r>
        <w:rPr>
          <w:rFonts w:ascii="Calibri" w:hAnsi="Calibri"/>
          <w:b/>
          <w:color w:val="0F172A"/>
          <w:sz w:val="19"/>
        </w:rPr>
        <w:t xml:space="preserve">• Fiche pliable : </w:t>
      </w:r>
      <w:r>
        <w:rPr>
          <w:rFonts w:ascii="Calibri" w:hAnsi="Calibri"/>
          <w:color w:val="0F172A"/>
          <w:sz w:val="19"/>
        </w:rPr>
        <w:t>Les photos des salles sont intégrées dans un format compact (130 px) avec zoom plein écran au clic. Un bouton '✕ Fermer' permet de masquer la photo à tout moment.</w:t>
      </w:r>
    </w:p>
    <w:p>
      <w:pPr>
        <w:pStyle w:val="ListBullet"/>
        <w:spacing w:after="50" w:line="276" w:lineRule="auto"/>
      </w:pPr>
      <w:r>
        <w:rPr>
          <w:rFonts w:ascii="Calibri" w:hAnsi="Calibri"/>
          <w:b/>
          <w:color w:val="0F172A"/>
          <w:sz w:val="19"/>
        </w:rPr>
        <w:t xml:space="preserve">• Nouveau logo officiel : </w:t>
      </w:r>
      <w:r>
        <w:rPr>
          <w:rFonts w:ascii="Calibri" w:hAnsi="Calibri"/>
          <w:color w:val="0F172A"/>
          <w:sz w:val="19"/>
        </w:rPr>
        <w:t>Intégration du logo ensIIE officiel en haute définition sur fond badge blanc, assurant un rendu parfait sur le thème sombre.</w:t>
      </w:r>
    </w:p>
    <w:p>
      <w:pPr>
        <w:pStyle w:val="ListBullet"/>
        <w:spacing w:after="50" w:line="276" w:lineRule="auto"/>
      </w:pPr>
      <w:r>
        <w:rPr>
          <w:rFonts w:ascii="Calibri" w:hAnsi="Calibri"/>
          <w:b/>
          <w:color w:val="0F172A"/>
          <w:sz w:val="19"/>
        </w:rPr>
        <w:t xml:space="preserve">• Raccourci rapide : </w:t>
      </w:r>
      <w:r>
        <w:rPr>
          <w:rFonts w:ascii="Calibri" w:hAnsi="Calibri"/>
          <w:color w:val="0F172A"/>
          <w:sz w:val="19"/>
        </w:rPr>
        <w:t>Bouton d'action directe '📍 Y aller depuis l'entrée' sur chaque fiche de salle.</w:t>
      </w:r>
    </w:p>
    <w:p>
      <w:pPr>
        <w:keepNext/>
        <w:spacing w:before="320" w:after="120"/>
      </w:pPr>
      <w:r>
        <w:rPr>
          <w:rFonts w:ascii="Calibri" w:hAnsi="Calibri"/>
          <w:b/>
          <w:color w:val="2563EB"/>
          <w:sz w:val="30"/>
        </w:rPr>
        <w:t>9. Guide de Démarrage &amp; Présentation pour le Hackathon</w:t>
      </w:r>
    </w:p>
    <w:p>
      <w:pPr>
        <w:spacing w:after="80" w:line="276" w:lineRule="auto"/>
      </w:pPr>
      <w:r>
        <w:rPr>
          <w:rFonts w:ascii="Calibri" w:hAnsi="Calibri"/>
          <w:color w:val="0F172A"/>
          <w:sz w:val="20"/>
        </w:rPr>
        <w:t>Pour lancer la plateforme lors de la démonstration devant le jury :</w:t>
      </w:r>
    </w:p>
    <w:p>
      <w:pPr>
        <w:pStyle w:val="ListBullet"/>
        <w:spacing w:after="50" w:line="276" w:lineRule="auto"/>
      </w:pPr>
      <w:r>
        <w:rPr>
          <w:rFonts w:ascii="Calibri" w:hAnsi="Calibri"/>
          <w:b/>
          <w:color w:val="0F172A"/>
          <w:sz w:val="19"/>
        </w:rPr>
        <w:t xml:space="preserve">1. Lancement du serveur : </w:t>
      </w:r>
      <w:r>
        <w:rPr>
          <w:rFonts w:ascii="Calibri" w:hAnsi="Calibri"/>
          <w:color w:val="0F172A"/>
          <w:sz w:val="19"/>
        </w:rPr>
        <w:t>Ouvrir le terminal dans le dossier du projet.</w:t>
      </w:r>
    </w:p>
    <w:p>
      <w:pPr>
        <w:pStyle w:val="ListBullet"/>
        <w:spacing w:after="50" w:line="276" w:lineRule="auto"/>
      </w:pPr>
      <w:r>
        <w:rPr>
          <w:rFonts w:ascii="Calibri" w:hAnsi="Calibri"/>
          <w:b/>
          <w:color w:val="0F172A"/>
          <w:sz w:val="19"/>
        </w:rPr>
        <w:t xml:space="preserve">2. Commande : </w:t>
      </w:r>
      <w:r>
        <w:rPr>
          <w:rFonts w:ascii="Calibri" w:hAnsi="Calibri"/>
          <w:color w:val="0F172A"/>
          <w:sz w:val="19"/>
        </w:rPr>
        <w:t>python -m http.server 8080</w:t>
      </w:r>
    </w:p>
    <w:p>
      <w:pPr>
        <w:pStyle w:val="ListBullet"/>
        <w:spacing w:after="50" w:line="276" w:lineRule="auto"/>
      </w:pPr>
      <w:r>
        <w:rPr>
          <w:rFonts w:ascii="Calibri" w:hAnsi="Calibri"/>
          <w:b/>
          <w:color w:val="0F172A"/>
          <w:sz w:val="19"/>
        </w:rPr>
        <w:t xml:space="preserve">3. Accès navigateur : </w:t>
      </w:r>
      <w:r>
        <w:rPr>
          <w:rFonts w:ascii="Calibri" w:hAnsi="Calibri"/>
          <w:color w:val="0F172A"/>
          <w:sz w:val="19"/>
        </w:rPr>
        <w:t>Ouvrir Google Chrome à l'adresse http://localhost:8080</w:t>
      </w:r>
    </w:p>
    <w:p>
      <w:pPr>
        <w:spacing w:after="80" w:line="276" w:lineRule="auto"/>
      </w:pPr>
      <w:r>
        <w:rPr>
          <w:rFonts w:ascii="Calibri" w:hAnsi="Calibri"/>
          <w:color w:val="0F172A"/>
          <w:sz w:val="20"/>
        </w:rPr>
        <w:t>Dépôt GitHub officiel : https://github.com/Agathe-lcn/Jumeau-numerique (Branche main synchronisée).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