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67865">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367865">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67865">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367865">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367865">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367865">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bookmarkStart w:id="22" w:name="_GoBack"/>
      <w:bookmarkEnd w:id="22"/>
      <w:r w:rsidR="0033426B">
        <w: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499899455"/>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499899456"/>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499899457"/>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499899458"/>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499899459"/>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499899460"/>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499899461"/>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499899462"/>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499899463"/>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499899464"/>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499899465"/>
      <w:r>
        <w:lastRenderedPageBreak/>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499899466"/>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499899467"/>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499899468"/>
      <w:r>
        <w:t>Complex Expressions as Parameters</w:t>
      </w:r>
      <w:bookmarkEnd w:id="36"/>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Pr="002249D6" w:rsidRDefault="002249D6" w:rsidP="003E474B">
      <w:pPr>
        <w:pStyle w:val="Code"/>
        <w:rPr>
          <w:color w:val="0070C0"/>
        </w:rPr>
      </w:pPr>
      <w:r>
        <w:rPr>
          <w:color w:val="0070C0"/>
        </w:rPr>
        <w:t>end</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7" w:name="_Toc499899469"/>
      <w:r>
        <w:t>Chained Function Calls</w:t>
      </w:r>
      <w:bookmarkEnd w:id="37"/>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8" w:name="_Toc499899470"/>
      <w:r>
        <w:t>Casting Parameters to Explicit Types</w:t>
      </w:r>
      <w:bookmarkEnd w:id="38"/>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49989947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49989947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1" w:name="_Toc499899473"/>
      <w:r>
        <w:lastRenderedPageBreak/>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lastRenderedPageBreak/>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lastRenderedPageBreak/>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lastRenderedPageBreak/>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w:t>
      </w:r>
      <w:r>
        <w:lastRenderedPageBreak/>
        <w:t xml:space="preserve">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w:t>
      </w:r>
      <w:r w:rsidR="00066732">
        <w:lastRenderedPageBreak/>
        <w:t xml:space="preserve">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lastRenderedPageBreak/>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lastRenderedPageBreak/>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F8FEF-4C2D-42A1-A1AE-54FB1273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24797</TotalTime>
  <Pages>36</Pages>
  <Words>10156</Words>
  <Characters>57892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567</cp:revision>
  <cp:lastPrinted>2017-12-10T03:35:00Z</cp:lastPrinted>
  <dcterms:created xsi:type="dcterms:W3CDTF">2015-10-28T23:29:00Z</dcterms:created>
  <dcterms:modified xsi:type="dcterms:W3CDTF">2017-12-10T03:35:00Z</dcterms:modified>
</cp:coreProperties>
</file>