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6"/>
        </w:rPr>
        <w:t>UNIVERSITÉ DE LOMÉ</w:t>
      </w:r>
    </w:p>
    <w:p>
      <w:pPr>
        <w:jc w:val="center"/>
      </w:pPr>
      <w:r>
        <w:rPr>
          <w:rFonts w:ascii="Times New Roman" w:hAnsi="Times New Roman"/>
          <w:b w:val="0"/>
          <w:sz w:val="24"/>
        </w:rPr>
        <w:t>Faculté des Sciences et Techniques</w:t>
      </w:r>
    </w:p>
    <w:p>
      <w:pPr>
        <w:jc w:val="center"/>
      </w:pPr>
      <w:r>
        <w:rPr>
          <w:rFonts w:ascii="Times New Roman" w:hAnsi="Times New Roman"/>
          <w:b w:val="0"/>
          <w:sz w:val="24"/>
        </w:rPr>
        <w:t>Licence Professionnelle — Génie Logiciel</w:t>
      </w:r>
    </w:p>
    <w:p>
      <w:pPr>
        <w:jc w:val="center"/>
      </w:pPr>
      <w:r>
        <w:rPr>
          <w:rFonts w:ascii="Times New Roman" w:hAnsi="Times New Roman"/>
          <w:b w:val="0"/>
          <w:sz w:val="24"/>
        </w:rPr>
        <w:t>Année académique 2025-2026</w:t>
      </w:r>
    </w:p>
    <w:p/>
    <w:p>
      <w:pPr>
        <w:pBdr>
          <w:bottom w:val="single" w:sz="6" w:space="1" w:color="2563EB"/>
        </w:pBdr>
      </w:pPr>
    </w:p>
    <w:p/>
    <w:p>
      <w:pPr>
        <w:jc w:val="center"/>
      </w:pPr>
      <w:r>
        <w:rPr>
          <w:rFonts w:ascii="Times New Roman" w:hAnsi="Times New Roman"/>
          <w:b/>
          <w:color w:val="1D4ED8"/>
          <w:sz w:val="28"/>
        </w:rPr>
        <w:t>Documentation Technique</w:t>
      </w:r>
    </w:p>
    <w:p>
      <w:pPr>
        <w:jc w:val="center"/>
      </w:pPr>
      <w:r>
        <w:rPr>
          <w:rFonts w:ascii="Times New Roman" w:hAnsi="Times New Roman"/>
          <w:b/>
          <w:color w:val="2563EB"/>
          <w:sz w:val="56"/>
        </w:rPr>
        <w:t>TrustLand</w:t>
      </w:r>
    </w:p>
    <w:p>
      <w:pPr>
        <w:jc w:val="center"/>
      </w:pPr>
      <w:r>
        <w:rPr>
          <w:rFonts w:ascii="Times New Roman" w:hAnsi="Times New Roman"/>
          <w:b w:val="0"/>
          <w:color w:val="1E293B"/>
          <w:sz w:val="32"/>
        </w:rPr>
        <w:t>Plateforme Foncière Sécurisée</w:t>
      </w:r>
    </w:p>
    <w:p>
      <w:pPr>
        <w:jc w:val="center"/>
      </w:pPr>
      <w:r>
        <w:rPr>
          <w:rFonts w:ascii="Times New Roman" w:hAnsi="Times New Roman"/>
          <w:b w:val="0"/>
          <w:sz w:val="26"/>
        </w:rPr>
        <w:t>intégrant Blockchain et Intelligence Artificielle</w:t>
      </w:r>
    </w:p>
    <w:p/>
    <w:p>
      <w:pPr>
        <w:pBdr>
          <w:bottom w:val="single" w:sz="6" w:space="1" w:color="2563EB"/>
        </w:pBdr>
      </w:pPr>
    </w:p>
    <w:p/>
    <w:p>
      <w:pPr>
        <w:jc w:val="center"/>
      </w:pPr>
      <w:r>
        <w:rPr>
          <w:rFonts w:ascii="Times New Roman" w:hAnsi="Times New Roman"/>
          <w:b/>
          <w:sz w:val="24"/>
        </w:rPr>
        <w:t>Réalisé par :</w:t>
      </w:r>
    </w:p>
    <w:p>
      <w:pPr>
        <w:jc w:val="center"/>
      </w:pPr>
      <w:r>
        <w:rPr>
          <w:rFonts w:ascii="Times New Roman" w:hAnsi="Times New Roman"/>
          <w:b w:val="0"/>
          <w:sz w:val="24"/>
        </w:rPr>
        <w:t>AGBEDI Gniclaire</w:t>
      </w:r>
    </w:p>
    <w:p/>
    <w:p>
      <w:pPr>
        <w:jc w:val="center"/>
      </w:pPr>
      <w:r>
        <w:rPr>
          <w:rFonts w:ascii="Times New Roman" w:hAnsi="Times New Roman"/>
          <w:b/>
          <w:sz w:val="24"/>
        </w:rPr>
        <w:t>Sous la direction de :</w:t>
      </w:r>
    </w:p>
    <w:p>
      <w:pPr>
        <w:jc w:val="center"/>
      </w:pPr>
      <w:r>
        <w:rPr>
          <w:rFonts w:ascii="Times New Roman" w:hAnsi="Times New Roman"/>
          <w:b w:val="0"/>
          <w:sz w:val="24"/>
        </w:rPr>
        <w:t>[Nom de l'encadreur]</w:t>
      </w:r>
    </w:p>
    <w:p/>
    <w:p>
      <w:pPr>
        <w:jc w:val="center"/>
      </w:pPr>
      <w:r>
        <w:rPr>
          <w:rFonts w:ascii="Times New Roman" w:hAnsi="Times New Roman"/>
          <w:b w:val="0"/>
          <w:sz w:val="24"/>
        </w:rPr>
        <w:t>Juin 2026</w:t>
      </w:r>
    </w:p>
    <w:p>
      <w:r>
        <w:br w:type="page"/>
      </w:r>
    </w:p>
    <w:p>
      <w:pPr>
        <w:spacing w:before="280" w:after="120"/>
        <w:jc w:val="left"/>
      </w:pPr>
      <w:r>
        <w:rPr>
          <w:rFonts w:ascii="Times New Roman" w:hAnsi="Times New Roman"/>
          <w:b/>
          <w:color w:val="2563EB"/>
          <w:sz w:val="28"/>
        </w:rPr>
        <w:t>1. Architecture Technique</w:t>
      </w:r>
    </w:p>
    <w:p>
      <w:pPr>
        <w:spacing w:before="200" w:after="80"/>
      </w:pPr>
      <w:r>
        <w:rPr>
          <w:rFonts w:ascii="Times New Roman" w:hAnsi="Times New Roman"/>
          <w:b/>
          <w:color w:val="1D4ED8"/>
          <w:sz w:val="24"/>
        </w:rPr>
        <w:t>1.1 Vue d'ensemble</w:t>
      </w:r>
    </w:p>
    <w:p>
      <w:pPr>
        <w:spacing w:after="120"/>
        <w:jc w:val="both"/>
      </w:pPr>
      <w:r>
        <w:rPr>
          <w:rFonts w:ascii="Times New Roman" w:hAnsi="Times New Roman"/>
          <w:sz w:val="24"/>
        </w:rPr>
        <w:t>TrustLand repose sur une architecture trois-tiers découplée. La couche présentation comprend une application web (React/Vite) et une application mobile (React Native/Expo). La couche métier est assurée par une API REST construite avec Django REST Framework. La couche données s'appuie sur PostgreSQL. Les communications entre couches se font exclusivement via HTTPS avec authentification JWT Bearer.</w:t>
      </w:r>
    </w:p>
    <w:p>
      <w:pPr>
        <w:spacing w:after="120"/>
        <w:jc w:val="both"/>
      </w:pPr>
      <w:r>
        <w:rPr>
          <w:rFonts w:ascii="Times New Roman" w:hAnsi="Times New Roman"/>
          <w:sz w:val="24"/>
        </w:rPr>
        <w:t>Flux de communication : Client Web/Mobile  →  HTTPS/JWT  →  API Django (port 8000)  →  PostgreSQL (port 5432). Le reverse proxy Nginx (Railway) assure le TLS en production. Vite proxy redirige /api/* vers localhost:8000 en développement.</w:t>
      </w:r>
    </w:p>
    <w:p>
      <w:pPr>
        <w:spacing w:before="200" w:after="80"/>
      </w:pPr>
      <w:r>
        <w:rPr>
          <w:rFonts w:ascii="Times New Roman" w:hAnsi="Times New Roman"/>
          <w:b/>
          <w:color w:val="1D4ED8"/>
          <w:sz w:val="24"/>
        </w:rPr>
        <w:t>1.2 Stack technologique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563EB"/>
          </w:tcPr>
          <w:p>
            <w:pPr>
              <w:jc w:val="left"/>
            </w:pPr>
            <w:r>
              <w:rPr>
                <w:rFonts w:ascii="Times New Roman" w:hAnsi="Times New Roman"/>
                <w:b/>
                <w:color w:val="FFFFFF"/>
                <w:sz w:val="22"/>
              </w:rPr>
              <w:t>Couche</w:t>
            </w:r>
          </w:p>
        </w:tc>
        <w:tc>
          <w:tcPr>
            <w:tcW w:type="dxa" w:w="2351"/>
            <w:shd w:val="clear" w:color="auto" w:fill="2563EB"/>
          </w:tcPr>
          <w:p>
            <w:pPr>
              <w:jc w:val="left"/>
            </w:pPr>
            <w:r>
              <w:rPr>
                <w:rFonts w:ascii="Times New Roman" w:hAnsi="Times New Roman"/>
                <w:b/>
                <w:color w:val="FFFFFF"/>
                <w:sz w:val="22"/>
              </w:rPr>
              <w:t>Technologie</w:t>
            </w:r>
          </w:p>
        </w:tc>
        <w:tc>
          <w:tcPr>
            <w:tcW w:type="dxa" w:w="2351"/>
            <w:shd w:val="clear" w:color="auto" w:fill="2563EB"/>
          </w:tcPr>
          <w:p>
            <w:pPr>
              <w:jc w:val="left"/>
            </w:pPr>
            <w:r>
              <w:rPr>
                <w:rFonts w:ascii="Times New Roman" w:hAnsi="Times New Roman"/>
                <w:b/>
                <w:color w:val="FFFFFF"/>
                <w:sz w:val="22"/>
              </w:rPr>
              <w:t>Version</w:t>
            </w:r>
          </w:p>
        </w:tc>
        <w:tc>
          <w:tcPr>
            <w:tcW w:type="dxa" w:w="2351"/>
            <w:shd w:val="clear" w:color="auto" w:fill="2563EB"/>
          </w:tcPr>
          <w:p>
            <w:pPr>
              <w:jc w:val="left"/>
            </w:pPr>
            <w:r>
              <w:rPr>
                <w:rFonts w:ascii="Times New Roman" w:hAnsi="Times New Roman"/>
                <w:b/>
                <w:color w:val="FFFFFF"/>
                <w:sz w:val="22"/>
              </w:rPr>
              <w:t>Justification</w:t>
            </w:r>
          </w:p>
        </w:tc>
      </w:tr>
      <w:tr>
        <w:tc>
          <w:tcPr>
            <w:tcW w:type="dxa" w:w="2351"/>
          </w:tcPr>
          <w:p>
            <w:pPr>
              <w:jc w:val="left"/>
            </w:pPr>
            <w:r>
              <w:rPr>
                <w:rFonts w:ascii="Times New Roman" w:hAnsi="Times New Roman"/>
                <w:sz w:val="22"/>
              </w:rPr>
              <w:t>Backend</w:t>
            </w:r>
          </w:p>
        </w:tc>
        <w:tc>
          <w:tcPr>
            <w:tcW w:type="dxa" w:w="2351"/>
          </w:tcPr>
          <w:p>
            <w:pPr>
              <w:jc w:val="left"/>
            </w:pPr>
            <w:r>
              <w:rPr>
                <w:rFonts w:ascii="Times New Roman" w:hAnsi="Times New Roman"/>
                <w:sz w:val="22"/>
              </w:rPr>
              <w:t>Django REST Framework</w:t>
            </w:r>
          </w:p>
        </w:tc>
        <w:tc>
          <w:tcPr>
            <w:tcW w:type="dxa" w:w="2351"/>
          </w:tcPr>
          <w:p>
            <w:pPr>
              <w:jc w:val="left"/>
            </w:pPr>
            <w:r>
              <w:rPr>
                <w:rFonts w:ascii="Times New Roman" w:hAnsi="Times New Roman"/>
                <w:sz w:val="22"/>
              </w:rPr>
              <w:t>3.17 / Django 6.0</w:t>
            </w:r>
          </w:p>
        </w:tc>
        <w:tc>
          <w:tcPr>
            <w:tcW w:type="dxa" w:w="2351"/>
          </w:tcPr>
          <w:p>
            <w:pPr>
              <w:jc w:val="left"/>
            </w:pPr>
            <w:r>
              <w:rPr>
                <w:rFonts w:ascii="Times New Roman" w:hAnsi="Times New Roman"/>
                <w:sz w:val="22"/>
              </w:rPr>
              <w:t>Maturité, ORM puissant, serializers, permissions granulaires</w:t>
            </w:r>
          </w:p>
        </w:tc>
      </w:tr>
      <w:tr>
        <w:tc>
          <w:tcPr>
            <w:tcW w:type="dxa" w:w="2351"/>
          </w:tcPr>
          <w:p>
            <w:pPr>
              <w:jc w:val="left"/>
            </w:pPr>
            <w:r>
              <w:rPr>
                <w:rFonts w:ascii="Times New Roman" w:hAnsi="Times New Roman"/>
                <w:sz w:val="22"/>
              </w:rPr>
              <w:t>Base de données</w:t>
            </w:r>
          </w:p>
        </w:tc>
        <w:tc>
          <w:tcPr>
            <w:tcW w:type="dxa" w:w="2351"/>
          </w:tcPr>
          <w:p>
            <w:pPr>
              <w:jc w:val="left"/>
            </w:pPr>
            <w:r>
              <w:rPr>
                <w:rFonts w:ascii="Times New Roman" w:hAnsi="Times New Roman"/>
                <w:sz w:val="22"/>
              </w:rPr>
              <w:t>PostgreSQL</w:t>
            </w:r>
          </w:p>
        </w:tc>
        <w:tc>
          <w:tcPr>
            <w:tcW w:type="dxa" w:w="2351"/>
          </w:tcPr>
          <w:p>
            <w:pPr>
              <w:jc w:val="left"/>
            </w:pPr>
            <w:r>
              <w:rPr>
                <w:rFonts w:ascii="Times New Roman" w:hAnsi="Times New Roman"/>
                <w:sz w:val="22"/>
              </w:rPr>
              <w:t>16</w:t>
            </w:r>
          </w:p>
        </w:tc>
        <w:tc>
          <w:tcPr>
            <w:tcW w:type="dxa" w:w="2351"/>
          </w:tcPr>
          <w:p>
            <w:pPr>
              <w:jc w:val="left"/>
            </w:pPr>
            <w:r>
              <w:rPr>
                <w:rFonts w:ascii="Times New Roman" w:hAnsi="Times New Roman"/>
                <w:sz w:val="22"/>
              </w:rPr>
              <w:t>ACID, JSON natif, fiabilité pour données foncières critiques</w:t>
            </w:r>
          </w:p>
        </w:tc>
      </w:tr>
      <w:tr>
        <w:tc>
          <w:tcPr>
            <w:tcW w:type="dxa" w:w="2351"/>
          </w:tcPr>
          <w:p>
            <w:pPr>
              <w:jc w:val="left"/>
            </w:pPr>
            <w:r>
              <w:rPr>
                <w:rFonts w:ascii="Times New Roman" w:hAnsi="Times New Roman"/>
                <w:sz w:val="22"/>
              </w:rPr>
              <w:t>Frontend</w:t>
            </w:r>
          </w:p>
        </w:tc>
        <w:tc>
          <w:tcPr>
            <w:tcW w:type="dxa" w:w="2351"/>
          </w:tcPr>
          <w:p>
            <w:pPr>
              <w:jc w:val="left"/>
            </w:pPr>
            <w:r>
              <w:rPr>
                <w:rFonts w:ascii="Times New Roman" w:hAnsi="Times New Roman"/>
                <w:sz w:val="22"/>
              </w:rPr>
              <w:t>React + Vite</w:t>
            </w:r>
          </w:p>
        </w:tc>
        <w:tc>
          <w:tcPr>
            <w:tcW w:type="dxa" w:w="2351"/>
          </w:tcPr>
          <w:p>
            <w:pPr>
              <w:jc w:val="left"/>
            </w:pPr>
            <w:r>
              <w:rPr>
                <w:rFonts w:ascii="Times New Roman" w:hAnsi="Times New Roman"/>
                <w:sz w:val="22"/>
              </w:rPr>
              <w:t>19 / 8.0</w:t>
            </w:r>
          </w:p>
        </w:tc>
        <w:tc>
          <w:tcPr>
            <w:tcW w:type="dxa" w:w="2351"/>
          </w:tcPr>
          <w:p>
            <w:pPr>
              <w:jc w:val="left"/>
            </w:pPr>
            <w:r>
              <w:rPr>
                <w:rFonts w:ascii="Times New Roman" w:hAnsi="Times New Roman"/>
                <w:sz w:val="22"/>
              </w:rPr>
              <w:t>Composants réutilisables, build ultra-rapide, écosystème riche</w:t>
            </w:r>
          </w:p>
        </w:tc>
      </w:tr>
      <w:tr>
        <w:tc>
          <w:tcPr>
            <w:tcW w:type="dxa" w:w="2351"/>
          </w:tcPr>
          <w:p>
            <w:pPr>
              <w:jc w:val="left"/>
            </w:pPr>
            <w:r>
              <w:rPr>
                <w:rFonts w:ascii="Times New Roman" w:hAnsi="Times New Roman"/>
                <w:sz w:val="22"/>
              </w:rPr>
              <w:t>Cartographie</w:t>
            </w:r>
          </w:p>
        </w:tc>
        <w:tc>
          <w:tcPr>
            <w:tcW w:type="dxa" w:w="2351"/>
          </w:tcPr>
          <w:p>
            <w:pPr>
              <w:jc w:val="left"/>
            </w:pPr>
            <w:r>
              <w:rPr>
                <w:rFonts w:ascii="Times New Roman" w:hAnsi="Times New Roman"/>
                <w:sz w:val="22"/>
              </w:rPr>
              <w:t>Leaflet + react-leaflet</w:t>
            </w:r>
          </w:p>
        </w:tc>
        <w:tc>
          <w:tcPr>
            <w:tcW w:type="dxa" w:w="2351"/>
          </w:tcPr>
          <w:p>
            <w:pPr>
              <w:jc w:val="left"/>
            </w:pPr>
            <w:r>
              <w:rPr>
                <w:rFonts w:ascii="Times New Roman" w:hAnsi="Times New Roman"/>
                <w:sz w:val="22"/>
              </w:rPr>
              <w:t>1.9 / 5.0</w:t>
            </w:r>
          </w:p>
        </w:tc>
        <w:tc>
          <w:tcPr>
            <w:tcW w:type="dxa" w:w="2351"/>
          </w:tcPr>
          <w:p>
            <w:pPr>
              <w:jc w:val="left"/>
            </w:pPr>
            <w:r>
              <w:rPr>
                <w:rFonts w:ascii="Times New Roman" w:hAnsi="Times New Roman"/>
                <w:sz w:val="22"/>
              </w:rPr>
              <w:t>Open-source, tuiles OSM, cercles géolocalisés par statut</w:t>
            </w:r>
          </w:p>
        </w:tc>
      </w:tr>
      <w:tr>
        <w:tc>
          <w:tcPr>
            <w:tcW w:type="dxa" w:w="2351"/>
          </w:tcPr>
          <w:p>
            <w:pPr>
              <w:jc w:val="left"/>
            </w:pPr>
            <w:r>
              <w:rPr>
                <w:rFonts w:ascii="Times New Roman" w:hAnsi="Times New Roman"/>
                <w:sz w:val="22"/>
              </w:rPr>
              <w:t>Graphiques</w:t>
            </w:r>
          </w:p>
        </w:tc>
        <w:tc>
          <w:tcPr>
            <w:tcW w:type="dxa" w:w="2351"/>
          </w:tcPr>
          <w:p>
            <w:pPr>
              <w:jc w:val="left"/>
            </w:pPr>
            <w:r>
              <w:rPr>
                <w:rFonts w:ascii="Times New Roman" w:hAnsi="Times New Roman"/>
                <w:sz w:val="22"/>
              </w:rPr>
              <w:t>Recharts</w:t>
            </w:r>
          </w:p>
        </w:tc>
        <w:tc>
          <w:tcPr>
            <w:tcW w:type="dxa" w:w="2351"/>
          </w:tcPr>
          <w:p>
            <w:pPr>
              <w:jc w:val="left"/>
            </w:pPr>
            <w:r>
              <w:rPr>
                <w:rFonts w:ascii="Times New Roman" w:hAnsi="Times New Roman"/>
                <w:sz w:val="22"/>
              </w:rPr>
              <w:t>3.8</w:t>
            </w:r>
          </w:p>
        </w:tc>
        <w:tc>
          <w:tcPr>
            <w:tcW w:type="dxa" w:w="2351"/>
          </w:tcPr>
          <w:p>
            <w:pPr>
              <w:jc w:val="left"/>
            </w:pPr>
            <w:r>
              <w:rPr>
                <w:rFonts w:ascii="Times New Roman" w:hAnsi="Times New Roman"/>
                <w:sz w:val="22"/>
              </w:rPr>
              <w:t>Composants React natifs, responsive, bar/pie charts</w:t>
            </w:r>
          </w:p>
        </w:tc>
      </w:tr>
      <w:tr>
        <w:tc>
          <w:tcPr>
            <w:tcW w:type="dxa" w:w="2351"/>
          </w:tcPr>
          <w:p>
            <w:pPr>
              <w:jc w:val="left"/>
            </w:pPr>
            <w:r>
              <w:rPr>
                <w:rFonts w:ascii="Times New Roman" w:hAnsi="Times New Roman"/>
                <w:sz w:val="22"/>
              </w:rPr>
              <w:t>Mobile</w:t>
            </w:r>
          </w:p>
        </w:tc>
        <w:tc>
          <w:tcPr>
            <w:tcW w:type="dxa" w:w="2351"/>
          </w:tcPr>
          <w:p>
            <w:pPr>
              <w:jc w:val="left"/>
            </w:pPr>
            <w:r>
              <w:rPr>
                <w:rFonts w:ascii="Times New Roman" w:hAnsi="Times New Roman"/>
                <w:sz w:val="22"/>
              </w:rPr>
              <w:t>Expo (React Native)</w:t>
            </w:r>
          </w:p>
        </w:tc>
        <w:tc>
          <w:tcPr>
            <w:tcW w:type="dxa" w:w="2351"/>
          </w:tcPr>
          <w:p>
            <w:pPr>
              <w:jc w:val="left"/>
            </w:pPr>
            <w:r>
              <w:rPr>
                <w:rFonts w:ascii="Times New Roman" w:hAnsi="Times New Roman"/>
                <w:sz w:val="22"/>
              </w:rPr>
              <w:t>56 / 0.85</w:t>
            </w:r>
          </w:p>
        </w:tc>
        <w:tc>
          <w:tcPr>
            <w:tcW w:type="dxa" w:w="2351"/>
          </w:tcPr>
          <w:p>
            <w:pPr>
              <w:jc w:val="left"/>
            </w:pPr>
            <w:r>
              <w:rPr>
                <w:rFonts w:ascii="Times New Roman" w:hAnsi="Times New Roman"/>
                <w:sz w:val="22"/>
              </w:rPr>
              <w:t>Cross-platform iOS/Android, OTA updates, plugins natifs</w:t>
            </w:r>
          </w:p>
        </w:tc>
      </w:tr>
      <w:tr>
        <w:tc>
          <w:tcPr>
            <w:tcW w:type="dxa" w:w="2351"/>
          </w:tcPr>
          <w:p>
            <w:pPr>
              <w:jc w:val="left"/>
            </w:pPr>
            <w:r>
              <w:rPr>
                <w:rFonts w:ascii="Times New Roman" w:hAnsi="Times New Roman"/>
                <w:sz w:val="22"/>
              </w:rPr>
              <w:t>Auth</w:t>
            </w:r>
          </w:p>
        </w:tc>
        <w:tc>
          <w:tcPr>
            <w:tcW w:type="dxa" w:w="2351"/>
          </w:tcPr>
          <w:p>
            <w:pPr>
              <w:jc w:val="left"/>
            </w:pPr>
            <w:r>
              <w:rPr>
                <w:rFonts w:ascii="Times New Roman" w:hAnsi="Times New Roman"/>
                <w:sz w:val="22"/>
              </w:rPr>
              <w:t>simplejwt</w:t>
            </w:r>
          </w:p>
        </w:tc>
        <w:tc>
          <w:tcPr>
            <w:tcW w:type="dxa" w:w="2351"/>
          </w:tcPr>
          <w:p>
            <w:pPr>
              <w:jc w:val="left"/>
            </w:pPr>
            <w:r>
              <w:rPr>
                <w:rFonts w:ascii="Times New Roman" w:hAnsi="Times New Roman"/>
                <w:sz w:val="22"/>
              </w:rPr>
              <w:t>5.x</w:t>
            </w:r>
          </w:p>
        </w:tc>
        <w:tc>
          <w:tcPr>
            <w:tcW w:type="dxa" w:w="2351"/>
          </w:tcPr>
          <w:p>
            <w:pPr>
              <w:jc w:val="left"/>
            </w:pPr>
            <w:r>
              <w:rPr>
                <w:rFonts w:ascii="Times New Roman" w:hAnsi="Times New Roman"/>
                <w:sz w:val="22"/>
              </w:rPr>
              <w:t>Access (60 min) + Refresh (24 h), rotation + blacklist</w:t>
            </w:r>
          </w:p>
        </w:tc>
      </w:tr>
      <w:tr>
        <w:tc>
          <w:tcPr>
            <w:tcW w:type="dxa" w:w="2351"/>
          </w:tcPr>
          <w:p>
            <w:pPr>
              <w:jc w:val="left"/>
            </w:pPr>
            <w:r>
              <w:rPr>
                <w:rFonts w:ascii="Times New Roman" w:hAnsi="Times New Roman"/>
                <w:sz w:val="22"/>
              </w:rPr>
              <w:t>PDF</w:t>
            </w:r>
          </w:p>
        </w:tc>
        <w:tc>
          <w:tcPr>
            <w:tcW w:type="dxa" w:w="2351"/>
          </w:tcPr>
          <w:p>
            <w:pPr>
              <w:jc w:val="left"/>
            </w:pPr>
            <w:r>
              <w:rPr>
                <w:rFonts w:ascii="Times New Roman" w:hAnsi="Times New Roman"/>
                <w:sz w:val="22"/>
              </w:rPr>
              <w:t>ReportLab</w:t>
            </w:r>
          </w:p>
        </w:tc>
        <w:tc>
          <w:tcPr>
            <w:tcW w:type="dxa" w:w="2351"/>
          </w:tcPr>
          <w:p>
            <w:pPr>
              <w:jc w:val="left"/>
            </w:pPr>
            <w:r>
              <w:rPr>
                <w:rFonts w:ascii="Times New Roman" w:hAnsi="Times New Roman"/>
                <w:sz w:val="22"/>
              </w:rPr>
              <w:t>4.x</w:t>
            </w:r>
          </w:p>
        </w:tc>
        <w:tc>
          <w:tcPr>
            <w:tcW w:type="dxa" w:w="2351"/>
          </w:tcPr>
          <w:p>
            <w:pPr>
              <w:jc w:val="left"/>
            </w:pPr>
            <w:r>
              <w:rPr>
                <w:rFonts w:ascii="Times New Roman" w:hAnsi="Times New Roman"/>
                <w:sz w:val="22"/>
              </w:rPr>
              <w:t>Génération programmatique de certificats fonciers</w:t>
            </w:r>
          </w:p>
        </w:tc>
      </w:tr>
      <w:tr>
        <w:tc>
          <w:tcPr>
            <w:tcW w:type="dxa" w:w="2351"/>
          </w:tcPr>
          <w:p>
            <w:pPr>
              <w:jc w:val="left"/>
            </w:pPr>
            <w:r>
              <w:rPr>
                <w:rFonts w:ascii="Times New Roman" w:hAnsi="Times New Roman"/>
                <w:sz w:val="22"/>
              </w:rPr>
              <w:t>Déploiement</w:t>
            </w:r>
          </w:p>
        </w:tc>
        <w:tc>
          <w:tcPr>
            <w:tcW w:type="dxa" w:w="2351"/>
          </w:tcPr>
          <w:p>
            <w:pPr>
              <w:jc w:val="left"/>
            </w:pPr>
            <w:r>
              <w:rPr>
                <w:rFonts w:ascii="Times New Roman" w:hAnsi="Times New Roman"/>
                <w:sz w:val="22"/>
              </w:rPr>
              <w:t>Railway + Vercel</w:t>
            </w:r>
          </w:p>
        </w:tc>
        <w:tc>
          <w:tcPr>
            <w:tcW w:type="dxa" w:w="2351"/>
          </w:tcPr>
          <w:p>
            <w:pPr>
              <w:jc w:val="left"/>
            </w:pPr>
            <w:r>
              <w:rPr>
                <w:rFonts w:ascii="Times New Roman" w:hAnsi="Times New Roman"/>
                <w:sz w:val="22"/>
              </w:rPr>
              <w:t>—</w:t>
            </w:r>
          </w:p>
        </w:tc>
        <w:tc>
          <w:tcPr>
            <w:tcW w:type="dxa" w:w="2351"/>
          </w:tcPr>
          <w:p>
            <w:pPr>
              <w:jc w:val="left"/>
            </w:pPr>
            <w:r>
              <w:rPr>
                <w:rFonts w:ascii="Times New Roman" w:hAnsi="Times New Roman"/>
                <w:sz w:val="22"/>
              </w:rPr>
              <w:t>PaaS managés, CI/CD automatique, SSL inclus</w:t>
            </w:r>
          </w:p>
        </w:tc>
      </w:tr>
    </w:tbl>
    <w:p/>
    <w:p>
      <w:r>
        <w:br w:type="page"/>
      </w:r>
    </w:p>
    <w:p>
      <w:pPr>
        <w:spacing w:before="280" w:after="120"/>
        <w:jc w:val="left"/>
      </w:pPr>
      <w:r>
        <w:rPr>
          <w:rFonts w:ascii="Times New Roman" w:hAnsi="Times New Roman"/>
          <w:b/>
          <w:color w:val="2563EB"/>
          <w:sz w:val="28"/>
        </w:rPr>
        <w:t>2. Base de Données et Modèles</w:t>
      </w:r>
    </w:p>
    <w:p>
      <w:pPr>
        <w:spacing w:before="200" w:after="80"/>
      </w:pPr>
      <w:r>
        <w:rPr>
          <w:rFonts w:ascii="Times New Roman" w:hAnsi="Times New Roman"/>
          <w:b/>
          <w:color w:val="1D4ED8"/>
          <w:sz w:val="24"/>
        </w:rPr>
        <w:t>2.1 Choix de PostgreSQL</w:t>
      </w:r>
    </w:p>
    <w:p>
      <w:pPr>
        <w:spacing w:after="120"/>
        <w:jc w:val="both"/>
      </w:pPr>
      <w:r>
        <w:rPr>
          <w:rFonts w:ascii="Times New Roman" w:hAnsi="Times New Roman"/>
          <w:sz w:val="24"/>
        </w:rPr>
        <w:t>PostgreSQL a été retenu pour sa conformité ACID, indispensable dans un registre foncier où chaque écriture est irréversible. Le support natif des types JSON permet de stocker les données blockchain (payload des blocs). Les contraintes d'intégrité référentielle garantissent la cohérence des relations entre propriétaires, terrains et transactions.</w:t>
      </w:r>
    </w:p>
    <w:p>
      <w:pPr>
        <w:spacing w:before="200" w:after="80"/>
      </w:pPr>
      <w:r>
        <w:rPr>
          <w:rFonts w:ascii="Times New Roman" w:hAnsi="Times New Roman"/>
          <w:b/>
          <w:color w:val="1D4ED8"/>
          <w:sz w:val="24"/>
        </w:rPr>
        <w:t>2.2 Modèles et relations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563EB"/>
          </w:tcPr>
          <w:p>
            <w:pPr>
              <w:jc w:val="left"/>
            </w:pPr>
            <w:r>
              <w:rPr>
                <w:rFonts w:ascii="Times New Roman" w:hAnsi="Times New Roman"/>
                <w:b/>
                <w:color w:val="FFFFFF"/>
                <w:sz w:val="22"/>
              </w:rPr>
              <w:t>Modèle</w:t>
            </w:r>
          </w:p>
        </w:tc>
        <w:tc>
          <w:tcPr>
            <w:tcW w:type="dxa" w:w="3135"/>
            <w:shd w:val="clear" w:color="auto" w:fill="2563EB"/>
          </w:tcPr>
          <w:p>
            <w:pPr>
              <w:jc w:val="left"/>
            </w:pPr>
            <w:r>
              <w:rPr>
                <w:rFonts w:ascii="Times New Roman" w:hAnsi="Times New Roman"/>
                <w:b/>
                <w:color w:val="FFFFFF"/>
                <w:sz w:val="22"/>
              </w:rPr>
              <w:t>Champs principaux</w:t>
            </w:r>
          </w:p>
        </w:tc>
        <w:tc>
          <w:tcPr>
            <w:tcW w:type="dxa" w:w="3135"/>
            <w:shd w:val="clear" w:color="auto" w:fill="2563EB"/>
          </w:tcPr>
          <w:p>
            <w:pPr>
              <w:jc w:val="left"/>
            </w:pPr>
            <w:r>
              <w:rPr>
                <w:rFonts w:ascii="Times New Roman" w:hAnsi="Times New Roman"/>
                <w:b/>
                <w:color w:val="FFFFFF"/>
                <w:sz w:val="22"/>
              </w:rPr>
              <w:t>Relations</w:t>
            </w:r>
          </w:p>
        </w:tc>
      </w:tr>
      <w:tr>
        <w:tc>
          <w:tcPr>
            <w:tcW w:type="dxa" w:w="3135"/>
          </w:tcPr>
          <w:p>
            <w:pPr>
              <w:jc w:val="left"/>
            </w:pPr>
            <w:r>
              <w:rPr>
                <w:rFonts w:ascii="Times New Roman" w:hAnsi="Times New Roman"/>
                <w:sz w:val="22"/>
              </w:rPr>
              <w:t>Utilisateur</w:t>
            </w:r>
          </w:p>
        </w:tc>
        <w:tc>
          <w:tcPr>
            <w:tcW w:type="dxa" w:w="3135"/>
          </w:tcPr>
          <w:p>
            <w:pPr>
              <w:jc w:val="left"/>
            </w:pPr>
            <w:r>
              <w:rPr>
                <w:rFonts w:ascii="Times New Roman" w:hAnsi="Times New Roman"/>
                <w:sz w:val="22"/>
              </w:rPr>
              <w:t>username, email, role (admin/agent/proprietaire), is_active</w:t>
            </w:r>
          </w:p>
        </w:tc>
        <w:tc>
          <w:tcPr>
            <w:tcW w:type="dxa" w:w="3135"/>
          </w:tcPr>
          <w:p>
            <w:pPr>
              <w:jc w:val="left"/>
            </w:pPr>
            <w:r>
              <w:rPr>
                <w:rFonts w:ascii="Times New Roman" w:hAnsi="Times New Roman"/>
                <w:sz w:val="22"/>
              </w:rPr>
              <w:t>Hérite AbstractUser Django</w:t>
            </w:r>
          </w:p>
        </w:tc>
      </w:tr>
      <w:tr>
        <w:tc>
          <w:tcPr>
            <w:tcW w:type="dxa" w:w="3135"/>
          </w:tcPr>
          <w:p>
            <w:pPr>
              <w:jc w:val="left"/>
            </w:pPr>
            <w:r>
              <w:rPr>
                <w:rFonts w:ascii="Times New Roman" w:hAnsi="Times New Roman"/>
                <w:sz w:val="22"/>
              </w:rPr>
              <w:t>Proprietaire</w:t>
            </w:r>
          </w:p>
        </w:tc>
        <w:tc>
          <w:tcPr>
            <w:tcW w:type="dxa" w:w="3135"/>
          </w:tcPr>
          <w:p>
            <w:pPr>
              <w:jc w:val="left"/>
            </w:pPr>
            <w:r>
              <w:rPr>
                <w:rFonts w:ascii="Times New Roman" w:hAnsi="Times New Roman"/>
                <w:sz w:val="22"/>
              </w:rPr>
              <w:t>nom, prenom, email, telephone*, numero_identite* (*chiffrés Fernet)</w:t>
            </w:r>
          </w:p>
        </w:tc>
        <w:tc>
          <w:tcPr>
            <w:tcW w:type="dxa" w:w="3135"/>
          </w:tcPr>
          <w:p>
            <w:pPr>
              <w:jc w:val="left"/>
            </w:pPr>
            <w:r>
              <w:rPr>
                <w:rFonts w:ascii="Times New Roman" w:hAnsi="Times New Roman"/>
                <w:sz w:val="22"/>
              </w:rPr>
              <w:t>→ Terrain (1-N)</w:t>
            </w:r>
          </w:p>
        </w:tc>
      </w:tr>
      <w:tr>
        <w:tc>
          <w:tcPr>
            <w:tcW w:type="dxa" w:w="3135"/>
          </w:tcPr>
          <w:p>
            <w:pPr>
              <w:jc w:val="left"/>
            </w:pPr>
            <w:r>
              <w:rPr>
                <w:rFonts w:ascii="Times New Roman" w:hAnsi="Times New Roman"/>
                <w:sz w:val="22"/>
              </w:rPr>
              <w:t>Terrain</w:t>
            </w:r>
          </w:p>
        </w:tc>
        <w:tc>
          <w:tcPr>
            <w:tcW w:type="dxa" w:w="3135"/>
          </w:tcPr>
          <w:p>
            <w:pPr>
              <w:jc w:val="left"/>
            </w:pPr>
            <w:r>
              <w:rPr>
                <w:rFonts w:ascii="Times New Roman" w:hAnsi="Times New Roman"/>
                <w:sz w:val="22"/>
              </w:rPr>
              <w:t>adresse, superficie, coordonnees_gps, statut (libre/en_transaction/litige), qr_code</w:t>
            </w:r>
          </w:p>
        </w:tc>
        <w:tc>
          <w:tcPr>
            <w:tcW w:type="dxa" w:w="3135"/>
          </w:tcPr>
          <w:p>
            <w:pPr>
              <w:jc w:val="left"/>
            </w:pPr>
            <w:r>
              <w:rPr>
                <w:rFonts w:ascii="Times New Roman" w:hAnsi="Times New Roman"/>
                <w:sz w:val="22"/>
              </w:rPr>
              <w:t>→ Proprietaire (FK), → Document (1-N), → Transaction (1-N), → Litige (1-N)</w:t>
            </w:r>
          </w:p>
        </w:tc>
      </w:tr>
      <w:tr>
        <w:tc>
          <w:tcPr>
            <w:tcW w:type="dxa" w:w="3135"/>
          </w:tcPr>
          <w:p>
            <w:pPr>
              <w:jc w:val="left"/>
            </w:pPr>
            <w:r>
              <w:rPr>
                <w:rFonts w:ascii="Times New Roman" w:hAnsi="Times New Roman"/>
                <w:sz w:val="22"/>
              </w:rPr>
              <w:t>Document</w:t>
            </w:r>
          </w:p>
        </w:tc>
        <w:tc>
          <w:tcPr>
            <w:tcW w:type="dxa" w:w="3135"/>
          </w:tcPr>
          <w:p>
            <w:pPr>
              <w:jc w:val="left"/>
            </w:pPr>
            <w:r>
              <w:rPr>
                <w:rFonts w:ascii="Times New Roman" w:hAnsi="Times New Roman"/>
                <w:sz w:val="22"/>
              </w:rPr>
              <w:t>type (titre_foncier/contrat/autre), fichier, hash_fichier (SHA-256)</w:t>
            </w:r>
          </w:p>
        </w:tc>
        <w:tc>
          <w:tcPr>
            <w:tcW w:type="dxa" w:w="3135"/>
          </w:tcPr>
          <w:p>
            <w:pPr>
              <w:jc w:val="left"/>
            </w:pPr>
            <w:r>
              <w:rPr>
                <w:rFonts w:ascii="Times New Roman" w:hAnsi="Times New Roman"/>
                <w:sz w:val="22"/>
              </w:rPr>
              <w:t>→ Terrain (FK)</w:t>
            </w:r>
          </w:p>
        </w:tc>
      </w:tr>
      <w:tr>
        <w:tc>
          <w:tcPr>
            <w:tcW w:type="dxa" w:w="3135"/>
          </w:tcPr>
          <w:p>
            <w:pPr>
              <w:jc w:val="left"/>
            </w:pPr>
            <w:r>
              <w:rPr>
                <w:rFonts w:ascii="Times New Roman" w:hAnsi="Times New Roman"/>
                <w:sz w:val="22"/>
              </w:rPr>
              <w:t>Transaction</w:t>
            </w:r>
          </w:p>
        </w:tc>
        <w:tc>
          <w:tcPr>
            <w:tcW w:type="dxa" w:w="3135"/>
          </w:tcPr>
          <w:p>
            <w:pPr>
              <w:jc w:val="left"/>
            </w:pPr>
            <w:r>
              <w:rPr>
                <w:rFonts w:ascii="Times New Roman" w:hAnsi="Times New Roman"/>
                <w:sz w:val="22"/>
              </w:rPr>
              <w:t>montant, date_transaction, vendeur, acheteur, signature_numerique, bloc</w:t>
            </w:r>
          </w:p>
        </w:tc>
        <w:tc>
          <w:tcPr>
            <w:tcW w:type="dxa" w:w="3135"/>
          </w:tcPr>
          <w:p>
            <w:pPr>
              <w:jc w:val="left"/>
            </w:pPr>
            <w:r>
              <w:rPr>
                <w:rFonts w:ascii="Times New Roman" w:hAnsi="Times New Roman"/>
                <w:sz w:val="22"/>
              </w:rPr>
              <w:t>→ Terrain (FK), → Proprietaire×2 (FK), → Bloc (FK)</w:t>
            </w:r>
          </w:p>
        </w:tc>
      </w:tr>
      <w:tr>
        <w:tc>
          <w:tcPr>
            <w:tcW w:type="dxa" w:w="3135"/>
          </w:tcPr>
          <w:p>
            <w:pPr>
              <w:jc w:val="left"/>
            </w:pPr>
            <w:r>
              <w:rPr>
                <w:rFonts w:ascii="Times New Roman" w:hAnsi="Times New Roman"/>
                <w:sz w:val="22"/>
              </w:rPr>
              <w:t>Litige</w:t>
            </w:r>
          </w:p>
        </w:tc>
        <w:tc>
          <w:tcPr>
            <w:tcW w:type="dxa" w:w="3135"/>
          </w:tcPr>
          <w:p>
            <w:pPr>
              <w:jc w:val="left"/>
            </w:pPr>
            <w:r>
              <w:rPr>
                <w:rFonts w:ascii="Times New Roman" w:hAnsi="Times New Roman"/>
                <w:sz w:val="22"/>
              </w:rPr>
              <w:t>description, statut (ouvert/resolu), resolution, date_resolution</w:t>
            </w:r>
          </w:p>
        </w:tc>
        <w:tc>
          <w:tcPr>
            <w:tcW w:type="dxa" w:w="3135"/>
          </w:tcPr>
          <w:p>
            <w:pPr>
              <w:jc w:val="left"/>
            </w:pPr>
            <w:r>
              <w:rPr>
                <w:rFonts w:ascii="Times New Roman" w:hAnsi="Times New Roman"/>
                <w:sz w:val="22"/>
              </w:rPr>
              <w:t>→ Terrain (FK), → Proprietaire (FK)</w:t>
            </w:r>
          </w:p>
        </w:tc>
      </w:tr>
      <w:tr>
        <w:tc>
          <w:tcPr>
            <w:tcW w:type="dxa" w:w="3135"/>
          </w:tcPr>
          <w:p>
            <w:pPr>
              <w:jc w:val="left"/>
            </w:pPr>
            <w:r>
              <w:rPr>
                <w:rFonts w:ascii="Times New Roman" w:hAnsi="Times New Roman"/>
                <w:sz w:val="22"/>
              </w:rPr>
              <w:t>Bloc</w:t>
            </w:r>
          </w:p>
        </w:tc>
        <w:tc>
          <w:tcPr>
            <w:tcW w:type="dxa" w:w="3135"/>
          </w:tcPr>
          <w:p>
            <w:pPr>
              <w:jc w:val="left"/>
            </w:pPr>
            <w:r>
              <w:rPr>
                <w:rFonts w:ascii="Times New Roman" w:hAnsi="Times New Roman"/>
                <w:sz w:val="22"/>
              </w:rPr>
              <w:t>index, timestamp, hash, hash_precedent, type_bloc, donnees (JSON)</w:t>
            </w:r>
          </w:p>
        </w:tc>
        <w:tc>
          <w:tcPr>
            <w:tcW w:type="dxa" w:w="3135"/>
          </w:tcPr>
          <w:p>
            <w:pPr>
              <w:jc w:val="left"/>
            </w:pPr>
            <w:r>
              <w:rPr>
                <w:rFonts w:ascii="Times New Roman" w:hAnsi="Times New Roman"/>
                <w:sz w:val="22"/>
              </w:rPr>
              <w:t>Chaîne immuable</w:t>
            </w:r>
          </w:p>
        </w:tc>
      </w:tr>
      <w:tr>
        <w:tc>
          <w:tcPr>
            <w:tcW w:type="dxa" w:w="3135"/>
          </w:tcPr>
          <w:p>
            <w:pPr>
              <w:jc w:val="left"/>
            </w:pPr>
            <w:r>
              <w:rPr>
                <w:rFonts w:ascii="Times New Roman" w:hAnsi="Times New Roman"/>
                <w:sz w:val="22"/>
              </w:rPr>
              <w:t>Alerte</w:t>
            </w:r>
          </w:p>
        </w:tc>
        <w:tc>
          <w:tcPr>
            <w:tcW w:type="dxa" w:w="3135"/>
          </w:tcPr>
          <w:p>
            <w:pPr>
              <w:jc w:val="left"/>
            </w:pPr>
            <w:r>
              <w:rPr>
                <w:rFonts w:ascii="Times New Roman" w:hAnsi="Times New Roman"/>
                <w:sz w:val="22"/>
              </w:rPr>
              <w:t>description, niveau (faible/moyen/critique), terrain, resolue</w:t>
            </w:r>
          </w:p>
        </w:tc>
        <w:tc>
          <w:tcPr>
            <w:tcW w:type="dxa" w:w="3135"/>
          </w:tcPr>
          <w:p>
            <w:pPr>
              <w:jc w:val="left"/>
            </w:pPr>
            <w:r>
              <w:rPr>
                <w:rFonts w:ascii="Times New Roman" w:hAnsi="Times New Roman"/>
                <w:sz w:val="22"/>
              </w:rPr>
              <w:t>→ Terrain (FK)</w:t>
            </w:r>
          </w:p>
        </w:tc>
      </w:tr>
      <w:tr>
        <w:tc>
          <w:tcPr>
            <w:tcW w:type="dxa" w:w="3135"/>
          </w:tcPr>
          <w:p>
            <w:pPr>
              <w:jc w:val="left"/>
            </w:pPr>
            <w:r>
              <w:rPr>
                <w:rFonts w:ascii="Times New Roman" w:hAnsi="Times New Roman"/>
                <w:sz w:val="22"/>
              </w:rPr>
              <w:t>PushToken</w:t>
            </w:r>
          </w:p>
        </w:tc>
        <w:tc>
          <w:tcPr>
            <w:tcW w:type="dxa" w:w="3135"/>
          </w:tcPr>
          <w:p>
            <w:pPr>
              <w:jc w:val="left"/>
            </w:pPr>
            <w:r>
              <w:rPr>
                <w:rFonts w:ascii="Times New Roman" w:hAnsi="Times New Roman"/>
                <w:sz w:val="22"/>
              </w:rPr>
              <w:t>token (Expo), created_at</w:t>
            </w:r>
          </w:p>
        </w:tc>
        <w:tc>
          <w:tcPr>
            <w:tcW w:type="dxa" w:w="3135"/>
          </w:tcPr>
          <w:p>
            <w:pPr>
              <w:jc w:val="left"/>
            </w:pPr>
            <w:r>
              <w:rPr>
                <w:rFonts w:ascii="Times New Roman" w:hAnsi="Times New Roman"/>
                <w:sz w:val="22"/>
              </w:rPr>
              <w:t>→ Utilisateur (FK), notifications push mobiles</w:t>
            </w:r>
          </w:p>
        </w:tc>
      </w:tr>
    </w:tbl>
    <w:p>
      <w:r>
        <w:br w:type="page"/>
      </w:r>
    </w:p>
    <w:p>
      <w:pPr>
        <w:spacing w:before="280" w:after="120"/>
        <w:jc w:val="left"/>
      </w:pPr>
      <w:r>
        <w:rPr>
          <w:rFonts w:ascii="Times New Roman" w:hAnsi="Times New Roman"/>
          <w:b/>
          <w:color w:val="2563EB"/>
          <w:sz w:val="28"/>
        </w:rPr>
        <w:t>3. Fonctionnalités Clés</w:t>
      </w:r>
    </w:p>
    <w:p>
      <w:pPr>
        <w:spacing w:before="200" w:after="80"/>
      </w:pPr>
      <w:r>
        <w:rPr>
          <w:rFonts w:ascii="Times New Roman" w:hAnsi="Times New Roman"/>
          <w:b/>
          <w:color w:val="1D4ED8"/>
          <w:sz w:val="24"/>
        </w:rPr>
        <w:t>3.1 Blockchain locale</w:t>
      </w:r>
    </w:p>
    <w:p>
      <w:pPr>
        <w:spacing w:after="120"/>
        <w:jc w:val="both"/>
      </w:pPr>
      <w:r>
        <w:rPr>
          <w:rFonts w:ascii="Times New Roman" w:hAnsi="Times New Roman"/>
          <w:sz w:val="24"/>
        </w:rPr>
        <w:t>Chaque transaction ou litige déclenche la création d'un nouveau bloc. Le hash de chaque bloc est calculé via SHA-256 sur la concaténation de : index + timestamp + hash_précédent + données JSON. L'endpoint GET /api/blockchain/verifier/ recalcule tous les hashes et compare au hash stocké — toute altération est immédiatement détectée. Le bloc genesis (index 0) est créé au premier démarrage.</w:t>
      </w:r>
    </w:p>
    <w:p>
      <w:pPr>
        <w:spacing w:before="200" w:after="80"/>
      </w:pPr>
      <w:r>
        <w:rPr>
          <w:rFonts w:ascii="Times New Roman" w:hAnsi="Times New Roman"/>
          <w:b/>
          <w:color w:val="1D4ED8"/>
          <w:sz w:val="24"/>
        </w:rPr>
        <w:t>3.2 Module IA anti-fraude</w:t>
      </w:r>
    </w:p>
    <w:p>
      <w:pPr>
        <w:spacing w:after="120"/>
        <w:jc w:val="both"/>
      </w:pPr>
      <w:r>
        <w:rPr>
          <w:rFonts w:ascii="Times New Roman" w:hAnsi="Times New Roman"/>
          <w:sz w:val="24"/>
        </w:rPr>
        <w:t>Le module analyse chaque nouvelle transaction selon quatre règles métier :</w:t>
      </w:r>
    </w:p>
    <w:p>
      <w:pPr>
        <w:pStyle w:val="ListBullet"/>
        <w:jc w:val="left"/>
      </w:pPr>
      <w:r>
        <w:rPr>
          <w:rFonts w:ascii="Times New Roman" w:hAnsi="Times New Roman"/>
          <w:sz w:val="24"/>
        </w:rPr>
        <w:t>Double vente : même terrain vendu deux fois dans une fenêtre de 30 jours → alerte CRITIQUE</w:t>
      </w:r>
    </w:p>
    <w:p>
      <w:pPr>
        <w:pStyle w:val="ListBullet"/>
        <w:jc w:val="left"/>
      </w:pPr>
      <w:r>
        <w:rPr>
          <w:rFonts w:ascii="Times New Roman" w:hAnsi="Times New Roman"/>
          <w:sz w:val="24"/>
        </w:rPr>
        <w:t>Cession répétée suspecte : plus de 3 transactions sur un même terrain en 90 jours → alerte MOYEN</w:t>
      </w:r>
    </w:p>
    <w:p>
      <w:pPr>
        <w:pStyle w:val="ListBullet"/>
        <w:jc w:val="left"/>
      </w:pPr>
      <w:r>
        <w:rPr>
          <w:rFonts w:ascii="Times New Roman" w:hAnsi="Times New Roman"/>
          <w:sz w:val="24"/>
        </w:rPr>
        <w:t>Vente simultanée : même vendeur dans deux transactions actives → alerte CRITIQUE</w:t>
      </w:r>
    </w:p>
    <w:p>
      <w:pPr>
        <w:pStyle w:val="ListBullet"/>
        <w:jc w:val="left"/>
      </w:pPr>
      <w:r>
        <w:rPr>
          <w:rFonts w:ascii="Times New Roman" w:hAnsi="Times New Roman"/>
          <w:sz w:val="24"/>
        </w:rPr>
        <w:t>Prix anormalement bas : montant &lt; 10 % de la médiane des transactions voisines → alerte FAIBLE</w:t>
      </w:r>
    </w:p>
    <w:p>
      <w:pPr>
        <w:spacing w:before="200" w:after="80"/>
      </w:pPr>
      <w:r>
        <w:rPr>
          <w:rFonts w:ascii="Times New Roman" w:hAnsi="Times New Roman"/>
          <w:b/>
          <w:color w:val="1D4ED8"/>
          <w:sz w:val="24"/>
        </w:rPr>
        <w:t>3.3 Authentification JWT</w:t>
      </w:r>
    </w:p>
    <w:p>
      <w:pPr>
        <w:spacing w:after="120"/>
        <w:jc w:val="both"/>
      </w:pPr>
      <w:r>
        <w:rPr>
          <w:rFonts w:ascii="Times New Roman" w:hAnsi="Times New Roman"/>
          <w:sz w:val="24"/>
        </w:rPr>
        <w:t>À la connexion, l'API délivre un access token (durée 60 min) et un refresh token (24 h, stocké en rotation + blacklist). Le frontend stocke les tokens dans localStorage ; le mobile utilise expo-secure-store (chiffré AES). Trois rôles : admin (accès total), agent (lecture + création), proprietaire (lecture seule de ses terrains).</w:t>
      </w:r>
    </w:p>
    <w:p>
      <w:pPr>
        <w:spacing w:before="200" w:after="80"/>
      </w:pPr>
      <w:r>
        <w:rPr>
          <w:rFonts w:ascii="Times New Roman" w:hAnsi="Times New Roman"/>
          <w:b/>
          <w:color w:val="1D4ED8"/>
          <w:sz w:val="24"/>
        </w:rPr>
        <w:t>3.4 QR Code et certificat PDF</w:t>
      </w:r>
    </w:p>
    <w:p>
      <w:pPr>
        <w:spacing w:after="120"/>
        <w:jc w:val="both"/>
      </w:pPr>
      <w:r>
        <w:rPr>
          <w:rFonts w:ascii="Times New Roman" w:hAnsi="Times New Roman"/>
          <w:sz w:val="24"/>
        </w:rPr>
        <w:t>À la création d'un terrain, un QR Code PNG est généré automatiquement via la bibliothèque qrcode. Il encode l'URL /terrains/&lt;id&gt;/ permettant un accès instantané à la fiche depuis le terrain. Le certificat PDF (ReportLab) est généré à la demande via GET /api/terrains/&lt;id&gt;/certificat/ et contient : identifiant, adresse, superficie, propriétaire actuel, date d'enregistrement, hash blockchain et QR Code imprimé.</w:t>
      </w:r>
    </w:p>
    <w:p>
      <w:r>
        <w:br w:type="page"/>
      </w:r>
    </w:p>
    <w:p>
      <w:pPr>
        <w:spacing w:before="280" w:after="120"/>
        <w:jc w:val="left"/>
      </w:pPr>
      <w:r>
        <w:rPr>
          <w:rFonts w:ascii="Times New Roman" w:hAnsi="Times New Roman"/>
          <w:b/>
          <w:color w:val="2563EB"/>
          <w:sz w:val="28"/>
        </w:rPr>
        <w:t>4. Sécurité et Déploiement</w:t>
      </w:r>
    </w:p>
    <w:p>
      <w:pPr>
        <w:spacing w:before="200" w:after="80"/>
      </w:pPr>
      <w:r>
        <w:rPr>
          <w:rFonts w:ascii="Times New Roman" w:hAnsi="Times New Roman"/>
          <w:b/>
          <w:color w:val="1D4ED8"/>
          <w:sz w:val="24"/>
        </w:rPr>
        <w:t>4.1 Mesures de sécurité</w:t>
      </w:r>
    </w:p>
    <w:tbl>
      <w:tblPr>
        <w:tblStyle w:val="TableGrid"/>
        <w:tblW w:type="auto" w:w="0"/>
        <w:tblLook w:firstColumn="1" w:firstRow="1" w:lastColumn="0" w:lastRow="0" w:noHBand="0" w:noVBand="1" w:val="04A0"/>
      </w:tblPr>
      <w:tblGrid>
        <w:gridCol w:w="4703"/>
        <w:gridCol w:w="4703"/>
      </w:tblGrid>
      <w:tr>
        <w:tc>
          <w:tcPr>
            <w:tcW w:type="dxa" w:w="4703"/>
            <w:shd w:val="clear" w:color="auto" w:fill="2563EB"/>
          </w:tcPr>
          <w:p>
            <w:pPr>
              <w:jc w:val="left"/>
            </w:pPr>
            <w:r>
              <w:rPr>
                <w:rFonts w:ascii="Times New Roman" w:hAnsi="Times New Roman"/>
                <w:b/>
                <w:color w:val="FFFFFF"/>
                <w:sz w:val="22"/>
              </w:rPr>
              <w:t>Mesure</w:t>
            </w:r>
          </w:p>
        </w:tc>
        <w:tc>
          <w:tcPr>
            <w:tcW w:type="dxa" w:w="4703"/>
            <w:shd w:val="clear" w:color="auto" w:fill="2563EB"/>
          </w:tcPr>
          <w:p>
            <w:pPr>
              <w:jc w:val="left"/>
            </w:pPr>
            <w:r>
              <w:rPr>
                <w:rFonts w:ascii="Times New Roman" w:hAnsi="Times New Roman"/>
                <w:b/>
                <w:color w:val="FFFFFF"/>
                <w:sz w:val="22"/>
              </w:rPr>
              <w:t>Implémentation</w:t>
            </w:r>
          </w:p>
        </w:tc>
      </w:tr>
      <w:tr>
        <w:tc>
          <w:tcPr>
            <w:tcW w:type="dxa" w:w="4703"/>
          </w:tcPr>
          <w:p>
            <w:pPr>
              <w:jc w:val="left"/>
            </w:pPr>
            <w:r>
              <w:rPr>
                <w:rFonts w:ascii="Times New Roman" w:hAnsi="Times New Roman"/>
                <w:sz w:val="22"/>
              </w:rPr>
              <w:t>JWT + Blacklist</w:t>
            </w:r>
          </w:p>
        </w:tc>
        <w:tc>
          <w:tcPr>
            <w:tcW w:type="dxa" w:w="4703"/>
          </w:tcPr>
          <w:p>
            <w:pPr>
              <w:jc w:val="left"/>
            </w:pPr>
            <w:r>
              <w:rPr>
                <w:rFonts w:ascii="Times New Roman" w:hAnsi="Times New Roman"/>
                <w:sz w:val="22"/>
              </w:rPr>
              <w:t>Tokens signés HS256, rotation obligatoire, révocation immédiate à la déconnexion</w:t>
            </w:r>
          </w:p>
        </w:tc>
      </w:tr>
      <w:tr>
        <w:tc>
          <w:tcPr>
            <w:tcW w:type="dxa" w:w="4703"/>
          </w:tcPr>
          <w:p>
            <w:pPr>
              <w:jc w:val="left"/>
            </w:pPr>
            <w:r>
              <w:rPr>
                <w:rFonts w:ascii="Times New Roman" w:hAnsi="Times New Roman"/>
                <w:sz w:val="22"/>
              </w:rPr>
              <w:t>CORS</w:t>
            </w:r>
          </w:p>
        </w:tc>
        <w:tc>
          <w:tcPr>
            <w:tcW w:type="dxa" w:w="4703"/>
          </w:tcPr>
          <w:p>
            <w:pPr>
              <w:jc w:val="left"/>
            </w:pPr>
            <w:r>
              <w:rPr>
                <w:rFonts w:ascii="Times New Roman" w:hAnsi="Times New Roman"/>
                <w:sz w:val="22"/>
              </w:rPr>
              <w:t>Origines autorisées configurées via .env (localhost:5173 en dev, domaine Vercel en prod)</w:t>
            </w:r>
          </w:p>
        </w:tc>
      </w:tr>
      <w:tr>
        <w:tc>
          <w:tcPr>
            <w:tcW w:type="dxa" w:w="4703"/>
          </w:tcPr>
          <w:p>
            <w:pPr>
              <w:jc w:val="left"/>
            </w:pPr>
            <w:r>
              <w:rPr>
                <w:rFonts w:ascii="Times New Roman" w:hAnsi="Times New Roman"/>
                <w:sz w:val="22"/>
              </w:rPr>
              <w:t>Chiffrement champs sensibles</w:t>
            </w:r>
          </w:p>
        </w:tc>
        <w:tc>
          <w:tcPr>
            <w:tcW w:type="dxa" w:w="4703"/>
          </w:tcPr>
          <w:p>
            <w:pPr>
              <w:jc w:val="left"/>
            </w:pPr>
            <w:r>
              <w:rPr>
                <w:rFonts w:ascii="Times New Roman" w:hAnsi="Times New Roman"/>
                <w:sz w:val="22"/>
              </w:rPr>
              <w:t>Fernet (AES-128-CBC) sur telephone et numero_identite des propriétaires</w:t>
            </w:r>
          </w:p>
        </w:tc>
      </w:tr>
      <w:tr>
        <w:tc>
          <w:tcPr>
            <w:tcW w:type="dxa" w:w="4703"/>
          </w:tcPr>
          <w:p>
            <w:pPr>
              <w:jc w:val="left"/>
            </w:pPr>
            <w:r>
              <w:rPr>
                <w:rFonts w:ascii="Times New Roman" w:hAnsi="Times New Roman"/>
                <w:sz w:val="22"/>
              </w:rPr>
              <w:t>Rate limiting</w:t>
            </w:r>
          </w:p>
        </w:tc>
        <w:tc>
          <w:tcPr>
            <w:tcW w:type="dxa" w:w="4703"/>
          </w:tcPr>
          <w:p>
            <w:pPr>
              <w:jc w:val="left"/>
            </w:pPr>
            <w:r>
              <w:rPr>
                <w:rFonts w:ascii="Times New Roman" w:hAnsi="Times New Roman"/>
                <w:sz w:val="22"/>
              </w:rPr>
              <w:t>django-ratelimit : 5/min sur /token/, 200/min par user authentifié</w:t>
            </w:r>
          </w:p>
        </w:tc>
      </w:tr>
      <w:tr>
        <w:tc>
          <w:tcPr>
            <w:tcW w:type="dxa" w:w="4703"/>
          </w:tcPr>
          <w:p>
            <w:pPr>
              <w:jc w:val="left"/>
            </w:pPr>
            <w:r>
              <w:rPr>
                <w:rFonts w:ascii="Times New Roman" w:hAnsi="Times New Roman"/>
                <w:sz w:val="22"/>
              </w:rPr>
              <w:t>Journal d'audit</w:t>
            </w:r>
          </w:p>
        </w:tc>
        <w:tc>
          <w:tcPr>
            <w:tcW w:type="dxa" w:w="4703"/>
          </w:tcPr>
          <w:p>
            <w:pPr>
              <w:jc w:val="left"/>
            </w:pPr>
            <w:r>
              <w:rPr>
                <w:rFonts w:ascii="Times New Roman" w:hAnsi="Times New Roman"/>
                <w:sz w:val="22"/>
              </w:rPr>
              <w:t>Middleware AuditLogMiddleware : log chaque mutation (POST/PUT/PATCH/DELETE) dans security.log</w:t>
            </w:r>
          </w:p>
        </w:tc>
      </w:tr>
      <w:tr>
        <w:tc>
          <w:tcPr>
            <w:tcW w:type="dxa" w:w="4703"/>
          </w:tcPr>
          <w:p>
            <w:pPr>
              <w:jc w:val="left"/>
            </w:pPr>
            <w:r>
              <w:rPr>
                <w:rFonts w:ascii="Times New Roman" w:hAnsi="Times New Roman"/>
                <w:sz w:val="22"/>
              </w:rPr>
              <w:t>Hachage documents</w:t>
            </w:r>
          </w:p>
        </w:tc>
        <w:tc>
          <w:tcPr>
            <w:tcW w:type="dxa" w:w="4703"/>
          </w:tcPr>
          <w:p>
            <w:pPr>
              <w:jc w:val="left"/>
            </w:pPr>
            <w:r>
              <w:rPr>
                <w:rFonts w:ascii="Times New Roman" w:hAnsi="Times New Roman"/>
                <w:sz w:val="22"/>
              </w:rPr>
              <w:t>SHA-256 calculé sur chaque fichier uploadé, stocké dans Document.hash_fichier</w:t>
            </w:r>
          </w:p>
        </w:tc>
      </w:tr>
      <w:tr>
        <w:tc>
          <w:tcPr>
            <w:tcW w:type="dxa" w:w="4703"/>
          </w:tcPr>
          <w:p>
            <w:pPr>
              <w:jc w:val="left"/>
            </w:pPr>
            <w:r>
              <w:rPr>
                <w:rFonts w:ascii="Times New Roman" w:hAnsi="Times New Roman"/>
                <w:sz w:val="22"/>
              </w:rPr>
              <w:t>HTTPS</w:t>
            </w:r>
          </w:p>
        </w:tc>
        <w:tc>
          <w:tcPr>
            <w:tcW w:type="dxa" w:w="4703"/>
          </w:tcPr>
          <w:p>
            <w:pPr>
              <w:jc w:val="left"/>
            </w:pPr>
            <w:r>
              <w:rPr>
                <w:rFonts w:ascii="Times New Roman" w:hAnsi="Times New Roman"/>
                <w:sz w:val="22"/>
              </w:rPr>
              <w:t>TLS 1.3 assuré par Railway (backend) et Vercel (frontend) via Let's Encrypt</w:t>
            </w:r>
          </w:p>
        </w:tc>
      </w:tr>
      <w:tr>
        <w:tc>
          <w:tcPr>
            <w:tcW w:type="dxa" w:w="4703"/>
          </w:tcPr>
          <w:p>
            <w:pPr>
              <w:jc w:val="left"/>
            </w:pPr>
            <w:r>
              <w:rPr>
                <w:rFonts w:ascii="Times New Roman" w:hAnsi="Times New Roman"/>
                <w:sz w:val="22"/>
              </w:rPr>
              <w:t>SecureStore mobile</w:t>
            </w:r>
          </w:p>
        </w:tc>
        <w:tc>
          <w:tcPr>
            <w:tcW w:type="dxa" w:w="4703"/>
          </w:tcPr>
          <w:p>
            <w:pPr>
              <w:jc w:val="left"/>
            </w:pPr>
            <w:r>
              <w:rPr>
                <w:rFonts w:ascii="Times New Roman" w:hAnsi="Times New Roman"/>
                <w:sz w:val="22"/>
              </w:rPr>
              <w:t>Tokens JWT chiffrés nativement sur Android (Keystore) et iOS (Keychain)</w:t>
            </w:r>
          </w:p>
        </w:tc>
      </w:tr>
    </w:tbl>
    <w:p/>
    <w:p>
      <w:pPr>
        <w:spacing w:before="200" w:after="80"/>
      </w:pPr>
      <w:r>
        <w:rPr>
          <w:rFonts w:ascii="Times New Roman" w:hAnsi="Times New Roman"/>
          <w:b/>
          <w:color w:val="1D4ED8"/>
          <w:sz w:val="24"/>
        </w:rPr>
        <w:t>4.2 Déploiement Railway + Vercel</w:t>
      </w:r>
    </w:p>
    <w:p>
      <w:pPr>
        <w:spacing w:after="120"/>
        <w:jc w:val="both"/>
      </w:pPr>
      <w:r>
        <w:rPr>
          <w:rFonts w:ascii="Times New Roman" w:hAnsi="Times New Roman"/>
          <w:sz w:val="24"/>
        </w:rPr>
        <w:t>Backend (Railway) : Procfile → gunicorn config.wsgi, PostgreSQL addon managé, variables d'environnement injectées via le dashboard Railway.</w:t>
      </w:r>
    </w:p>
    <w:p>
      <w:pPr>
        <w:spacing w:after="120"/>
        <w:jc w:val="both"/>
      </w:pPr>
      <w:r>
        <w:rPr>
          <w:rFonts w:ascii="Times New Roman" w:hAnsi="Times New Roman"/>
          <w:sz w:val="24"/>
        </w:rPr>
        <w:t>Frontend (Vercel) : Build command npm run build, output dist/, réécriture des routes SPA via vercel.json (/* → index.html).</w:t>
      </w:r>
    </w:p>
    <w:p>
      <w:pPr>
        <w:spacing w:before="200" w:after="80"/>
      </w:pPr>
      <w:r>
        <w:rPr>
          <w:rFonts w:ascii="Times New Roman" w:hAnsi="Times New Roman"/>
          <w:b/>
          <w:color w:val="1D4ED8"/>
          <w:sz w:val="24"/>
        </w:rPr>
        <w:t>4.3 Variables d'environnement requises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563EB"/>
          </w:tcPr>
          <w:p>
            <w:pPr>
              <w:jc w:val="left"/>
            </w:pPr>
            <w:r>
              <w:rPr>
                <w:rFonts w:ascii="Times New Roman" w:hAnsi="Times New Roman"/>
                <w:b/>
                <w:color w:val="FFFFFF"/>
                <w:sz w:val="22"/>
              </w:rPr>
              <w:t>Variable</w:t>
            </w:r>
          </w:p>
        </w:tc>
        <w:tc>
          <w:tcPr>
            <w:tcW w:type="dxa" w:w="3135"/>
            <w:shd w:val="clear" w:color="auto" w:fill="2563EB"/>
          </w:tcPr>
          <w:p>
            <w:pPr>
              <w:jc w:val="left"/>
            </w:pPr>
            <w:r>
              <w:rPr>
                <w:rFonts w:ascii="Times New Roman" w:hAnsi="Times New Roman"/>
                <w:b/>
                <w:color w:val="FFFFFF"/>
                <w:sz w:val="22"/>
              </w:rPr>
              <w:t>Exemple</w:t>
            </w:r>
          </w:p>
        </w:tc>
        <w:tc>
          <w:tcPr>
            <w:tcW w:type="dxa" w:w="3135"/>
            <w:shd w:val="clear" w:color="auto" w:fill="2563EB"/>
          </w:tcPr>
          <w:p>
            <w:pPr>
              <w:jc w:val="left"/>
            </w:pPr>
            <w:r>
              <w:rPr>
                <w:rFonts w:ascii="Times New Roman" w:hAnsi="Times New Roman"/>
                <w:b/>
                <w:color w:val="FFFFFF"/>
                <w:sz w:val="22"/>
              </w:rPr>
              <w:t>Usage</w:t>
            </w:r>
          </w:p>
        </w:tc>
      </w:tr>
      <w:tr>
        <w:tc>
          <w:tcPr>
            <w:tcW w:type="dxa" w:w="3135"/>
          </w:tcPr>
          <w:p>
            <w:pPr>
              <w:jc w:val="left"/>
            </w:pPr>
            <w:r>
              <w:rPr>
                <w:rFonts w:ascii="Times New Roman" w:hAnsi="Times New Roman"/>
                <w:sz w:val="22"/>
              </w:rPr>
              <w:t>SECRET_KEY</w:t>
            </w:r>
          </w:p>
        </w:tc>
        <w:tc>
          <w:tcPr>
            <w:tcW w:type="dxa" w:w="3135"/>
          </w:tcPr>
          <w:p>
            <w:pPr>
              <w:jc w:val="left"/>
            </w:pPr>
            <w:r>
              <w:rPr>
                <w:rFonts w:ascii="Times New Roman" w:hAnsi="Times New Roman"/>
                <w:sz w:val="22"/>
              </w:rPr>
              <w:t>django-insecure-...</w:t>
            </w:r>
          </w:p>
        </w:tc>
        <w:tc>
          <w:tcPr>
            <w:tcW w:type="dxa" w:w="3135"/>
          </w:tcPr>
          <w:p>
            <w:pPr>
              <w:jc w:val="left"/>
            </w:pPr>
            <w:r>
              <w:rPr>
                <w:rFonts w:ascii="Times New Roman" w:hAnsi="Times New Roman"/>
                <w:sz w:val="22"/>
              </w:rPr>
              <w:t>Clé de signature Django</w:t>
            </w:r>
          </w:p>
        </w:tc>
      </w:tr>
      <w:tr>
        <w:tc>
          <w:tcPr>
            <w:tcW w:type="dxa" w:w="3135"/>
          </w:tcPr>
          <w:p>
            <w:pPr>
              <w:jc w:val="left"/>
            </w:pPr>
            <w:r>
              <w:rPr>
                <w:rFonts w:ascii="Times New Roman" w:hAnsi="Times New Roman"/>
                <w:sz w:val="22"/>
              </w:rPr>
              <w:t>DEBUG</w:t>
            </w:r>
          </w:p>
        </w:tc>
        <w:tc>
          <w:tcPr>
            <w:tcW w:type="dxa" w:w="3135"/>
          </w:tcPr>
          <w:p>
            <w:pPr>
              <w:jc w:val="left"/>
            </w:pPr>
            <w:r>
              <w:rPr>
                <w:rFonts w:ascii="Times New Roman" w:hAnsi="Times New Roman"/>
                <w:sz w:val="22"/>
              </w:rPr>
              <w:t>False</w:t>
            </w:r>
          </w:p>
        </w:tc>
        <w:tc>
          <w:tcPr>
            <w:tcW w:type="dxa" w:w="3135"/>
          </w:tcPr>
          <w:p>
            <w:pPr>
              <w:jc w:val="left"/>
            </w:pPr>
            <w:r>
              <w:rPr>
                <w:rFonts w:ascii="Times New Roman" w:hAnsi="Times New Roman"/>
                <w:sz w:val="22"/>
              </w:rPr>
              <w:t>Mode production</w:t>
            </w:r>
          </w:p>
        </w:tc>
      </w:tr>
      <w:tr>
        <w:tc>
          <w:tcPr>
            <w:tcW w:type="dxa" w:w="3135"/>
          </w:tcPr>
          <w:p>
            <w:pPr>
              <w:jc w:val="left"/>
            </w:pPr>
            <w:r>
              <w:rPr>
                <w:rFonts w:ascii="Times New Roman" w:hAnsi="Times New Roman"/>
                <w:sz w:val="22"/>
              </w:rPr>
              <w:t>ALLOWED_HOSTS</w:t>
            </w:r>
          </w:p>
        </w:tc>
        <w:tc>
          <w:tcPr>
            <w:tcW w:type="dxa" w:w="3135"/>
          </w:tcPr>
          <w:p>
            <w:pPr>
              <w:jc w:val="left"/>
            </w:pPr>
            <w:r>
              <w:rPr>
                <w:rFonts w:ascii="Times New Roman" w:hAnsi="Times New Roman"/>
                <w:sz w:val="22"/>
              </w:rPr>
              <w:t>api.trustland.railway.app</w:t>
            </w:r>
          </w:p>
        </w:tc>
        <w:tc>
          <w:tcPr>
            <w:tcW w:type="dxa" w:w="3135"/>
          </w:tcPr>
          <w:p>
            <w:pPr>
              <w:jc w:val="left"/>
            </w:pPr>
            <w:r>
              <w:rPr>
                <w:rFonts w:ascii="Times New Roman" w:hAnsi="Times New Roman"/>
                <w:sz w:val="22"/>
              </w:rPr>
              <w:t>Hôtes autorisés</w:t>
            </w:r>
          </w:p>
        </w:tc>
      </w:tr>
      <w:tr>
        <w:tc>
          <w:tcPr>
            <w:tcW w:type="dxa" w:w="3135"/>
          </w:tcPr>
          <w:p>
            <w:pPr>
              <w:jc w:val="left"/>
            </w:pPr>
            <w:r>
              <w:rPr>
                <w:rFonts w:ascii="Times New Roman" w:hAnsi="Times New Roman"/>
                <w:sz w:val="22"/>
              </w:rPr>
              <w:t>DB_NAME / DB_USER / DB_PASSWORD</w:t>
            </w:r>
          </w:p>
        </w:tc>
        <w:tc>
          <w:tcPr>
            <w:tcW w:type="dxa" w:w="3135"/>
          </w:tcPr>
          <w:p>
            <w:pPr>
              <w:jc w:val="left"/>
            </w:pPr>
            <w:r>
              <w:rPr>
                <w:rFonts w:ascii="Times New Roman" w:hAnsi="Times New Roman"/>
                <w:sz w:val="22"/>
              </w:rPr>
              <w:t>trustland_db / ...</w:t>
            </w:r>
          </w:p>
        </w:tc>
        <w:tc>
          <w:tcPr>
            <w:tcW w:type="dxa" w:w="3135"/>
          </w:tcPr>
          <w:p>
            <w:pPr>
              <w:jc w:val="left"/>
            </w:pPr>
            <w:r>
              <w:rPr>
                <w:rFonts w:ascii="Times New Roman" w:hAnsi="Times New Roman"/>
                <w:sz w:val="22"/>
              </w:rPr>
              <w:t>Connexion PostgreSQL</w:t>
            </w:r>
          </w:p>
        </w:tc>
      </w:tr>
      <w:tr>
        <w:tc>
          <w:tcPr>
            <w:tcW w:type="dxa" w:w="3135"/>
          </w:tcPr>
          <w:p>
            <w:pPr>
              <w:jc w:val="left"/>
            </w:pPr>
            <w:r>
              <w:rPr>
                <w:rFonts w:ascii="Times New Roman" w:hAnsi="Times New Roman"/>
                <w:sz w:val="22"/>
              </w:rPr>
              <w:t>DB_HOST / DB_PORT</w:t>
            </w:r>
          </w:p>
        </w:tc>
        <w:tc>
          <w:tcPr>
            <w:tcW w:type="dxa" w:w="3135"/>
          </w:tcPr>
          <w:p>
            <w:pPr>
              <w:jc w:val="left"/>
            </w:pPr>
            <w:r>
              <w:rPr>
                <w:rFonts w:ascii="Times New Roman" w:hAnsi="Times New Roman"/>
                <w:sz w:val="22"/>
              </w:rPr>
              <w:t>localhost / 5432</w:t>
            </w:r>
          </w:p>
        </w:tc>
        <w:tc>
          <w:tcPr>
            <w:tcW w:type="dxa" w:w="3135"/>
          </w:tcPr>
          <w:p>
            <w:pPr>
              <w:jc w:val="left"/>
            </w:pPr>
            <w:r>
              <w:rPr>
                <w:rFonts w:ascii="Times New Roman" w:hAnsi="Times New Roman"/>
                <w:sz w:val="22"/>
              </w:rPr>
              <w:t>Hôte base de données</w:t>
            </w:r>
          </w:p>
        </w:tc>
      </w:tr>
      <w:tr>
        <w:tc>
          <w:tcPr>
            <w:tcW w:type="dxa" w:w="3135"/>
          </w:tcPr>
          <w:p>
            <w:pPr>
              <w:jc w:val="left"/>
            </w:pPr>
            <w:r>
              <w:rPr>
                <w:rFonts w:ascii="Times New Roman" w:hAnsi="Times New Roman"/>
                <w:sz w:val="22"/>
              </w:rPr>
              <w:t>CORS_ALLOWED_ORIGINS</w:t>
            </w:r>
          </w:p>
        </w:tc>
        <w:tc>
          <w:tcPr>
            <w:tcW w:type="dxa" w:w="3135"/>
          </w:tcPr>
          <w:p>
            <w:pPr>
              <w:jc w:val="left"/>
            </w:pPr>
            <w:r>
              <w:rPr>
                <w:rFonts w:ascii="Times New Roman" w:hAnsi="Times New Roman"/>
                <w:sz w:val="22"/>
              </w:rPr>
              <w:t>https://trustland.vercel.app</w:t>
            </w:r>
          </w:p>
        </w:tc>
        <w:tc>
          <w:tcPr>
            <w:tcW w:type="dxa" w:w="3135"/>
          </w:tcPr>
          <w:p>
            <w:pPr>
              <w:jc w:val="left"/>
            </w:pPr>
            <w:r>
              <w:rPr>
                <w:rFonts w:ascii="Times New Roman" w:hAnsi="Times New Roman"/>
                <w:sz w:val="22"/>
              </w:rPr>
              <w:t>Origines frontend</w:t>
            </w:r>
          </w:p>
        </w:tc>
      </w:tr>
      <w:tr>
        <w:tc>
          <w:tcPr>
            <w:tcW w:type="dxa" w:w="3135"/>
          </w:tcPr>
          <w:p>
            <w:pPr>
              <w:jc w:val="left"/>
            </w:pPr>
            <w:r>
              <w:rPr>
                <w:rFonts w:ascii="Times New Roman" w:hAnsi="Times New Roman"/>
                <w:sz w:val="22"/>
              </w:rPr>
              <w:t>FIELD_ENCRYPTION_KEY</w:t>
            </w:r>
          </w:p>
        </w:tc>
        <w:tc>
          <w:tcPr>
            <w:tcW w:type="dxa" w:w="3135"/>
          </w:tcPr>
          <w:p>
            <w:pPr>
              <w:jc w:val="left"/>
            </w:pPr>
            <w:r>
              <w:rPr>
                <w:rFonts w:ascii="Times New Roman" w:hAnsi="Times New Roman"/>
                <w:sz w:val="22"/>
              </w:rPr>
              <w:t>Fernet.generate_key()</w:t>
            </w:r>
          </w:p>
        </w:tc>
        <w:tc>
          <w:tcPr>
            <w:tcW w:type="dxa" w:w="3135"/>
          </w:tcPr>
          <w:p>
            <w:pPr>
              <w:jc w:val="left"/>
            </w:pPr>
            <w:r>
              <w:rPr>
                <w:rFonts w:ascii="Times New Roman" w:hAnsi="Times New Roman"/>
                <w:sz w:val="22"/>
              </w:rPr>
              <w:t>Chiffrement données sensibles</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2563EB"/>
      </w:pBdr>
    </w:pPr>
    <w:r>
      <w:rPr>
        <w:rFonts w:ascii="Times New Roman" w:hAnsi="Times New Roman"/>
        <w:i/>
        <w:sz w:val="20"/>
      </w:rPr>
      <w:t>TrustLand  |  Documentation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