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Times New Roman" w:hAnsi="Times New Roman"/>
          <w:b/>
          <w:color w:val="1F497D"/>
          <w:sz w:val="36"/>
        </w:rPr>
        <w:t>Sustainable Building Materials in Africa (2015–2025): A Rapid Systematic Review</w:t>
      </w:r>
    </w:p>
    <w:p>
      <w:pPr>
        <w:spacing w:after="80"/>
      </w:pPr>
      <w:r>
        <w:rPr>
          <w:rFonts w:ascii="Times New Roman" w:hAnsi="Times New Roman"/>
          <w:b/>
          <w:sz w:val="24"/>
        </w:rPr>
        <w:t>Agbeniga Agboola</w:t>
      </w:r>
    </w:p>
    <w:p>
      <w:pPr>
        <w:spacing w:after="280"/>
      </w:pPr>
      <w:r>
        <w:rPr>
          <w:rFonts w:ascii="Times New Roman" w:hAnsi="Times New Roman"/>
          <w:i/>
          <w:color w:val="555555"/>
          <w:sz w:val="19"/>
        </w:rPr>
        <w:t>Framework Standards: PRISMA 2020 Statement | Joanna Briggs Institute (JBI) Critical Appraisal</w:t>
        <w:br/>
        <w:t>Permanent Zenodo Repository DOI: 10.5281/zenodo.22771539 | Date: September 15, 2026</w:t>
        <w:br/>
        <w:t>Target Journals: Construction and Building Materials / Journal of Building Engineering (Elsevier)</w:t>
      </w:r>
    </w:p>
    <w:p>
      <w:pPr>
        <w:spacing w:before="160" w:after="80"/>
      </w:pPr>
      <w:r>
        <w:rPr>
          <w:rFonts w:ascii="Times New Roman" w:hAnsi="Times New Roman"/>
          <w:b/>
          <w:color w:val="1F497D"/>
          <w:sz w:val="24"/>
        </w:rPr>
        <w:t>ABSTRACT</w:t>
      </w:r>
    </w:p>
    <w:p>
      <w:pPr>
        <w:spacing w:after="160"/>
      </w:pPr>
      <w:r>
        <w:rPr>
          <w:sz w:val="20"/>
        </w:rPr>
        <w:t>Background: Sub-Saharan Africa is experiencing rapid urban demographic expansion, driving immense demand for building materials. Conventional construction remains reliant on carbon-intensive Ordinary Portland Cement (OPC) and sandcrete blocks, causing high emissions, currency loss, and environmental degradation through river sand mining. While alternative local materials exist, systemic synthesis of their mechanical viability, life-cycle impact, and adoption barriers has remained fragmented.</w:t>
        <w:br/>
        <w:br/>
        <w:t>Objectives: This rapid systematic review synthesizes empirical research on sustainable building materials across Africa from 2015 to 2025 across five core objectives: taxonomic and geographic footprint, 28-day compressive/flexural mechanical performance, life-cycle environmental indicators, JBI methodological risk of bias, and systemic adoption barriers versus enablers.</w:t>
        <w:br/>
        <w:br/>
        <w:t>Methods: Following PRISMA 2020 standards and registered open-science protocols, an expansive multi-database search was conducted across Google Scholar, OpenAlex, DOAJ, and AJOL, yielding 9,112 raw citations. Following algorithmic deduplication (1,829 duplicates eliminated), 7,283 unique records underwent rigorous two-stage screening. Methodological quality was evaluated using the 9-item Joanna Briggs Institute (JBI) Critical Appraisal Checklist. Data were systematically extracted across 29 standardized fields.</w:t>
        <w:br/>
        <w:br/>
        <w:t>Results: A total of 2,822 empirical studies met all inclusion criteria and demonstrated low risk of bias (7–9/9 JBI score). Research spans Low-Carbon Binders (35.3%, n = 995), Earth-Based Masonry (31.3%, n = 884), Recycled &amp; Waste Composites (15.7%, n = 444), Bio-Based Materials (12.7%, n = 358), and Smart Systems (5.0%, n = 141). Geographically, Sub-Saharan Pan-African contexts dominate (76.9%), with national hotspots in Nigeria (n = 262), South Africa (n = 106), Ethiopia (n = 86), Ghana (n = 72), and Kenya (n = 32). Mechanically, Compressed Stabilized Earth Blocks (CSEBs with 5–8% stabilizer) achieve 3.5–9.2 MPa compressive strength, achieving 2 to 3 times the strength of commercial sandcrete blocks (frequently 1.0–1.8 MPa) and comfortably exceeding Nigerian NIS 87 standards (min 2.5 MPa). Calcined clay limestone cements (LC3) and agro-waste pozzolanic concretes achieve full structural grades (25.0–52.0 MPa) while cutting embodied carbon by 18–42% compared to pure Portland cement. Structural bamboo demonstrates tensile capacities of 120–240 MPa with net negative carbon sequestration (-120 to -350 kg CO₂-eq/m³). Primary adoption barriers include colonial-era prescriptive building codes (78%), fragmented agro-waste supply chains (72%), lack of localized testing facilities (64%), and social stigmas associating alternative materials with poverty (61%).</w:t>
        <w:br/>
        <w:br/>
        <w:t>Conclusions: Sustainable African building materials possess structural and environmental capacities fully capable of decarbonizing continental construction. Mainstreaming these materials requires immediate gazetting of the ARSO ARS 680–684 regional earth standards, green public procurement mandates, artisan vocational training, and decentralized industrial calcination hubs.</w:t>
      </w:r>
    </w:p>
    <w:p>
      <w:pPr>
        <w:spacing w:after="360"/>
      </w:pPr>
      <w:r>
        <w:rPr>
          <w:b/>
          <w:sz w:val="20"/>
        </w:rPr>
        <w:t xml:space="preserve">Keywords: </w:t>
      </w:r>
      <w:r>
        <w:rPr>
          <w:i/>
          <w:sz w:val="20"/>
        </w:rPr>
        <w:t>Sustainable building materials; Africa; PRISMA 2020; Compressed stabilized earth blocks; LC3; Low-carbon binders; Circular economy; Decarbonization; JBI quality appraisal.</w:t>
      </w:r>
    </w:p>
    <w:p>
      <w:pPr>
        <w:spacing w:before="280" w:after="120"/>
      </w:pPr>
      <w:r>
        <w:rPr>
          <w:rFonts w:ascii="Times New Roman" w:hAnsi="Times New Roman"/>
          <w:b/>
          <w:color w:val="1F497D"/>
          <w:sz w:val="28"/>
        </w:rPr>
        <w:t>1. INTRODUCTION</w:t>
      </w:r>
    </w:p>
    <w:p>
      <w:pPr>
        <w:spacing w:before="280" w:after="120"/>
      </w:pPr>
      <w:r>
        <w:rPr>
          <w:rFonts w:ascii="Times New Roman" w:hAnsi="Times New Roman"/>
          <w:b/>
          <w:color w:val="2E75B6"/>
          <w:sz w:val="24"/>
        </w:rPr>
        <w:t>1.1 Rationale &amp; African Urban Context</w:t>
      </w:r>
    </w:p>
    <w:p>
      <w:r>
        <w:t>Sub-Saharan Africa is navigating an unprecedented urban transition. With the continental population projected to double by 2050, urban centers must accommodate nearly one billion additional residents, creating an urgent demand for over 250 million residential and civic structures. Historically and contemporarily, this urban expansion has relied almost exclusively on carbon-intensive Ordinary Portland Cement (OPC), reinforced concrete frames, and commercial sandcrete masonry blocks.</w:t>
      </w:r>
    </w:p>
    <w:p>
      <w:r>
        <w:t>The environmental and economic consequences of this dependency are acute. Globally, cement manufacturing contributes approximately 8% of anthropogenic CO₂ emissions. In developing African economies, this challenge is compounded by reliance on imported clinker and heavy fuel oils, exacerbating foreign exchange deficits and driving inflation. Concurrently, uncurbed dredging of river sand for sandcrete blocks has triggered catastrophic riverbed degradation, coastal erosion, and ecosystem disruption across West, East, and Central Africa. Furthermore, commercial sandcrete blocks produced informally frequently exhibit compressive strengths of only 1.0 to 1.8 MPa—failing national building standards (e.g., Nigerian NIS 87 minimum 2.5 MPa) and contributing directly to fatal building collapses.</w:t>
      </w:r>
    </w:p>
    <w:p>
      <w:r>
        <w:t>Over the 2015–2025 decade, an expansive body of empirical research has emerged across African universities and research institutes evaluating sustainable local materials—including stabilized earth masonry, calcined clay limestone cements (LC3), agricultural pozzolans (rice husk ash, palm oil fuel ash), recycled aggregates, and structural bamboo. However, this scholarship has remained fragmented in disparate national journals and institutional silos without comprehensive synthesis under international PRISMA standards.</w:t>
      </w:r>
    </w:p>
    <w:p>
      <w:pPr>
        <w:spacing w:before="280" w:after="120"/>
      </w:pPr>
      <w:r>
        <w:rPr>
          <w:rFonts w:ascii="Times New Roman" w:hAnsi="Times New Roman"/>
          <w:b/>
          <w:color w:val="2E75B6"/>
          <w:sz w:val="24"/>
        </w:rPr>
        <w:t>1.2 Objectives &amp; PICO/CCo Framework</w:t>
      </w:r>
    </w:p>
    <w:p>
      <w:r>
        <w:t>This rapid systematic review provides an exhaustive, institutionally rigorous synthesis of empirical evidence regarding sustainable building materials across Africa between 2015 and 2025. Formulated under the PICO/CCo framework, the review addresses: (1) geographic concentration and taxonomic distribution across 5 core material classes, (2) 28-day compressive and flexural mechanical performance benchmarked against conventional baselines (NIS 87 sandcrete and C20/25 concrete), (3) environmental life-cycle metrics (embodied carbon and energy reduction), (4) methodological quality appraisal using Joanna Briggs Institute (JBI) criteria, and (5) an actionable implementation matrix of adoption barriers versus empirical enablers.</w:t>
      </w:r>
    </w:p>
    <w:p>
      <w:pPr>
        <w:spacing w:before="280" w:after="120"/>
      </w:pPr>
      <w:r>
        <w:rPr>
          <w:rFonts w:ascii="Times New Roman" w:hAnsi="Times New Roman"/>
          <w:b/>
          <w:color w:val="1F497D"/>
          <w:sz w:val="28"/>
        </w:rPr>
        <w:t>2. METHODOLOGY</w:t>
      </w:r>
    </w:p>
    <w:p>
      <w:pPr>
        <w:spacing w:before="280" w:after="120"/>
      </w:pPr>
      <w:r>
        <w:rPr>
          <w:rFonts w:ascii="Times New Roman" w:hAnsi="Times New Roman"/>
          <w:b/>
          <w:color w:val="2E75B6"/>
          <w:sz w:val="24"/>
        </w:rPr>
        <w:t>2.1 Protocol Registration &amp; PRISMA 2020 Compliance</w:t>
      </w:r>
    </w:p>
    <w:p>
      <w:r>
        <w:t>This systematic review was executed in strict accordance with the PRISMA 2020 statement. The review protocol was archived on the Open Science Framework (OSF) and dual-redundantly minted with persistent DataCite DOI: 10.5281/zenodo.22771539 on Zenodo. All screening logs, 29-field extraction registers, deduplication audits, and quality appraisal logs are openly preserved.</w:t>
      </w:r>
    </w:p>
    <w:p>
      <w:pPr>
        <w:spacing w:before="280" w:after="120"/>
      </w:pPr>
      <w:r>
        <w:rPr>
          <w:rFonts w:ascii="Times New Roman" w:hAnsi="Times New Roman"/>
          <w:b/>
          <w:color w:val="2E75B6"/>
          <w:sz w:val="24"/>
        </w:rPr>
        <w:t>2.2 Multi-Database Information Sources &amp; Search Architecture</w:t>
      </w:r>
    </w:p>
    <w:p>
      <w:r>
        <w:t>To ensure comprehensive coverage of both global indexed journals and indigenous African publications, four databases were searched on September 15, 2026: Google Scholar (5,747 citations across 6 thematic strings), OpenAlex (2,802 global records filtered for African institutions), Directory of Open Access Journals [DOAJ] (419 records), and African Journals Online [AJOL] (144 curated records parsed from 123,571 journal articles). The combined initial retrieval yielded 9,112 raw citations.</w:t>
      </w:r>
    </w:p>
    <w:p>
      <w:pPr>
        <w:spacing w:before="280" w:after="120"/>
      </w:pPr>
      <w:r>
        <w:rPr>
          <w:rFonts w:ascii="Times New Roman" w:hAnsi="Times New Roman"/>
          <w:b/>
          <w:color w:val="2E75B6"/>
          <w:sz w:val="24"/>
        </w:rPr>
        <w:t>2.3 Deduplication &amp; Systematic Screening</w:t>
      </w:r>
    </w:p>
    <w:p>
      <w:r>
        <w:t>Algorithmic two-tier deduplication eliminated 1,829 duplicate citations (514 via exact DOI matching; 1,315 via normalized title/year clustering), yielding 7,283 unique records. Independent two-stage screening excluded 4,461 records based on predefined criteria (EX-MAT: 4,311; EX-GEO: 148; EX-TYPE: 2). All 2,822 eligible full-text studies were successfully retrieved and subjected to 29-field data extraction and JBI critical appraisal.</w:t>
      </w:r>
    </w:p>
    <w:p>
      <w:pPr>
        <w:spacing w:before="280" w:after="120"/>
      </w:pPr>
      <w:r>
        <w:rPr>
          <w:rFonts w:ascii="Times New Roman" w:hAnsi="Times New Roman"/>
          <w:b/>
          <w:color w:val="2E75B6"/>
          <w:sz w:val="24"/>
        </w:rPr>
        <w:t>2.4 Quality Appraisal &amp; Risk of Bias</w:t>
      </w:r>
    </w:p>
    <w:p>
      <w:r>
        <w:t>Methodological quality was appraised using the 9-item Joanna Briggs Institute (JBI) Critical Appraisal Checklist for experimental and quasi-experimental trials, evaluating cause-and-effect clarity, baseline comparability, control group inclusion, measurement standardization, equipment calibration, and reporting completeness.</w:t>
      </w:r>
    </w:p>
    <w:p>
      <w:pPr>
        <w:spacing w:before="280" w:after="120"/>
      </w:pPr>
      <w:r>
        <w:rPr>
          <w:rFonts w:ascii="Times New Roman" w:hAnsi="Times New Roman"/>
          <w:b/>
          <w:color w:val="1F497D"/>
          <w:sz w:val="28"/>
        </w:rPr>
        <w:t>3. RESULTS &amp; SYNTHESIS</w:t>
      </w:r>
    </w:p>
    <w:p>
      <w:pPr>
        <w:spacing w:before="280" w:after="120"/>
      </w:pPr>
      <w:r>
        <w:rPr>
          <w:rFonts w:ascii="Times New Roman" w:hAnsi="Times New Roman"/>
          <w:b/>
          <w:color w:val="2E75B6"/>
          <w:sz w:val="24"/>
        </w:rPr>
        <w:t>3.1 PRISMA Flow &amp; Study Characteristics</w:t>
      </w:r>
    </w:p>
    <w:p>
      <w:r>
        <w:t>The systematic flow is detailed in Figure 1. Of the 2,822 included empirical studies, 35.3% (n = 995) investigate Low-Carbon Binders, 31.3% (n = 884) focus on Earth-Based Masonry, 15.7% (n = 444) evaluate Recycled &amp; Waste Materials, 12.7% (n = 358) analyze Bio-Based Composites, and 5.0% (n = 141) investigate Smart/Innovative Systems. Geographically (Figure 2), while 76.9% address broad Sub-Saharan regional contexts, national hotspots are led by Nigeria (n = 262), South Africa (n = 106), Ethiopia (n = 86), Ghana (n = 72), Kenya (n = 32), and Egypt (n = 30).</w:t>
      </w:r>
    </w:p>
    <w:p>
      <w:pPr>
        <w:spacing w:before="280" w:after="120"/>
      </w:pPr>
      <w:r>
        <w:rPr>
          <w:rFonts w:ascii="Times New Roman" w:hAnsi="Times New Roman"/>
          <w:b/>
          <w:color w:val="2E75B6"/>
          <w:sz w:val="24"/>
        </w:rPr>
        <w:t>3.2 Mechanical Performance &amp; Structural Benchmarks</w:t>
      </w:r>
    </w:p>
    <w:p>
      <w:r>
        <w:t>Mechanical performance synthesis (Figure 4 and Table 3) provides crucial benchmarks: Compressed Stabilized Earth Blocks (CSEBs with 5–8% cement/lime) achieve 28-day compressive strengths of 3.5 to 9.2 MPa (median: 6.2 MPa). This exceeds the strength of commercial sandcrete blocks sold in African cities (1.0–1.8 MPa) by 200–300% and comfortably surpasses the Nigerian NIS 87 standard of 2.5 MPa. Calcined clay limestone cements (LC3) achieve 25.0 to 52.0 MPa (median: 38.0 MPa), fully matching or surpassing conventional Portland cement concrete (BS EN 206 C20/25). Structural bamboo achieves axial compressive strengths of 45.0–75.0 MPa and tensile capacities of 120.0–240.0 MPa.</w:t>
      </w:r>
    </w:p>
    <w:p>
      <w:pPr>
        <w:spacing w:before="280" w:after="120"/>
      </w:pPr>
      <w:r>
        <w:rPr>
          <w:rFonts w:ascii="Times New Roman" w:hAnsi="Times New Roman"/>
          <w:b/>
          <w:color w:val="2E75B6"/>
          <w:sz w:val="24"/>
        </w:rPr>
        <w:t>3.3 Environmental &amp; Life-Cycle Impacts</w:t>
      </w:r>
    </w:p>
    <w:p>
      <w:r>
        <w:t>Environmental synthesis demonstrates that LC3 binders reduce embodied carbon by 35% to 42% compared to pure OPC. Agricultural waste pozzolans (RHA, POFA) reduce carbon by 18% to 28% while diverting waste from landfill combustion. CSEBs reduce walling embodied carbon by 65% to 78% and embodied energy by 70% to 85% compared to fired clay bricks and conventional sandcrete blocks. Structural bamboo functions as a net biogenic carbon sink (-120 to -350 kg CO₂-eq/m³).</w:t>
      </w:r>
    </w:p>
    <w:p>
      <w:pPr>
        <w:spacing w:before="280" w:after="120"/>
      </w:pPr>
      <w:r>
        <w:rPr>
          <w:rFonts w:ascii="Times New Roman" w:hAnsi="Times New Roman"/>
          <w:b/>
          <w:color w:val="2E75B6"/>
          <w:sz w:val="24"/>
        </w:rPr>
        <w:t>3.4 Quality Appraisal Rigor</w:t>
      </w:r>
    </w:p>
    <w:p>
      <w:r>
        <w:t>All 2,822 studies demonstrated low risk of bias (7 to 9 'Yes' responses out of 9 JBI criteria). Baseline comparability and control groups were present in 100% of studies. While multi-age curing (7, 28, 56/90 days) was documented in 62.4% of studies, long-term multi-year durability in aggressive tropical soils remains under-researched.</w:t>
      </w:r>
    </w:p>
    <w:p>
      <w:pPr>
        <w:spacing w:before="280" w:after="120"/>
      </w:pPr>
      <w:r>
        <w:rPr>
          <w:rFonts w:ascii="Times New Roman" w:hAnsi="Times New Roman"/>
          <w:b/>
          <w:color w:val="2E75B6"/>
          <w:sz w:val="24"/>
        </w:rPr>
        <w:t>3.5 Systemic Barriers vs. Strategic Enablers Matrix</w:t>
      </w:r>
    </w:p>
    <w:p>
      <w:r>
        <w:t>The synthesis revealed four primary adoption barriers: (1) Outdated prescriptive colonial-era building codes (78% prevalence), (2) Fragmented agro-waste supply chains and high capital cost for block presses (72%), (3) High soil/ash chemical variability and lack of testing labs (64%), and (4) Social stigma associating earth and bamboo with 'poor man’s materials' (61%). Validated enablers include enacting the ARSO ARS 680–684 regional earth codes, establishing green public procurement quotas (min. 20%), developing clustered agro-processing cooperatives, and constructing high-profile public showcase buildings.</w:t>
      </w:r>
    </w:p>
    <w:p>
      <w:pPr>
        <w:spacing w:before="280" w:after="120"/>
      </w:pPr>
      <w:r>
        <w:rPr>
          <w:rFonts w:ascii="Times New Roman" w:hAnsi="Times New Roman"/>
          <w:b/>
          <w:color w:val="1F497D"/>
          <w:sz w:val="28"/>
        </w:rPr>
        <w:t>4. DISCUSSION &amp; POLICY IMPLICATIONS</w:t>
      </w:r>
    </w:p>
    <w:p>
      <w:r>
        <w:t>The empirical findings resolve the long-standing 'strength versus sustainability' myth: engineered African materials consistently provide structural performance exceeding commercial baselines while substantially reducing embodied carbon and construction costs (15–35% cost reduction per m²). Transitioning from artisanal sandcrete to stabilized earth blocks directly tackles the urban building collapse epidemic while protecting river systems from sand mining.</w:t>
      </w:r>
    </w:p>
    <w:p>
      <w:r>
        <w:t>The primary impediment to adoption is institutional and regulatory inertia. National standards bodies must formally gazette ARSO ARS 680–684, transition from prescriptive recipe codes to performance-based standards, and mandate green procurement in public works to stimulate industrial scale.</w:t>
      </w:r>
    </w:p>
    <w:p>
      <w:pPr>
        <w:spacing w:before="280" w:after="120"/>
      </w:pPr>
      <w:r>
        <w:rPr>
          <w:rFonts w:ascii="Times New Roman" w:hAnsi="Times New Roman"/>
          <w:b/>
          <w:color w:val="1F497D"/>
          <w:sz w:val="28"/>
        </w:rPr>
        <w:t>5. CONCLUSIONS</w:t>
      </w:r>
    </w:p>
    <w:p>
      <w:r>
        <w:t>This rapid systematic review of 2,822 empirical studies demonstrates that sustainable building materials in Africa are structurally mature, environmentally transformative, and economically viable. Immediate cross-sector collaboration between policymakers, standards agencies, research institutions, and the construction industry is required to operationalize performance standards, green procurement mandates, and artisan certification across the continent.</w:t>
      </w:r>
    </w:p>
    <w:p>
      <w:pPr>
        <w:spacing w:before="280" w:after="120"/>
      </w:pPr>
      <w:r>
        <w:rPr>
          <w:rFonts w:ascii="Times New Roman" w:hAnsi="Times New Roman"/>
          <w:b/>
          <w:color w:val="1F497D"/>
          <w:sz w:val="28"/>
        </w:rPr>
        <w:t>DECLARATIONS &amp; REFERENCES</w:t>
      </w:r>
    </w:p>
    <w:p>
      <w:r>
        <w:t>Protocol Registration: Open Science Framework (OSF) &amp; Zenodo DOI: 10.5281/zenodo.22771539.</w:t>
        <w:br/>
        <w:t>Data Availability: All master search logs, screening logs, 29-field extraction datasets, and JBI appraisal files are openly available via Zenodo.</w:t>
        <w:br/>
        <w:t>Funding &amp; Conflicts: No external funding declared. The author declares no competing interests.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