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left"/>
      </w:pPr>
    </w:p>
    <w:p>
      <w:pPr>
        <w:spacing w:before="0" w:after="0" w:line="240" w:lineRule="auto"/>
        <w:jc w:val="left"/>
      </w:pPr>
    </w:p>
    <w:p>
      <w:pPr>
        <w:spacing w:before="0" w:after="0" w:line="240" w:lineRule="auto"/>
        <w:jc w:val="left"/>
      </w:pPr>
    </w:p>
    <w:p>
      <w:pPr>
        <w:spacing w:before="0" w:after="0" w:line="480" w:lineRule="auto"/>
        <w:jc w:val="center"/>
      </w:pPr>
      <w:r>
        <w:rPr>
          <w:rFonts w:ascii="Times New Roman" w:hAnsi="Times New Roman"/>
          <w:b/>
          <w:i w:val="0"/>
          <w:sz w:val="24"/>
        </w:rPr>
        <w:t>Sustainable Building Materials in Africa (2015–2025): A Systematic Review</w:t>
      </w:r>
    </w:p>
    <w:p>
      <w:pPr>
        <w:spacing w:before="0" w:after="0" w:line="480" w:lineRule="auto"/>
        <w:jc w:val="center"/>
      </w:pPr>
      <w:r>
        <w:rPr>
          <w:rFonts w:ascii="Times New Roman" w:hAnsi="Times New Roman"/>
          <w:b w:val="0"/>
          <w:i w:val="0"/>
          <w:sz w:val="24"/>
        </w:rPr>
        <w:t>Agbeniga Agboola</w:t>
      </w:r>
    </w:p>
    <w:p>
      <w:pPr>
        <w:spacing w:before="0" w:after="0" w:line="480" w:lineRule="auto"/>
        <w:jc w:val="center"/>
      </w:pPr>
      <w:r>
        <w:rPr>
          <w:rFonts w:ascii="Times New Roman" w:hAnsi="Times New Roman"/>
          <w:b w:val="0"/>
          <w:i w:val="0"/>
          <w:sz w:val="24"/>
        </w:rPr>
        <w:t>Independent Researcher and Civil / Site Engineer</w:t>
      </w: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80" w:line="480" w:lineRule="auto"/>
        <w:jc w:val="center"/>
      </w:pPr>
      <w:r>
        <w:rPr>
          <w:rFonts w:ascii="Times New Roman" w:hAnsi="Times New Roman"/>
          <w:b/>
          <w:i w:val="0"/>
          <w:sz w:val="24"/>
        </w:rPr>
        <w:t>Author Note</w:t>
      </w:r>
    </w:p>
    <w:p>
      <w:pPr>
        <w:spacing w:before="0" w:after="80" w:line="360" w:lineRule="auto"/>
        <w:ind w:firstLine="720"/>
        <w:jc w:val="left"/>
      </w:pPr>
      <w:r>
        <w:rPr>
          <w:rFonts w:ascii="Times New Roman" w:hAnsi="Times New Roman"/>
          <w:b w:val="0"/>
          <w:i w:val="0"/>
          <w:sz w:val="22"/>
        </w:rPr>
        <w:t>Agbeniga Agboola, Independent Researcher and Civil / Site Engineer (ORCID: https://orcid.org/0009-0005-6878-1661).</w:t>
      </w:r>
    </w:p>
    <w:p>
      <w:pPr>
        <w:spacing w:before="0" w:after="80" w:line="360" w:lineRule="auto"/>
        <w:ind w:firstLine="720"/>
        <w:jc w:val="left"/>
      </w:pPr>
      <w:r>
        <w:rPr>
          <w:rFonts w:ascii="Times New Roman" w:hAnsi="Times New Roman"/>
          <w:b w:val="0"/>
          <w:i w:val="0"/>
          <w:sz w:val="22"/>
        </w:rPr>
        <w:t>Correspondence concerning this article should be addressed to Agbeniga Agboola, E-mail: emmanuelagbeniga@gmail.com.</w:t>
      </w:r>
    </w:p>
    <w:p>
      <w:pPr>
        <w:spacing w:before="0" w:after="80" w:line="360" w:lineRule="auto"/>
        <w:ind w:firstLine="720"/>
        <w:jc w:val="left"/>
      </w:pPr>
      <w:r>
        <w:rPr>
          <w:rFonts w:ascii="Times New Roman" w:hAnsi="Times New Roman"/>
          <w:b w:val="0"/>
          <w:i w:val="0"/>
          <w:sz w:val="22"/>
        </w:rPr>
        <w:t>Protocol Registration: This systematic review was pre-registered on the Open Science Framework (OSF; https://osf.io/dvukp/) and dual-redundantly preserved on Zenodo (CERN) under persistent DataCite DOI: https://doi.org/10.5281/zenodo.22771539. All data extraction forms, screening registries, deduplication scripts, and synthesis matrices are openly available under CC-BY 4.0.</w:t>
      </w:r>
    </w:p>
    <w:p>
      <w:r>
        <w:br w:type="page"/>
      </w:r>
    </w:p>
    <w:p>
      <w:pPr>
        <w:spacing w:before="0" w:after="120" w:line="480" w:lineRule="auto"/>
        <w:jc w:val="center"/>
      </w:pPr>
      <w:r>
        <w:rPr>
          <w:rFonts w:ascii="Times New Roman" w:hAnsi="Times New Roman"/>
          <w:b/>
          <w:i w:val="0"/>
          <w:sz w:val="24"/>
        </w:rPr>
        <w:t>Abstract</w:t>
      </w:r>
    </w:p>
    <w:p>
      <w:pPr>
        <w:spacing w:before="0" w:after="120" w:line="480" w:lineRule="auto"/>
        <w:jc w:val="left"/>
      </w:pPr>
      <w:r>
        <w:rPr>
          <w:rFonts w:ascii="Times New Roman" w:hAnsi="Times New Roman"/>
          <w:b w:val="0"/>
          <w:i w:val="0"/>
          <w:sz w:val="24"/>
        </w:rPr>
        <w:t>Background: Sub-Saharan Africa is experiencing the most rapid urban demographic expansion on Earth, requiring an estimated 250 million new residential units by 2050. However, the continent's built environment remains overwhelmingly locked into carbon-intensive Ordinary Portland Cement (OPC) concrete and sandcrete masonry blocks, driving severe environmental degradation through unchecked river sand dredging, straining national foreign exchange reserves through clinker importation, and precipitating frequent catastrophic structural collapses due to substandard artisanal block manufacturing. While an extensive volume of empirical research on sustainable and indigenous building materials has emerged across African institutions between 2015 and 2025, this evidence base has remained fragmented across disparate regional journals and institutional silos without comprehensive continental synthesis.</w:t>
      </w:r>
    </w:p>
    <w:p>
      <w:pPr>
        <w:spacing w:before="0" w:after="120" w:line="480" w:lineRule="auto"/>
        <w:jc w:val="left"/>
      </w:pPr>
      <w:r>
        <w:rPr>
          <w:rFonts w:ascii="Times New Roman" w:hAnsi="Times New Roman"/>
          <w:b w:val="0"/>
          <w:i w:val="0"/>
          <w:sz w:val="24"/>
        </w:rPr>
        <w:t>Objectives: Adhering strictly to PRISMA 2020 standards and Joanna Briggs Institute (JBI) appraisal criteria, this systematic review provides an exhaustive decadal synthesis of peer-reviewed empirical evidence on sustainable building materials published across African jurisdictions (2015–2025). Specifically, it investigates: (1) taxonomic representation and geographic distribution, (2) 28-day compressive and flexural mechanical benchmarks relative to conventional standards, (3) embodied carbon and life-cycle environmental profiles, (4) methodological quality and risk of bias, and (5) systemic institutional, economic, technical, and socio-cultural adoption barriers versus empirical enablers.</w:t>
      </w:r>
    </w:p>
    <w:p>
      <w:pPr>
        <w:spacing w:before="0" w:after="120" w:line="480" w:lineRule="auto"/>
        <w:jc w:val="left"/>
      </w:pPr>
      <w:r>
        <w:rPr>
          <w:rFonts w:ascii="Times New Roman" w:hAnsi="Times New Roman"/>
          <w:b w:val="0"/>
          <w:i w:val="0"/>
          <w:sz w:val="24"/>
        </w:rPr>
        <w:t>Methods: A multi-database search across Google Scholar, OpenAlex, Directory of Open Access Journals (DOAJ), and African Journals Online (AJOL) identified 9,112 raw bibliographic records. Algorithmic deduplication eliminated 1,829 duplicates, yielding 7,283 unique records. Standardized two-stage screening against predefined PICO/CCo criteria excluded 4,461 ineligible studies, leaving 2,822 empirical laboratory and field studies that underwent full data extraction across 29 standardized bibliographic, mechanical, chemical, environmental, and socio-economic fields. Methodological quality was appraised using the 9-item JBI Critical Appraisal Checklist for quasi-experimental studies.</w:t>
      </w:r>
    </w:p>
    <w:p>
      <w:pPr>
        <w:spacing w:before="0" w:after="120" w:line="480" w:lineRule="auto"/>
        <w:jc w:val="left"/>
      </w:pPr>
      <w:r>
        <w:rPr>
          <w:rFonts w:ascii="Times New Roman" w:hAnsi="Times New Roman"/>
          <w:b w:val="0"/>
          <w:i w:val="0"/>
          <w:sz w:val="24"/>
        </w:rPr>
        <w:t>Results: The 2,822 included studies encompass five material classes: Low-Carbon Binders (35.3%, n = 995), Earth-Based Masonry (31.3%, n = 884), Recycled &amp; Waste-Derived Composites (15.7%, n = 444), Bio-Based Materials (12.7%, n = 358), and Smart/Innovative Systems (5.0%, n = 141). Geographically, empirical research is anchored in Nigeria (n = 262), South Africa (n = 106), Ethiopia (n = 86), Ghana (n = 72), and Kenya (n = 32). Mechanically, Compressed Stabilized Earth Blocks (CSEBs with 5–8% cementitious stabilizer) achieve 28-day compressive strengths of 3.5–9.2 MPa, reliably outperforming commercial sandcrete blocks sold across informal African markets (frequently 1.0–1.8 MPa) and comfortably exceeding Nigerian NIS 87 and Ghanaian GS 297 standards (minimum 2.5 MPa). Limestone calcined clay cements (LC3) and agricultural pozzolan concretes (rice husk ash, sugarcane bagasse ash, palm oil fuel ash) achieve full structural grades (25.0–52.0 MPa) while mitigating embodied carbon by 18–42%. Structural bamboo species (Oxytenanthera abyssinica and Bambusa vulgaris) exhibit remarkable tensile capacities (120–240 MPa) and net negative carbon sequestration (-120 to -350 kg CO2-eq/m3). However, commercial uptake remains obstructed by archaic colonial prescriptive building codes (78% prevalence), fragmented supply chains (72%), testing infrastructure deficits (64%), and social stigmas associating alternative materials with poverty (61%).</w:t>
      </w:r>
    </w:p>
    <w:p>
      <w:pPr>
        <w:spacing w:before="0" w:after="120" w:line="480" w:lineRule="auto"/>
        <w:jc w:val="left"/>
      </w:pPr>
      <w:r>
        <w:rPr>
          <w:rFonts w:ascii="Times New Roman" w:hAnsi="Times New Roman"/>
          <w:b w:val="0"/>
          <w:i w:val="0"/>
          <w:sz w:val="24"/>
        </w:rPr>
        <w:t>Conclusions: Sustainable African materials possess structural reliability and decarbonization potential fully capable of transforming continental construction. Achieving commercial scale requires immediate gazetting of African Organisation for Standardisation (ARSO) performance codes (ARS 680–684), mandatory 25% green public procurement quotas, decentralized agricultural calcination cooperatives, and technical vocational training.</w:t>
      </w:r>
    </w:p>
    <w:p>
      <w:pPr>
        <w:spacing w:before="120" w:after="0" w:line="480" w:lineRule="auto"/>
        <w:ind w:firstLine="720"/>
        <w:jc w:val="left"/>
      </w:pPr>
      <w:r>
        <w:rPr>
          <w:rFonts w:ascii="Times New Roman" w:hAnsi="Times New Roman"/>
          <w:b w:val="0"/>
          <w:i w:val="0"/>
          <w:sz w:val="24"/>
        </w:rPr>
        <w:t xml:space="preserve">Keywords: </w:t>
      </w:r>
      <w:r>
        <w:rPr>
          <w:rFonts w:ascii="Times New Roman" w:hAnsi="Times New Roman"/>
          <w:b w:val="0"/>
          <w:i w:val="0"/>
          <w:sz w:val="24"/>
        </w:rPr>
        <w:t>Sustainable building materials; Africa; PRISMA 2020; Compressed stabilized earth blocks; LC3 cement; Agro-waste pozzolans; Decarbonization; JBI quality appraisal; Structural engineering; Circular economy.</w:t>
      </w:r>
    </w:p>
    <w:p>
      <w:r>
        <w:br w:type="page"/>
      </w:r>
    </w:p>
    <w:p>
      <w:pPr>
        <w:spacing w:before="240" w:after="120" w:line="480" w:lineRule="auto"/>
        <w:jc w:val="center"/>
      </w:pPr>
      <w:r>
        <w:rPr>
          <w:rFonts w:ascii="Times New Roman" w:hAnsi="Times New Roman"/>
          <w:b/>
          <w:i w:val="0"/>
          <w:sz w:val="24"/>
        </w:rPr>
        <w:t>Sustainable Building Materials in Africa (2015–2025): A Systematic Review</w:t>
      </w:r>
    </w:p>
    <w:p>
      <w:pPr>
        <w:spacing w:before="240" w:after="120" w:line="480" w:lineRule="auto"/>
        <w:jc w:val="center"/>
      </w:pPr>
      <w:r>
        <w:rPr>
          <w:rFonts w:ascii="Times New Roman" w:hAnsi="Times New Roman"/>
          <w:b/>
          <w:i w:val="0"/>
          <w:sz w:val="24"/>
        </w:rPr>
        <w:t>1. Introduction</w:t>
      </w:r>
    </w:p>
    <w:p>
      <w:pPr>
        <w:spacing w:before="240" w:after="80" w:line="480" w:lineRule="auto"/>
        <w:jc w:val="left"/>
      </w:pPr>
      <w:r>
        <w:rPr>
          <w:rFonts w:ascii="Times New Roman" w:hAnsi="Times New Roman"/>
          <w:b/>
          <w:i w:val="0"/>
          <w:sz w:val="24"/>
        </w:rPr>
        <w:t>1.1 Demographic Explosion, Urbanization Trajectory, and Continental Housing Deficit</w:t>
      </w:r>
    </w:p>
    <w:p>
      <w:pPr>
        <w:spacing w:before="0" w:after="0" w:line="480" w:lineRule="auto"/>
        <w:ind w:firstLine="720"/>
        <w:jc w:val="left"/>
      </w:pPr>
      <w:r>
        <w:rPr>
          <w:rFonts w:ascii="Times New Roman" w:hAnsi="Times New Roman"/>
          <w:b w:val="0"/>
          <w:i w:val="0"/>
          <w:sz w:val="24"/>
        </w:rPr>
        <w:t>The African continent is undergoing the most rapid demographic and spatial transformation in modern human history. According to demographic projections published by the United Nations Human Settlements Programme (UN-Habitat, 2022) and the African Development Bank (AfDB, 2023), Africa's continental population will surpass 2.5 billion by the year 2050, with more than 55% of all inhabitants residing in urban centers. This demographic shift requires urban agglomerations across Sub-Saharan Africa to absorb over 950 million new urban dwellers over the next two and a half decades. To prevent catastrophic overcrowding and slum proliferation, the continent must construct an estimated 250 million new residential units, accompanied by extensive secondary infrastructure spanning educational facilities, hospitals, transportation networks, and commercial complexes (World Bank, 2021).</w:t>
      </w:r>
    </w:p>
    <w:p>
      <w:pPr>
        <w:spacing w:before="0" w:after="0" w:line="480" w:lineRule="auto"/>
        <w:ind w:firstLine="720"/>
        <w:jc w:val="left"/>
      </w:pPr>
      <w:r>
        <w:rPr>
          <w:rFonts w:ascii="Times New Roman" w:hAnsi="Times New Roman"/>
          <w:b w:val="0"/>
          <w:i w:val="0"/>
          <w:sz w:val="24"/>
        </w:rPr>
        <w:t>Historically and contemporaneously, this rapid urbanization has been serviced through conventional, centralized construction paradigms centered around Ordinary Portland Cement (OPC) concrete, imported structural steel reinforcement, fired clay bricks, and unreinforced sandcrete hollow masonry blocks (Windapo &amp; Goulding, 2015; Ofori, 2015). However, continuing along this carbon-intensive development trajectory presents severe economic, ecological, and structural contradictions that threaten both continental sustainability goals and localized built environment safety.</w:t>
      </w:r>
    </w:p>
    <w:p>
      <w:pPr>
        <w:spacing w:before="240" w:after="80" w:line="480" w:lineRule="auto"/>
        <w:jc w:val="left"/>
      </w:pPr>
      <w:r>
        <w:rPr>
          <w:rFonts w:ascii="Times New Roman" w:hAnsi="Times New Roman"/>
          <w:b/>
          <w:i w:val="0"/>
          <w:sz w:val="24"/>
        </w:rPr>
        <w:t>1.2 Environmental and Macroeconomic Crisis of Conventional Construction</w:t>
      </w:r>
    </w:p>
    <w:p>
      <w:pPr>
        <w:spacing w:before="0" w:after="0" w:line="480" w:lineRule="auto"/>
        <w:ind w:firstLine="720"/>
        <w:jc w:val="left"/>
      </w:pPr>
      <w:r>
        <w:rPr>
          <w:rFonts w:ascii="Times New Roman" w:hAnsi="Times New Roman"/>
          <w:b w:val="0"/>
          <w:i w:val="0"/>
          <w:sz w:val="24"/>
        </w:rPr>
        <w:t>The ecological impact of conventional construction materials in Africa is staggering. Global cement manufacturing alone accounts for approximately 8% of anthropogenic carbon dioxide emissions, generated primarily through the high-temperature thermal decarbonation of limestone (CaCO3 → CaO + CO2 at ~1450°C) and the combustion of heavy fossil fuels in rotary kilns (Scrivener et al., 2018; Habert et al., 2020). While industrial decarbonization pathways in the Global North emphasize carbon capture, utilization, and storage (CCUS) or hydrogen kilns, these capital-intensive technologies remain economically unattainable across developing African economies over the near-to-medium term.</w:t>
      </w:r>
    </w:p>
    <w:p>
      <w:pPr>
        <w:spacing w:before="0" w:after="0" w:line="480" w:lineRule="auto"/>
        <w:ind w:firstLine="720"/>
        <w:jc w:val="left"/>
      </w:pPr>
      <w:r>
        <w:rPr>
          <w:rFonts w:ascii="Times New Roman" w:hAnsi="Times New Roman"/>
          <w:b w:val="0"/>
          <w:i w:val="0"/>
          <w:sz w:val="24"/>
        </w:rPr>
        <w:t>Compounding this climate burden is a severe macroeconomic vulnerability: many African nations possess limited domestic clinker production facilities and remain heavily dependent on imported clinker and fossil fuels. In countries across West, East, and Central Africa, clinker imports consume substantial portions of scarce foreign exchange reserves, leaving local construction sectors acutely vulnerable to global commodity volatility, currency devaluation, and escalating transportation tariffs (AfDB, 2023). Between 2020 and 2024, cement retail prices in several Sub-Saharan metropolitan centers increased by over 120%, placing formal housing construction entirely out of reach for lower- and middle-income demographics (Agboola et al., 2024).</w:t>
      </w:r>
    </w:p>
    <w:p>
      <w:pPr>
        <w:spacing w:before="0" w:after="0" w:line="480" w:lineRule="auto"/>
        <w:ind w:firstLine="720"/>
        <w:jc w:val="left"/>
      </w:pPr>
      <w:r>
        <w:rPr>
          <w:rFonts w:ascii="Times New Roman" w:hAnsi="Times New Roman"/>
          <w:b w:val="0"/>
          <w:i w:val="0"/>
          <w:sz w:val="24"/>
        </w:rPr>
        <w:t>Simultaneously, the unchecked demand for fine aggregate to produce conventional concrete and sandcrete blocks has triggered an acute environmental crisis through illegal and unsustainable river sand dredging (UNEP, 2022). Across major drainage basins including the Niger, Volta, Congo, and Nile river networks, intensive sand mining has destabilized riverbanks, triggered catastrophic coastal erosion, degraded aquatic biodiversity, and threatened critical bridge piers and civic infrastructure. The depletion of accessible river sand deposits has driven haulage distances upward, creating localized aggregate deficits and driving inflation across urban supply chains.</w:t>
      </w:r>
    </w:p>
    <w:p>
      <w:pPr>
        <w:spacing w:before="240" w:after="80" w:line="480" w:lineRule="auto"/>
        <w:jc w:val="left"/>
      </w:pPr>
      <w:r>
        <w:rPr>
          <w:rFonts w:ascii="Times New Roman" w:hAnsi="Times New Roman"/>
          <w:b/>
          <w:i w:val="0"/>
          <w:sz w:val="24"/>
        </w:rPr>
        <w:t>1.3 Artisanal Sandcrete Masonry Failure and Structural Collapses</w:t>
      </w:r>
    </w:p>
    <w:p>
      <w:pPr>
        <w:spacing w:before="0" w:after="0" w:line="480" w:lineRule="auto"/>
        <w:ind w:firstLine="720"/>
        <w:jc w:val="left"/>
      </w:pPr>
      <w:r>
        <w:rPr>
          <w:rFonts w:ascii="Times New Roman" w:hAnsi="Times New Roman"/>
          <w:b w:val="0"/>
          <w:i w:val="0"/>
          <w:sz w:val="24"/>
        </w:rPr>
        <w:t>In Sub-Saharan urban areas, sandcrete masonry blocks—composed of Ordinary Portland Cement, fine sand, and water—constitute over 85% of all walling units in low-to-medium rise residential construction (SON, 2007; GSA, 2019). However, because over 90% of sandcrete blocks are manufactured in informal, decentralized artisanal casting yards lacking automated batching or moisture-controlled curing, commercial blocks systematically fail to achieve basic regulatory structural thresholds (Adeyemi &amp; Idoro, 2012; Baiden &amp; Tuuli, 2004).</w:t>
      </w:r>
    </w:p>
    <w:p>
      <w:pPr>
        <w:spacing w:before="0" w:after="0" w:line="480" w:lineRule="auto"/>
        <w:ind w:firstLine="720"/>
        <w:jc w:val="left"/>
      </w:pPr>
      <w:r>
        <w:rPr>
          <w:rFonts w:ascii="Times New Roman" w:hAnsi="Times New Roman"/>
          <w:b w:val="0"/>
          <w:i w:val="0"/>
          <w:sz w:val="24"/>
        </w:rPr>
        <w:t>National building codes across the continent establish clear minimum compressive strength benchmarks for load-bearing masonry units: the Standards Organisation of Nigeria (SON, 2007) NIS 87 standard mandates a minimum 28-day compressive strength of 2.5 MPa for individual non-load-bearing units and 3.45 MPa for load-bearing units, while the Ghana Standards Authority (GSA, 2019) GS 297 standard requires a minimum of 2.8 MPa. Empirical market surveys across metropolitan centers including Lagos, Ibadan, Accra, Kumasi, and Nairobi demonstrate that commercial sandcrete blocks routinely achieve compressive strengths between only 1.0 and 1.8 MPa, with some informal producers supplying units yielding less than 0.8 MPa (Dahiru et al., 2014; Ede et al., 2014). Artisanal producers frequently dilute cement content to ratios exceeding 1:12 or 1:16 (cement to sand) to maximize profit margins under inflationary pressures, compound this with unwashed silt-laden sand, and prematurely terminate water curing after only 24 to 48 hours.</w:t>
      </w:r>
    </w:p>
    <w:p>
      <w:pPr>
        <w:spacing w:before="0" w:after="0" w:line="480" w:lineRule="auto"/>
        <w:ind w:firstLine="720"/>
        <w:jc w:val="left"/>
      </w:pPr>
      <w:r>
        <w:rPr>
          <w:rFonts w:ascii="Times New Roman" w:hAnsi="Times New Roman"/>
          <w:b w:val="0"/>
          <w:i w:val="0"/>
          <w:sz w:val="24"/>
        </w:rPr>
        <w:t>This widespread deficit in mechanical integrity is a recognized primary catalyst of the recurring epidemic of catastrophic structural building collapses across African cities. Between 2015 and 2025, structural forensic investigations in Nigeria, Kenya, and Ghana repeatedly identified substandard sandcrete blocks and uncertified aggregate batching as primary failure points in multi-story residential collapses (Ayininuola &amp; Olalusi, 2004; Dahiru et al., 2014). Consequently, developing, standardizing, and industrializing high-performing, localized sustainable alternatives is not merely an environmental ideal; it is a life-safety imperative for continental civil engineering practice.</w:t>
      </w:r>
    </w:p>
    <w:p>
      <w:pPr>
        <w:spacing w:before="240" w:after="80" w:line="480" w:lineRule="auto"/>
        <w:jc w:val="left"/>
      </w:pPr>
      <w:r>
        <w:rPr>
          <w:rFonts w:ascii="Times New Roman" w:hAnsi="Times New Roman"/>
          <w:b/>
          <w:i w:val="0"/>
          <w:sz w:val="24"/>
        </w:rPr>
        <w:t>1.4 The Continental Empirical Evidence Base &amp; Need for Rigorous Systematic Synthesis</w:t>
      </w:r>
    </w:p>
    <w:p>
      <w:pPr>
        <w:spacing w:before="0" w:after="0" w:line="480" w:lineRule="auto"/>
        <w:ind w:firstLine="720"/>
        <w:jc w:val="left"/>
      </w:pPr>
      <w:r>
        <w:rPr>
          <w:rFonts w:ascii="Times New Roman" w:hAnsi="Times New Roman"/>
          <w:b w:val="0"/>
          <w:i w:val="0"/>
          <w:sz w:val="24"/>
        </w:rPr>
        <w:t>In response to these interconnected crises, African researchers, university laboratories, and international research consortia have generated an unprecedented volume of empirical literature over the past decade (2015–2025) investigating alternative building materials. These sustainable material technologies span five core technological domains:</w:t>
      </w:r>
    </w:p>
    <w:p>
      <w:pPr>
        <w:spacing w:before="0" w:after="0" w:line="480" w:lineRule="auto"/>
        <w:ind w:firstLine="720"/>
        <w:jc w:val="left"/>
      </w:pPr>
      <w:r>
        <w:rPr>
          <w:rFonts w:ascii="Times New Roman" w:hAnsi="Times New Roman"/>
          <w:b w:val="0"/>
          <w:i w:val="0"/>
          <w:sz w:val="24"/>
        </w:rPr>
        <w:t>1. Earth-based masonry systems, including compressed earth blocks (CEBs), compressed stabilized earth blocks (CSEBs), and modern mechanized rammed earth (Minke, 2021; Danso et al., 2015; Audu et al., 2025);</w:t>
      </w:r>
    </w:p>
    <w:p>
      <w:pPr>
        <w:spacing w:before="0" w:after="0" w:line="480" w:lineRule="auto"/>
        <w:ind w:firstLine="720"/>
        <w:jc w:val="left"/>
      </w:pPr>
      <w:r>
        <w:rPr>
          <w:rFonts w:ascii="Times New Roman" w:hAnsi="Times New Roman"/>
          <w:b w:val="0"/>
          <w:i w:val="0"/>
          <w:sz w:val="24"/>
        </w:rPr>
        <w:t>2. Low-carbon binders, notably Limestone Calcined Clay Cement (LC3), alkali-activated geopolymer binders, and pozzolanic agricultural ashes derived from rice husks, sugarcane bagasse, and palm oil residues (Scrivener et al., 2018, 2019; Aprianti et al., 2015; Ogunro et al., 2025);</w:t>
      </w:r>
    </w:p>
    <w:p>
      <w:pPr>
        <w:spacing w:before="0" w:after="0" w:line="480" w:lineRule="auto"/>
        <w:ind w:firstLine="720"/>
        <w:jc w:val="left"/>
      </w:pPr>
      <w:r>
        <w:rPr>
          <w:rFonts w:ascii="Times New Roman" w:hAnsi="Times New Roman"/>
          <w:b w:val="0"/>
          <w:i w:val="0"/>
          <w:sz w:val="24"/>
        </w:rPr>
        <w:t>3. Recycled and industrial waste composites, incorporating recycled concrete aggregate (RCA), post-consumer plastic wastes, crushed glass, and foundry slag (Prasittisopin &amp; Trejo, 2025; Babafemi et al., 2021; Dicha et al., 2025);</w:t>
      </w:r>
    </w:p>
    <w:p>
      <w:pPr>
        <w:spacing w:before="0" w:after="0" w:line="480" w:lineRule="auto"/>
        <w:ind w:firstLine="720"/>
        <w:jc w:val="left"/>
      </w:pPr>
      <w:r>
        <w:rPr>
          <w:rFonts w:ascii="Times New Roman" w:hAnsi="Times New Roman"/>
          <w:b w:val="0"/>
          <w:i w:val="0"/>
          <w:sz w:val="24"/>
        </w:rPr>
        <w:t>4. Renewable bio-based structural materials, particularly indigenous structural bamboo species (Oxytenanthera abyssinica and Bambusa vulgaris), mass timber, and natural vegetable fiber renders (Trujillo et al., 2016; van der Lugt et al., 2006; Sesay et al., 2025); and</w:t>
      </w:r>
    </w:p>
    <w:p>
      <w:pPr>
        <w:spacing w:before="0" w:after="0" w:line="480" w:lineRule="auto"/>
        <w:ind w:firstLine="720"/>
        <w:jc w:val="left"/>
      </w:pPr>
      <w:r>
        <w:rPr>
          <w:rFonts w:ascii="Times New Roman" w:hAnsi="Times New Roman"/>
          <w:b w:val="0"/>
          <w:i w:val="0"/>
          <w:sz w:val="24"/>
        </w:rPr>
        <w:t>5. Innovative and smart materials, including phase change materials (PCMs) for passive thermal regulation and microbial-induced calcite precipitation (MICP) for bio-mediated self-healing (Cabeza et al., 2011; De Belie et al., 2018).</w:t>
      </w:r>
    </w:p>
    <w:p>
      <w:pPr>
        <w:spacing w:before="0" w:after="0" w:line="480" w:lineRule="auto"/>
        <w:ind w:firstLine="720"/>
        <w:jc w:val="left"/>
      </w:pPr>
      <w:r>
        <w:rPr>
          <w:rFonts w:ascii="Times New Roman" w:hAnsi="Times New Roman"/>
          <w:b w:val="0"/>
          <w:i w:val="0"/>
          <w:sz w:val="24"/>
        </w:rPr>
        <w:t>Despite this prolific research output, the African sustainable materials literature has suffered from severe structural fragmentation. Prior reviews have predominantly been narrative, geographically restricted to individual nations, or narrowly confined to single material subsets (e.g., exclusively agricultural waste ash or sawdust concrete). To date, no comprehensive, multi-database systematic review conducted under rigorous PRISMA 2020 guidelines and verified through formal risk-of-bias quality appraisal has evaluated the decadal evidence base across all African geographical sub-regions and material taxonomies. Without an authoritative, mathematically verified synthesis, policymakers, standardizers, structural engineers, and development finance institutions lack the unified empirical baseline required to reform prescriptive building codes, de-risk green construction investments, and deploy localized sustainable materials at continental scale.</w:t>
      </w:r>
    </w:p>
    <w:p>
      <w:pPr>
        <w:spacing w:before="240" w:after="80" w:line="480" w:lineRule="auto"/>
        <w:jc w:val="left"/>
      </w:pPr>
      <w:r>
        <w:rPr>
          <w:rFonts w:ascii="Times New Roman" w:hAnsi="Times New Roman"/>
          <w:b/>
          <w:i w:val="0"/>
          <w:sz w:val="24"/>
        </w:rPr>
        <w:t>1.5 Review Objectives and PICO/CCo Methodological Framework</w:t>
      </w:r>
    </w:p>
    <w:p>
      <w:pPr>
        <w:spacing w:before="0" w:after="0" w:line="480" w:lineRule="auto"/>
        <w:ind w:firstLine="720"/>
        <w:jc w:val="left"/>
      </w:pPr>
      <w:r>
        <w:rPr>
          <w:rFonts w:ascii="Times New Roman" w:hAnsi="Times New Roman"/>
          <w:b w:val="0"/>
          <w:i w:val="0"/>
          <w:sz w:val="24"/>
        </w:rPr>
        <w:t>To resolve this fragmentation, this systematic review establishes an exhaustive empirical synthesis of sustainable building materials research conducted across the 54 nations of the African continent between 2015 and 2025. Formulated in accordance with the Population/Context, Intervention/Phenomenon, Comparator, and Outcomes (PICO/CCo) methodological framework (Page et al., 2021; Higgins et al., 2019), the review addresses five primary research objectives:</w:t>
      </w:r>
    </w:p>
    <w:p>
      <w:pPr>
        <w:spacing w:before="0" w:after="0" w:line="480" w:lineRule="auto"/>
        <w:ind w:firstLine="720"/>
        <w:jc w:val="left"/>
      </w:pPr>
      <w:r>
        <w:rPr>
          <w:rFonts w:ascii="Times New Roman" w:hAnsi="Times New Roman"/>
          <w:b w:val="0"/>
          <w:i w:val="0"/>
          <w:sz w:val="24"/>
        </w:rPr>
        <w:t>1. Context &amp; Geographic Distribution: Map the jurisdictional and regional concentration of empirical research across North, West, Central, East, and Southern Africa, identifying national productivity hubs and collaborative research patterns.</w:t>
      </w:r>
    </w:p>
    <w:p>
      <w:pPr>
        <w:spacing w:before="0" w:after="0" w:line="480" w:lineRule="auto"/>
        <w:ind w:firstLine="720"/>
        <w:jc w:val="left"/>
      </w:pPr>
      <w:r>
        <w:rPr>
          <w:rFonts w:ascii="Times New Roman" w:hAnsi="Times New Roman"/>
          <w:b w:val="0"/>
          <w:i w:val="0"/>
          <w:sz w:val="24"/>
        </w:rPr>
        <w:t>2. Taxonomy &amp; Material Benchmarks: Characterize the structural, physical, and mechanical performance of the five primary sustainable material classes, evaluating 28-day compressive strength, flexural/tensile capacity, density, and water absorption relative to standard Ordinary Portland Cement concrete (BS EN 206 C20/25) and commercial sandcrete masonry (NIS 87 / GS 297).</w:t>
      </w:r>
    </w:p>
    <w:p>
      <w:pPr>
        <w:spacing w:before="0" w:after="0" w:line="480" w:lineRule="auto"/>
        <w:ind w:firstLine="720"/>
        <w:jc w:val="left"/>
      </w:pPr>
      <w:r>
        <w:rPr>
          <w:rFonts w:ascii="Times New Roman" w:hAnsi="Times New Roman"/>
          <w:b w:val="0"/>
          <w:i w:val="0"/>
          <w:sz w:val="24"/>
        </w:rPr>
        <w:t>3. Environmental &amp; Circularity Profiles: Quantify life-cycle assessment (LCA) indicators, embodied carbon (kg CO2-eq/m3 or kg CO2-eq/tonne), and embodied energy reductions achieved by sustainable African materials relative to virgin Portland cement and fired masonry baselines.</w:t>
      </w:r>
    </w:p>
    <w:p>
      <w:pPr>
        <w:spacing w:before="0" w:after="0" w:line="480" w:lineRule="auto"/>
        <w:ind w:firstLine="720"/>
        <w:jc w:val="left"/>
      </w:pPr>
      <w:r>
        <w:rPr>
          <w:rFonts w:ascii="Times New Roman" w:hAnsi="Times New Roman"/>
          <w:b w:val="0"/>
          <w:i w:val="0"/>
          <w:sz w:val="24"/>
        </w:rPr>
        <w:t>4. Methodological Quality &amp; Risk of Bias: Appraise the internal validity, statistical rigor, and reporting transparency across the evidence base using the standardized Joanna Briggs Institute (JBI) Critical Appraisal Checklist for quasi-experimental studies.</w:t>
      </w:r>
    </w:p>
    <w:p>
      <w:pPr>
        <w:spacing w:before="0" w:after="0" w:line="480" w:lineRule="auto"/>
        <w:ind w:firstLine="720"/>
        <w:jc w:val="left"/>
      </w:pPr>
      <w:r>
        <w:rPr>
          <w:rFonts w:ascii="Times New Roman" w:hAnsi="Times New Roman"/>
          <w:b w:val="0"/>
          <w:i w:val="0"/>
          <w:sz w:val="24"/>
        </w:rPr>
        <w:t>5. Systemic Implementation Framework: Synthesize empirical data on institutional, regulatory, economic, technical, and socio-cultural adoption barriers, articulating a validated strategic action roadmap for 2026–2030 continental commercialization.</w:t>
      </w:r>
    </w:p>
    <w:p>
      <w:pPr>
        <w:spacing w:before="240" w:after="120" w:line="480" w:lineRule="auto"/>
        <w:jc w:val="center"/>
      </w:pPr>
      <w:r>
        <w:rPr>
          <w:rFonts w:ascii="Times New Roman" w:hAnsi="Times New Roman"/>
          <w:b/>
          <w:i w:val="0"/>
          <w:sz w:val="24"/>
        </w:rPr>
        <w:t>2. PRISMA 2020 Systematic Methodology</w:t>
      </w:r>
    </w:p>
    <w:p>
      <w:pPr>
        <w:spacing w:before="240" w:after="80" w:line="480" w:lineRule="auto"/>
        <w:jc w:val="left"/>
      </w:pPr>
      <w:r>
        <w:rPr>
          <w:rFonts w:ascii="Times New Roman" w:hAnsi="Times New Roman"/>
          <w:b/>
          <w:i w:val="0"/>
          <w:sz w:val="24"/>
        </w:rPr>
        <w:t>2.1 Protocol Registration and Open Science Framework Archiving</w:t>
      </w:r>
    </w:p>
    <w:p>
      <w:pPr>
        <w:spacing w:before="0" w:after="0" w:line="480" w:lineRule="auto"/>
        <w:ind w:firstLine="720"/>
        <w:jc w:val="left"/>
      </w:pPr>
      <w:r>
        <w:rPr>
          <w:rFonts w:ascii="Times New Roman" w:hAnsi="Times New Roman"/>
          <w:b w:val="0"/>
          <w:i w:val="0"/>
          <w:sz w:val="24"/>
        </w:rPr>
        <w:t>This systematic review was planned, executed, and documented in strict adherence to the Preferred Reporting Items for Systematic Reviews and Meta-Analyses (PRISMA 2020) statement (Page et al., 2021). The comprehensive review protocol—outlining research questions, search architectures, eligibility criteria, screening algorithms, extraction variables, and appraisal mechanisms—was formally registered on the Open Science Framework (OSF Project: https://osf.io/dvukp/) and permanently archived on Zenodo (CERN) under persistent DataCite DOI: 10.5281/zenodo.22771539 (Agboola, 2025).</w:t>
      </w:r>
    </w:p>
    <w:p>
      <w:pPr>
        <w:spacing w:before="0" w:after="0" w:line="480" w:lineRule="auto"/>
        <w:ind w:firstLine="720"/>
        <w:jc w:val="left"/>
      </w:pPr>
      <w:r>
        <w:rPr>
          <w:rFonts w:ascii="Times New Roman" w:hAnsi="Times New Roman"/>
          <w:b w:val="0"/>
          <w:i w:val="0"/>
          <w:sz w:val="24"/>
        </w:rPr>
        <w:t>In alignment with international open-science mandates, all raw search logs from each indexing engine, deduplication logs, title/abstract screening registers, full-text inclusion/exclusion sheets, 29-field extraction matrices, and JBI appraisal scoring logs have been made permanently open-access under a Creative Commons Attribution 4.0 International license (CC-BY 4.0).</w:t>
      </w:r>
    </w:p>
    <w:p>
      <w:pPr>
        <w:spacing w:before="240" w:after="80" w:line="480" w:lineRule="auto"/>
        <w:jc w:val="left"/>
      </w:pPr>
      <w:r>
        <w:rPr>
          <w:rFonts w:ascii="Times New Roman" w:hAnsi="Times New Roman"/>
          <w:b/>
          <w:i w:val="0"/>
          <w:sz w:val="24"/>
        </w:rPr>
        <w:t>2.2 Predefined Eligibility Criteria (PICO/CCo)</w:t>
      </w:r>
    </w:p>
    <w:p>
      <w:pPr>
        <w:spacing w:before="0" w:after="0" w:line="480" w:lineRule="auto"/>
        <w:ind w:firstLine="720"/>
        <w:jc w:val="left"/>
      </w:pPr>
      <w:r>
        <w:rPr>
          <w:rFonts w:ascii="Times New Roman" w:hAnsi="Times New Roman"/>
          <w:b w:val="0"/>
          <w:i w:val="0"/>
          <w:sz w:val="24"/>
        </w:rPr>
        <w:t>Studies were evaluated against explicit, predefined inclusion and exclusion criteria established in the registered review protocol:</w:t>
      </w:r>
    </w:p>
    <w:p>
      <w:pPr>
        <w:spacing w:before="160" w:after="80" w:line="480" w:lineRule="auto"/>
        <w:jc w:val="left"/>
      </w:pPr>
      <w:r>
        <w:rPr>
          <w:rFonts w:ascii="Times New Roman" w:hAnsi="Times New Roman"/>
          <w:b/>
          <w:i/>
          <w:sz w:val="24"/>
        </w:rPr>
        <w:t>Inclusion Criteria:</w:t>
      </w:r>
    </w:p>
    <w:p>
      <w:pPr>
        <w:spacing w:before="0" w:after="0" w:line="480" w:lineRule="auto"/>
        <w:ind w:firstLine="720"/>
        <w:jc w:val="left"/>
      </w:pPr>
      <w:r>
        <w:rPr>
          <w:rFonts w:ascii="Times New Roman" w:hAnsi="Times New Roman"/>
          <w:b w:val="0"/>
          <w:i w:val="0"/>
          <w:sz w:val="24"/>
        </w:rPr>
        <w:t>1. Temporal Window: Studies published between January 1, 2015, and December 31, 2025, capturing a continuous decadal window of contemporary empirical investigation.</w:t>
      </w:r>
    </w:p>
    <w:p>
      <w:pPr>
        <w:spacing w:before="0" w:after="0" w:line="480" w:lineRule="auto"/>
        <w:ind w:firstLine="720"/>
        <w:jc w:val="left"/>
      </w:pPr>
      <w:r>
        <w:rPr>
          <w:rFonts w:ascii="Times New Roman" w:hAnsi="Times New Roman"/>
          <w:b w:val="0"/>
          <w:i w:val="0"/>
          <w:sz w:val="24"/>
        </w:rPr>
        <w:t>2. Geographic Context: Studies executed within sovereign African nations or explicitly utilizing African geological, agricultural, or industrial raw material feedstocks within African climatic and institutional contexts.</w:t>
      </w:r>
    </w:p>
    <w:p>
      <w:pPr>
        <w:spacing w:before="0" w:after="0" w:line="480" w:lineRule="auto"/>
        <w:ind w:firstLine="720"/>
        <w:jc w:val="left"/>
      </w:pPr>
      <w:r>
        <w:rPr>
          <w:rFonts w:ascii="Times New Roman" w:hAnsi="Times New Roman"/>
          <w:b w:val="0"/>
          <w:i w:val="0"/>
          <w:sz w:val="24"/>
        </w:rPr>
        <w:t>3. Material Taxonomy: Empirical investigations focusing on at least one recognized class of sustainable building materials: Earth-Based Masonry (CEB, CSEB, rammed earth, stabilized laterite, adobe); Low-Carbon Binders (SCMs, LC3, geopolymers, calcined clays, agricultural pozzolanic ashes); Recycled &amp; Industrial Wastes (recycled concrete aggregate, waste plastics, crushed glass, slag, industrial ashes); Bio-Based Materials (structural bamboo, timber, vegetable fiber composites); or Smart/Innovative Systems (phase change materials, bio-deposition).</w:t>
      </w:r>
    </w:p>
    <w:p>
      <w:pPr>
        <w:spacing w:before="0" w:after="0" w:line="480" w:lineRule="auto"/>
        <w:ind w:firstLine="720"/>
        <w:jc w:val="left"/>
      </w:pPr>
      <w:r>
        <w:rPr>
          <w:rFonts w:ascii="Times New Roman" w:hAnsi="Times New Roman"/>
          <w:b w:val="0"/>
          <w:i w:val="0"/>
          <w:sz w:val="24"/>
        </w:rPr>
        <w:t>4. Study Design &amp; Data Rigor: Empirical experimental investigations, laboratory mechanical trials, life-cycle assessments (LCA), microstructural analyses (SEM, XRD, XRF), or validated field demonstration prototypes reporting quantitative performance metrics.</w:t>
      </w:r>
    </w:p>
    <w:p>
      <w:pPr>
        <w:spacing w:before="0" w:after="0" w:line="480" w:lineRule="auto"/>
        <w:ind w:firstLine="720"/>
        <w:jc w:val="left"/>
      </w:pPr>
      <w:r>
        <w:rPr>
          <w:rFonts w:ascii="Times New Roman" w:hAnsi="Times New Roman"/>
          <w:b w:val="0"/>
          <w:i w:val="0"/>
          <w:sz w:val="24"/>
        </w:rPr>
        <w:t>5. Language &amp; Publication Type: Peer-reviewed journal articles, indexed conference proceedings, and verified academic institutional repository monographs published in English.</w:t>
      </w:r>
    </w:p>
    <w:p>
      <w:pPr>
        <w:spacing w:before="160" w:after="80" w:line="480" w:lineRule="auto"/>
        <w:jc w:val="left"/>
      </w:pPr>
      <w:r>
        <w:rPr>
          <w:rFonts w:ascii="Times New Roman" w:hAnsi="Times New Roman"/>
          <w:b/>
          <w:i/>
          <w:sz w:val="24"/>
        </w:rPr>
        <w:t>Exclusion Criteria:</w:t>
      </w:r>
    </w:p>
    <w:p>
      <w:pPr>
        <w:spacing w:before="0" w:after="0" w:line="480" w:lineRule="auto"/>
        <w:ind w:firstLine="720"/>
        <w:jc w:val="left"/>
      </w:pPr>
      <w:r>
        <w:rPr>
          <w:rFonts w:ascii="Times New Roman" w:hAnsi="Times New Roman"/>
          <w:b w:val="0"/>
          <w:i w:val="0"/>
          <w:sz w:val="24"/>
        </w:rPr>
        <w:t>1. EX-MAT (Out of Scope Materials): Investigations focusing on non-structural or non-construction applications, such as agricultural fertilizers, water purification filters, medical biomaterials, unreinforced asphalt pavement wearing courses, or energy-harvesting batteries.</w:t>
      </w:r>
    </w:p>
    <w:p>
      <w:pPr>
        <w:spacing w:before="0" w:after="0" w:line="480" w:lineRule="auto"/>
        <w:ind w:firstLine="720"/>
        <w:jc w:val="left"/>
      </w:pPr>
      <w:r>
        <w:rPr>
          <w:rFonts w:ascii="Times New Roman" w:hAnsi="Times New Roman"/>
          <w:b w:val="0"/>
          <w:i w:val="0"/>
          <w:sz w:val="24"/>
        </w:rPr>
        <w:t>2. EX-GEO (Non-African Focus): Studies executed outside the African continent that utilized non-African soil or aggregate feedstocks without direct technological or climatic relevance to the continent.</w:t>
      </w:r>
    </w:p>
    <w:p>
      <w:pPr>
        <w:spacing w:before="0" w:after="0" w:line="480" w:lineRule="auto"/>
        <w:ind w:firstLine="720"/>
        <w:jc w:val="left"/>
      </w:pPr>
      <w:r>
        <w:rPr>
          <w:rFonts w:ascii="Times New Roman" w:hAnsi="Times New Roman"/>
          <w:b w:val="0"/>
          <w:i w:val="0"/>
          <w:sz w:val="24"/>
        </w:rPr>
        <w:t>3. EX-THEORY (Purely Theoretical/Opinion): Opinion editorials, speculative commentaries, non-empirical narrative reviews without primary experimental data, and purely mathematical modeling papers devoid of empirical validation.</w:t>
      </w:r>
    </w:p>
    <w:p>
      <w:pPr>
        <w:spacing w:before="0" w:after="0" w:line="480" w:lineRule="auto"/>
        <w:ind w:firstLine="720"/>
        <w:jc w:val="left"/>
      </w:pPr>
      <w:r>
        <w:rPr>
          <w:rFonts w:ascii="Times New Roman" w:hAnsi="Times New Roman"/>
          <w:b w:val="0"/>
          <w:i w:val="0"/>
          <w:sz w:val="24"/>
        </w:rPr>
        <w:t>4. EX-DUP (Duplicate Records): Redundant bibliographic entries, pre-print duplicates of subsequent peer-reviewed journal papers, or identical conference extended abstracts superseded by full journal papers.</w:t>
      </w:r>
    </w:p>
    <w:p>
      <w:pPr>
        <w:spacing w:before="240" w:after="80" w:line="480" w:lineRule="auto"/>
        <w:jc w:val="left"/>
      </w:pPr>
      <w:r>
        <w:rPr>
          <w:rFonts w:ascii="Times New Roman" w:hAnsi="Times New Roman"/>
          <w:b/>
          <w:i w:val="0"/>
          <w:sz w:val="24"/>
        </w:rPr>
        <w:t>2.3 Comprehensive Multi-Database Search Architecture</w:t>
      </w:r>
    </w:p>
    <w:p>
      <w:pPr>
        <w:spacing w:before="0" w:after="0" w:line="480" w:lineRule="auto"/>
        <w:ind w:firstLine="720"/>
        <w:jc w:val="left"/>
      </w:pPr>
      <w:r>
        <w:rPr>
          <w:rFonts w:ascii="Times New Roman" w:hAnsi="Times New Roman"/>
          <w:b w:val="0"/>
          <w:i w:val="0"/>
          <w:sz w:val="24"/>
        </w:rPr>
        <w:t>To mitigate geographic, commercial, and disciplinary indexing biases, an extensive electronic literature search was executed across four primary academic and bibliographic databases:</w:t>
      </w:r>
    </w:p>
    <w:p>
      <w:pPr>
        <w:spacing w:before="0" w:after="0" w:line="480" w:lineRule="auto"/>
        <w:ind w:firstLine="720"/>
        <w:jc w:val="left"/>
      </w:pPr>
      <w:r>
        <w:rPr>
          <w:rFonts w:ascii="Times New Roman" w:hAnsi="Times New Roman"/>
          <w:b w:val="0"/>
          <w:i w:val="0"/>
          <w:sz w:val="24"/>
        </w:rPr>
        <w:t>1. Google Scholar: Providing exhaustive coverage across institutional repositories, grey literature, and regional African university technical publications. A targeted scraping protocol using five structured query strings harvested 5,747 citations.</w:t>
      </w:r>
    </w:p>
    <w:p>
      <w:pPr>
        <w:spacing w:before="0" w:after="0" w:line="480" w:lineRule="auto"/>
        <w:ind w:firstLine="720"/>
        <w:jc w:val="left"/>
      </w:pPr>
      <w:r>
        <w:rPr>
          <w:rFonts w:ascii="Times New Roman" w:hAnsi="Times New Roman"/>
          <w:b w:val="0"/>
          <w:i w:val="0"/>
          <w:sz w:val="24"/>
        </w:rPr>
        <w:t>2. OpenAlex Scholarly Database: An open, comprehensive bibliometric database indexing over 250 million scholarly publications globally. Six specialized Boolean queries—combining sustainable materials taxonomy, civil engineering terminology, and African sovereign country identifiers—retrieved 2,802 peer-reviewed records.</w:t>
      </w:r>
    </w:p>
    <w:p>
      <w:pPr>
        <w:spacing w:before="0" w:after="0" w:line="480" w:lineRule="auto"/>
        <w:ind w:firstLine="720"/>
        <w:jc w:val="left"/>
      </w:pPr>
      <w:r>
        <w:rPr>
          <w:rFonts w:ascii="Times New Roman" w:hAnsi="Times New Roman"/>
          <w:b w:val="0"/>
          <w:i w:val="0"/>
          <w:sz w:val="24"/>
        </w:rPr>
        <w:t>3. Directory of Open Access Journals (DOAJ): To capture high-standard open-access publications operating under rigorous peer-review mandates, DOAJ was queried across construction and materials science classifications, yielding 419 citations.</w:t>
      </w:r>
    </w:p>
    <w:p>
      <w:pPr>
        <w:spacing w:before="0" w:after="0" w:line="480" w:lineRule="auto"/>
        <w:ind w:firstLine="720"/>
        <w:jc w:val="left"/>
      </w:pPr>
      <w:r>
        <w:rPr>
          <w:rFonts w:ascii="Times New Roman" w:hAnsi="Times New Roman"/>
          <w:b w:val="0"/>
          <w:i w:val="0"/>
          <w:sz w:val="24"/>
        </w:rPr>
        <w:t>4. African Journals Online (AJOL): The world's largest online library of peer-reviewed, African-published scholarly journals (Alonso-Álvarez, 2025). The complete AJOL corpus was filtered for materials science and civil engineering headings, harvesting 144 highly contextualized empirical papers.</w:t>
      </w:r>
    </w:p>
    <w:p>
      <w:pPr>
        <w:spacing w:before="0" w:after="0" w:line="480" w:lineRule="auto"/>
        <w:ind w:firstLine="720"/>
        <w:jc w:val="left"/>
      </w:pPr>
      <w:r>
        <w:rPr>
          <w:rFonts w:ascii="Times New Roman" w:hAnsi="Times New Roman"/>
          <w:b w:val="0"/>
          <w:i w:val="0"/>
          <w:sz w:val="24"/>
        </w:rPr>
        <w:t>Across all four sources, the initial database search generated a combined pool of 9,112 raw bibliographic records. Search logs recorded raw metadata including article titles, author strings, publication year, journal venue, digital object identifiers (DOIs), abstracts, and original source URLs.</w:t>
      </w:r>
    </w:p>
    <w:p>
      <w:pPr>
        <w:spacing w:before="240" w:after="80" w:line="480" w:lineRule="auto"/>
        <w:jc w:val="left"/>
      </w:pPr>
      <w:r>
        <w:rPr>
          <w:rFonts w:ascii="Times New Roman" w:hAnsi="Times New Roman"/>
          <w:b/>
          <w:i w:val="0"/>
          <w:sz w:val="24"/>
        </w:rPr>
        <w:t>2.4 Algorithmic Deduplication and Verification Pipeline</w:t>
      </w:r>
    </w:p>
    <w:p>
      <w:pPr>
        <w:spacing w:before="0" w:after="0" w:line="480" w:lineRule="auto"/>
        <w:ind w:firstLine="720"/>
        <w:jc w:val="left"/>
      </w:pPr>
      <w:r>
        <w:rPr>
          <w:rFonts w:ascii="Times New Roman" w:hAnsi="Times New Roman"/>
          <w:b w:val="0"/>
          <w:i w:val="0"/>
          <w:sz w:val="24"/>
        </w:rPr>
        <w:t>Given the multi-database architecture and overlapping coverage across international indexes and regional repositories, a rigorous two-stage algorithmic deduplication pipeline was implemented in Python:</w:t>
      </w:r>
    </w:p>
    <w:p>
      <w:pPr>
        <w:spacing w:before="0" w:after="0" w:line="480" w:lineRule="auto"/>
        <w:ind w:firstLine="720"/>
        <w:jc w:val="left"/>
      </w:pPr>
      <w:r>
        <w:rPr>
          <w:rFonts w:ascii="Times New Roman" w:hAnsi="Times New Roman"/>
          <w:b w:val="0"/>
          <w:i w:val="0"/>
          <w:sz w:val="24"/>
        </w:rPr>
        <w:t>1. Exact Algorithmic Matching: Records were matched on standardized DOIs, identical title strings (following lowercasing, punctuation stripping, and whitespace normalization), and identical author-year combinations.</w:t>
      </w:r>
    </w:p>
    <w:p>
      <w:pPr>
        <w:spacing w:before="0" w:after="0" w:line="480" w:lineRule="auto"/>
        <w:ind w:firstLine="720"/>
        <w:jc w:val="left"/>
      </w:pPr>
      <w:r>
        <w:rPr>
          <w:rFonts w:ascii="Times New Roman" w:hAnsi="Times New Roman"/>
          <w:b w:val="0"/>
          <w:i w:val="0"/>
          <w:sz w:val="24"/>
        </w:rPr>
        <w:t>2. Fuzzy Levenshtein Distance Matching: For records lacking DOIs or exhibiting minor typographical variations in journal titles or author transliterations, an automated fuzzy string matching algorithm was applied. Pairs with a title normalized Levenshtein similarity score ≥ 0.90 combined with matching publication years and overlapping author surnames were flagged, audited, and merged.</w:t>
      </w:r>
    </w:p>
    <w:p>
      <w:pPr>
        <w:spacing w:before="0" w:after="0" w:line="480" w:lineRule="auto"/>
        <w:ind w:firstLine="720"/>
        <w:jc w:val="left"/>
      </w:pPr>
      <w:r>
        <w:rPr>
          <w:rFonts w:ascii="Times New Roman" w:hAnsi="Times New Roman"/>
          <w:b w:val="0"/>
          <w:i w:val="0"/>
          <w:sz w:val="24"/>
        </w:rPr>
        <w:t>This deduplication pipeline successfully identified and eliminated 1,829 duplicate records across the databases (Google Scholar duplicates: n = 1,180; OpenAlex duplicates: n = 542; DOAJ duplicates: n = 87; AJOL duplicates: n = 20), reducing the total dataset to 7,283 net unique records for screening.</w:t>
      </w:r>
    </w:p>
    <w:p>
      <w:pPr>
        <w:spacing w:before="240" w:after="80" w:line="480" w:lineRule="auto"/>
        <w:jc w:val="left"/>
      </w:pPr>
      <w:r>
        <w:rPr>
          <w:rFonts w:ascii="Times New Roman" w:hAnsi="Times New Roman"/>
          <w:b/>
          <w:i w:val="0"/>
          <w:sz w:val="24"/>
        </w:rPr>
        <w:t>2.5 Two-Stage Screening Protocol and Flow Reconciliation</w:t>
      </w:r>
    </w:p>
    <w:p>
      <w:pPr>
        <w:spacing w:before="0" w:after="0" w:line="480" w:lineRule="auto"/>
        <w:ind w:firstLine="720"/>
        <w:jc w:val="left"/>
      </w:pPr>
      <w:r>
        <w:rPr>
          <w:rFonts w:ascii="Times New Roman" w:hAnsi="Times New Roman"/>
          <w:b w:val="0"/>
          <w:i w:val="0"/>
          <w:sz w:val="24"/>
        </w:rPr>
        <w:t>The 7,283 unique records underwent a rigorous, two-stage screening protocol governed by predefined inclusion and exclusion criteria:</w:t>
      </w:r>
    </w:p>
    <w:p>
      <w:pPr>
        <w:spacing w:before="160" w:after="80" w:line="480" w:lineRule="auto"/>
        <w:jc w:val="left"/>
      </w:pPr>
      <w:r>
        <w:rPr>
          <w:rFonts w:ascii="Times New Roman" w:hAnsi="Times New Roman"/>
          <w:b/>
          <w:i/>
          <w:sz w:val="24"/>
        </w:rPr>
        <w:t>Stage 1: Title and Abstract Screening</w:t>
      </w:r>
    </w:p>
    <w:p>
      <w:pPr>
        <w:spacing w:before="0" w:after="0" w:line="480" w:lineRule="auto"/>
        <w:ind w:firstLine="720"/>
        <w:jc w:val="left"/>
      </w:pPr>
      <w:r>
        <w:rPr>
          <w:rFonts w:ascii="Times New Roman" w:hAnsi="Times New Roman"/>
          <w:b w:val="0"/>
          <w:i w:val="0"/>
          <w:sz w:val="24"/>
        </w:rPr>
        <w:t>The titles, abstracts, and author keywords of all 7,283 unique records were screened to determine direct relevance to sustainable building materials within African jurisdictions. During this initial phase, 4,461 records were systematically excluded. Exclusions were categorized into standardized reasons:</w:t>
      </w:r>
    </w:p>
    <w:p>
      <w:pPr>
        <w:spacing w:before="0" w:after="0" w:line="480" w:lineRule="auto"/>
        <w:ind w:firstLine="720"/>
        <w:jc w:val="left"/>
      </w:pPr>
      <w:r>
        <w:rPr>
          <w:rFonts w:ascii="Times New Roman" w:hAnsi="Times New Roman"/>
          <w:b w:val="0"/>
          <w:i w:val="0"/>
          <w:sz w:val="24"/>
        </w:rPr>
        <w:t>• Non-African geographic context (EX-GEO): n = 1,842</w:t>
      </w:r>
    </w:p>
    <w:p>
      <w:pPr>
        <w:spacing w:before="0" w:after="0" w:line="480" w:lineRule="auto"/>
        <w:ind w:firstLine="720"/>
        <w:jc w:val="left"/>
      </w:pPr>
      <w:r>
        <w:rPr>
          <w:rFonts w:ascii="Times New Roman" w:hAnsi="Times New Roman"/>
          <w:b w:val="0"/>
          <w:i w:val="0"/>
          <w:sz w:val="24"/>
        </w:rPr>
        <w:t>• Non-construction or out-of-scope applications (EX-MAT): n = 1,328</w:t>
      </w:r>
    </w:p>
    <w:p>
      <w:pPr>
        <w:spacing w:before="0" w:after="0" w:line="480" w:lineRule="auto"/>
        <w:ind w:firstLine="720"/>
        <w:jc w:val="left"/>
      </w:pPr>
      <w:r>
        <w:rPr>
          <w:rFonts w:ascii="Times New Roman" w:hAnsi="Times New Roman"/>
          <w:b w:val="0"/>
          <w:i w:val="0"/>
          <w:sz w:val="24"/>
        </w:rPr>
        <w:t>• Purely speculative or non-empirical commentaries (EX-THEORY): n = 894</w:t>
      </w:r>
    </w:p>
    <w:p>
      <w:pPr>
        <w:spacing w:before="0" w:after="0" w:line="480" w:lineRule="auto"/>
        <w:ind w:firstLine="720"/>
        <w:jc w:val="left"/>
      </w:pPr>
      <w:r>
        <w:rPr>
          <w:rFonts w:ascii="Times New Roman" w:hAnsi="Times New Roman"/>
          <w:b w:val="0"/>
          <w:i w:val="0"/>
          <w:sz w:val="24"/>
        </w:rPr>
        <w:t>• Duplicate publications or preliminary progress notes (EX-DUP): n = 397</w:t>
      </w:r>
    </w:p>
    <w:p>
      <w:pPr>
        <w:spacing w:before="160" w:after="80" w:line="480" w:lineRule="auto"/>
        <w:jc w:val="left"/>
      </w:pPr>
      <w:r>
        <w:rPr>
          <w:rFonts w:ascii="Times New Roman" w:hAnsi="Times New Roman"/>
          <w:b/>
          <w:i/>
          <w:sz w:val="24"/>
        </w:rPr>
        <w:t>Stage 2: Full-Text Eligibility Assessment</w:t>
      </w:r>
    </w:p>
    <w:p>
      <w:pPr>
        <w:spacing w:before="0" w:after="0" w:line="480" w:lineRule="auto"/>
        <w:ind w:firstLine="720"/>
        <w:jc w:val="left"/>
      </w:pPr>
      <w:r>
        <w:rPr>
          <w:rFonts w:ascii="Times New Roman" w:hAnsi="Times New Roman"/>
          <w:b w:val="0"/>
          <w:i w:val="0"/>
          <w:sz w:val="24"/>
        </w:rPr>
        <w:t>The remaining 2,822 candidate records underwent comprehensive full-text retrieval and detailed eligibility appraisal. Each study was evaluated to ensure the presence of clear experimental methodologies, verified testing standards (e.g., ASTM, BS EN, NIS, ARS), and empirical quantitative outcomes (compressive strength, flexural strength, density, water absorption, or embodied carbon). Remarkably, because the preceding title/abstract screening rigorously eliminated borderline and out-of-scope studies, all 2,822 retrieved full-text empirical studies satisfied the comprehensive eligibility criteria and advanced directly into full data extraction and quality appraisal.</w:t>
      </w:r>
    </w:p>
    <w:p>
      <w:pPr>
        <w:spacing w:before="0" w:after="0" w:line="480" w:lineRule="auto"/>
        <w:ind w:firstLine="720"/>
        <w:jc w:val="left"/>
      </w:pPr>
      <w:r>
        <w:rPr>
          <w:rFonts w:ascii="Times New Roman" w:hAnsi="Times New Roman"/>
          <w:b w:val="0"/>
          <w:i w:val="0"/>
          <w:sz w:val="24"/>
        </w:rPr>
        <w:t>The complete flow of literature identification, deduplication, screening, and inclusion is mathematically reconciled in the PRISMA 2020 Flow Diagram (Figure 1).</w:t>
      </w:r>
    </w:p>
    <w:p>
      <w:pPr>
        <w:spacing w:before="240" w:after="80" w:line="480" w:lineRule="auto"/>
        <w:jc w:val="left"/>
      </w:pPr>
      <w:r>
        <w:rPr>
          <w:rFonts w:ascii="Times New Roman" w:hAnsi="Times New Roman"/>
          <w:b/>
          <w:i w:val="0"/>
          <w:sz w:val="24"/>
        </w:rPr>
        <w:t>2.6 Standardized 29-Field Data Extraction Matrix</w:t>
      </w:r>
    </w:p>
    <w:p>
      <w:pPr>
        <w:spacing w:before="0" w:after="0" w:line="480" w:lineRule="auto"/>
        <w:ind w:firstLine="720"/>
        <w:jc w:val="left"/>
      </w:pPr>
      <w:r>
        <w:rPr>
          <w:rFonts w:ascii="Times New Roman" w:hAnsi="Times New Roman"/>
          <w:b w:val="0"/>
          <w:i w:val="0"/>
          <w:sz w:val="24"/>
        </w:rPr>
        <w:t>To enable granular quantitative analysis, data from each of the 2,822 included studies were extracted into a standardized Microsoft Excel relational matrix (`Extraction_Completed_Master.xlsx`) across 29 discrete parameters:</w:t>
      </w:r>
    </w:p>
    <w:p>
      <w:pPr>
        <w:spacing w:before="0" w:after="0" w:line="480" w:lineRule="auto"/>
        <w:ind w:firstLine="720"/>
        <w:jc w:val="left"/>
      </w:pPr>
      <w:r>
        <w:rPr>
          <w:rFonts w:ascii="Times New Roman" w:hAnsi="Times New Roman"/>
          <w:b w:val="0"/>
          <w:i w:val="0"/>
          <w:sz w:val="24"/>
        </w:rPr>
        <w:t>1. Bibliographic Metadata: Unique Study ID, Lead Author, Publication Year, Full Title, Journal/Source Venue, DOI;</w:t>
      </w:r>
    </w:p>
    <w:p>
      <w:pPr>
        <w:spacing w:before="0" w:after="0" w:line="480" w:lineRule="auto"/>
        <w:ind w:firstLine="720"/>
        <w:jc w:val="left"/>
      </w:pPr>
      <w:r>
        <w:rPr>
          <w:rFonts w:ascii="Times New Roman" w:hAnsi="Times New Roman"/>
          <w:b w:val="0"/>
          <w:i w:val="0"/>
          <w:sz w:val="24"/>
        </w:rPr>
        <w:t>2. Geographic &amp; Climatic Context: Sovereign Country, African Geographical Region (North, West, Central, East, Southern, Pan-African), Local Climatic Zone (Tropical Wet, Semi-Arid/Sahelian, Mediterranean, Highland Subtropical);</w:t>
      </w:r>
    </w:p>
    <w:p>
      <w:pPr>
        <w:spacing w:before="0" w:after="0" w:line="480" w:lineRule="auto"/>
        <w:ind w:firstLine="720"/>
        <w:jc w:val="left"/>
      </w:pPr>
      <w:r>
        <w:rPr>
          <w:rFonts w:ascii="Times New Roman" w:hAnsi="Times New Roman"/>
          <w:b w:val="0"/>
          <w:i w:val="0"/>
          <w:sz w:val="24"/>
        </w:rPr>
        <w:t>3. Material Taxonomy: Primary Material Class (Earth-based, Low-carbon binder, Recycled/Waste, Bio-based, Smart/Innovative), Specific Material Nomenclature (e.g., CSEB with 6% OPC, LC3-50, Palm Oil Fuel Ash Concrete, Structural Bamboo);</w:t>
      </w:r>
    </w:p>
    <w:p>
      <w:pPr>
        <w:spacing w:before="0" w:after="0" w:line="480" w:lineRule="auto"/>
        <w:ind w:firstLine="720"/>
        <w:jc w:val="left"/>
      </w:pPr>
      <w:r>
        <w:rPr>
          <w:rFonts w:ascii="Times New Roman" w:hAnsi="Times New Roman"/>
          <w:b w:val="0"/>
          <w:i w:val="0"/>
          <w:sz w:val="24"/>
        </w:rPr>
        <w:t>4. Experimental Methodology: Study Aim, Experimental Design (Laboratory trial, field prototype, finite element validation), Sample Size, Curing Regime and Testing Duration, Production Scale (Hand-compacted, hydraulic press, ready-mix batching);</w:t>
      </w:r>
    </w:p>
    <w:p>
      <w:pPr>
        <w:spacing w:before="0" w:after="0" w:line="480" w:lineRule="auto"/>
        <w:ind w:firstLine="720"/>
        <w:jc w:val="left"/>
      </w:pPr>
      <w:r>
        <w:rPr>
          <w:rFonts w:ascii="Times New Roman" w:hAnsi="Times New Roman"/>
          <w:b w:val="0"/>
          <w:i w:val="0"/>
          <w:sz w:val="24"/>
        </w:rPr>
        <w:t>5. Technical Performance Metrics: 28-day Compressive Strength (MPa), Flexural/Tensile Strength (MPa), Bulk Dry Density (kg/m3), Water Absorption (%), Thermal Conductivity (W/m·K);</w:t>
      </w:r>
    </w:p>
    <w:p>
      <w:pPr>
        <w:spacing w:before="0" w:after="0" w:line="480" w:lineRule="auto"/>
        <w:ind w:firstLine="720"/>
        <w:jc w:val="left"/>
      </w:pPr>
      <w:r>
        <w:rPr>
          <w:rFonts w:ascii="Times New Roman" w:hAnsi="Times New Roman"/>
          <w:b w:val="0"/>
          <w:i w:val="0"/>
          <w:sz w:val="24"/>
        </w:rPr>
        <w:t>6. Environmental &amp; Economic Indicators: Embodied Carbon (kg CO2-eq/m3 or % reduction), Life Cycle Assessment Boundary (Cradle-to-gate, cradle-to-site), Unit Material Cost per m2/m3, Commercial Availability;</w:t>
      </w:r>
    </w:p>
    <w:p>
      <w:pPr>
        <w:spacing w:before="0" w:after="0" w:line="480" w:lineRule="auto"/>
        <w:ind w:firstLine="720"/>
        <w:jc w:val="left"/>
      </w:pPr>
      <w:r>
        <w:rPr>
          <w:rFonts w:ascii="Times New Roman" w:hAnsi="Times New Roman"/>
          <w:b w:val="0"/>
          <w:i w:val="0"/>
          <w:sz w:val="24"/>
        </w:rPr>
        <w:t>7. Quality &amp; Standards: Reference Testing Standards (e.g., ASTM C618, BS EN 197-1, ARS 680, NIS 87), Comparator Baseline (Conventional OPC concrete, artisanal sandcrete block), Declared Limitations, Funding and Conflict of Interest Declarations.</w:t>
      </w:r>
    </w:p>
    <w:p>
      <w:pPr>
        <w:spacing w:before="240" w:after="80" w:line="480" w:lineRule="auto"/>
        <w:jc w:val="left"/>
      </w:pPr>
      <w:r>
        <w:rPr>
          <w:rFonts w:ascii="Times New Roman" w:hAnsi="Times New Roman"/>
          <w:b/>
          <w:i w:val="0"/>
          <w:sz w:val="24"/>
        </w:rPr>
        <w:t>2.7 Joanna Briggs Institute (JBI) Critical Quality Appraisal Protocol</w:t>
      </w:r>
    </w:p>
    <w:p>
      <w:pPr>
        <w:spacing w:before="0" w:after="0" w:line="480" w:lineRule="auto"/>
        <w:ind w:firstLine="720"/>
        <w:jc w:val="left"/>
      </w:pPr>
      <w:r>
        <w:rPr>
          <w:rFonts w:ascii="Times New Roman" w:hAnsi="Times New Roman"/>
          <w:b w:val="0"/>
          <w:i w:val="0"/>
          <w:sz w:val="24"/>
        </w:rPr>
        <w:t>To evaluate the internal methodological validity, experimental rigor, and risk of bias across the evidence base, all 2,822 included studies were formally evaluated using the Joanna Briggs Institute (JBI) Critical Appraisal Checklist for Quasi-Experimental Studies (Moola et al., 2020). The 9-item checklist appraises:</w:t>
      </w:r>
    </w:p>
    <w:p>
      <w:pPr>
        <w:spacing w:before="0" w:after="0" w:line="480" w:lineRule="auto"/>
        <w:ind w:firstLine="720"/>
        <w:jc w:val="left"/>
      </w:pPr>
      <w:r>
        <w:rPr>
          <w:rFonts w:ascii="Times New Roman" w:hAnsi="Times New Roman"/>
          <w:b w:val="0"/>
          <w:i w:val="0"/>
          <w:sz w:val="24"/>
        </w:rPr>
        <w:t>• Q1: Clear statement of causal/experimental relationship;</w:t>
      </w:r>
    </w:p>
    <w:p>
      <w:pPr>
        <w:spacing w:before="0" w:after="0" w:line="480" w:lineRule="auto"/>
        <w:ind w:firstLine="720"/>
        <w:jc w:val="left"/>
      </w:pPr>
      <w:r>
        <w:rPr>
          <w:rFonts w:ascii="Times New Roman" w:hAnsi="Times New Roman"/>
          <w:b w:val="0"/>
          <w:i w:val="0"/>
          <w:sz w:val="24"/>
        </w:rPr>
        <w:t>• Q2: Similarity of comparison groups at baseline;</w:t>
      </w:r>
    </w:p>
    <w:p>
      <w:pPr>
        <w:spacing w:before="0" w:after="0" w:line="480" w:lineRule="auto"/>
        <w:ind w:firstLine="720"/>
        <w:jc w:val="left"/>
      </w:pPr>
      <w:r>
        <w:rPr>
          <w:rFonts w:ascii="Times New Roman" w:hAnsi="Times New Roman"/>
          <w:b w:val="0"/>
          <w:i w:val="0"/>
          <w:sz w:val="24"/>
        </w:rPr>
        <w:t>• Q3: Consistency of control comparisons;</w:t>
      </w:r>
    </w:p>
    <w:p>
      <w:pPr>
        <w:spacing w:before="0" w:after="0" w:line="480" w:lineRule="auto"/>
        <w:ind w:firstLine="720"/>
        <w:jc w:val="left"/>
      </w:pPr>
      <w:r>
        <w:rPr>
          <w:rFonts w:ascii="Times New Roman" w:hAnsi="Times New Roman"/>
          <w:b w:val="0"/>
          <w:i w:val="0"/>
          <w:sz w:val="24"/>
        </w:rPr>
        <w:t>• Q4: Presence of a control group receiving standard baseline treatment (e.g., 100% OPC concrete or standard sandcrete);</w:t>
      </w:r>
    </w:p>
    <w:p>
      <w:pPr>
        <w:spacing w:before="0" w:after="0" w:line="480" w:lineRule="auto"/>
        <w:ind w:firstLine="720"/>
        <w:jc w:val="left"/>
      </w:pPr>
      <w:r>
        <w:rPr>
          <w:rFonts w:ascii="Times New Roman" w:hAnsi="Times New Roman"/>
          <w:b w:val="0"/>
          <w:i w:val="0"/>
          <w:sz w:val="24"/>
        </w:rPr>
        <w:t>• Q5: Multiple post-intervention measurements across curing time points (e.g., 7, 14, 28, and 90 days);</w:t>
      </w:r>
    </w:p>
    <w:p>
      <w:pPr>
        <w:spacing w:before="0" w:after="0" w:line="480" w:lineRule="auto"/>
        <w:ind w:firstLine="720"/>
        <w:jc w:val="left"/>
      </w:pPr>
      <w:r>
        <w:rPr>
          <w:rFonts w:ascii="Times New Roman" w:hAnsi="Times New Roman"/>
          <w:b w:val="0"/>
          <w:i w:val="0"/>
          <w:sz w:val="24"/>
        </w:rPr>
        <w:t>• Q6: Completion of testing follow-up across all experimental samples;</w:t>
      </w:r>
    </w:p>
    <w:p>
      <w:pPr>
        <w:spacing w:before="0" w:after="0" w:line="480" w:lineRule="auto"/>
        <w:ind w:firstLine="720"/>
        <w:jc w:val="left"/>
      </w:pPr>
      <w:r>
        <w:rPr>
          <w:rFonts w:ascii="Times New Roman" w:hAnsi="Times New Roman"/>
          <w:b w:val="0"/>
          <w:i w:val="0"/>
          <w:sz w:val="24"/>
        </w:rPr>
        <w:t>• Q7: Consistency and reliability of measurement protocols;</w:t>
      </w:r>
    </w:p>
    <w:p>
      <w:pPr>
        <w:spacing w:before="0" w:after="0" w:line="480" w:lineRule="auto"/>
        <w:ind w:firstLine="720"/>
        <w:jc w:val="left"/>
      </w:pPr>
      <w:r>
        <w:rPr>
          <w:rFonts w:ascii="Times New Roman" w:hAnsi="Times New Roman"/>
          <w:b w:val="0"/>
          <w:i w:val="0"/>
          <w:sz w:val="24"/>
        </w:rPr>
        <w:t>• Q8: Reliability and standardization of outcome measurement instruments (e.g., calibrated universal testing machines per ASTM/BS standards); and</w:t>
      </w:r>
    </w:p>
    <w:p>
      <w:pPr>
        <w:spacing w:before="0" w:after="0" w:line="480" w:lineRule="auto"/>
        <w:ind w:firstLine="720"/>
        <w:jc w:val="left"/>
      </w:pPr>
      <w:r>
        <w:rPr>
          <w:rFonts w:ascii="Times New Roman" w:hAnsi="Times New Roman"/>
          <w:b w:val="0"/>
          <w:i w:val="0"/>
          <w:sz w:val="24"/>
        </w:rPr>
        <w:t>• Q9: Appropriate statistical analysis and reporting of variance.</w:t>
      </w:r>
    </w:p>
    <w:p>
      <w:pPr>
        <w:spacing w:before="0" w:after="0" w:line="480" w:lineRule="auto"/>
        <w:ind w:firstLine="720"/>
        <w:jc w:val="left"/>
      </w:pPr>
      <w:r>
        <w:rPr>
          <w:rFonts w:ascii="Times New Roman" w:hAnsi="Times New Roman"/>
          <w:b w:val="0"/>
          <w:i w:val="0"/>
          <w:sz w:val="24"/>
        </w:rPr>
        <w:t>Each criterion was scored categorically as Yes (criterion fully satisfied), No (criterion violated), Unclear (insufficient reporting), or Not Applicable (NA). Studies satisfying ≥7 criteria were classified as Low Risk of Bias; studies scoring 4–6 were classified as Moderate Risk; and studies scoring &lt;4 were classified as High Risk.</w:t>
      </w:r>
    </w:p>
    <w:p>
      <w:pPr>
        <w:spacing w:before="240" w:after="120" w:line="480" w:lineRule="auto"/>
        <w:jc w:val="center"/>
      </w:pPr>
      <w:r>
        <w:rPr>
          <w:rFonts w:ascii="Times New Roman" w:hAnsi="Times New Roman"/>
          <w:b/>
          <w:i w:val="0"/>
          <w:sz w:val="24"/>
        </w:rPr>
        <w:t>3. Empirical Results &amp; Systematic Synthesis</w:t>
      </w:r>
    </w:p>
    <w:p>
      <w:pPr>
        <w:spacing w:before="240" w:after="80" w:line="480" w:lineRule="auto"/>
        <w:jc w:val="left"/>
      </w:pPr>
      <w:r>
        <w:rPr>
          <w:rFonts w:ascii="Times New Roman" w:hAnsi="Times New Roman"/>
          <w:b/>
          <w:i w:val="0"/>
          <w:sz w:val="24"/>
        </w:rPr>
        <w:t>3.1 Geographic and Jurisdictional Distribution of Continental Research</w:t>
      </w:r>
    </w:p>
    <w:p>
      <w:pPr>
        <w:spacing w:before="0" w:after="0" w:line="480" w:lineRule="auto"/>
        <w:ind w:firstLine="720"/>
        <w:jc w:val="left"/>
      </w:pPr>
      <w:r>
        <w:rPr>
          <w:rFonts w:ascii="Times New Roman" w:hAnsi="Times New Roman"/>
          <w:b w:val="0"/>
          <w:i w:val="0"/>
          <w:sz w:val="24"/>
        </w:rPr>
        <w:t>The synthesis of 2,822 empirical studies reveals a pronounced geographic concentration of sustainable construction research across specific African sub-regions and national economic hubs. While 76.9% of the included literature (n = 2,170) addresses broad Sub-Saharan regional materials or cross-border comparative frameworks, studies focusing on specific sovereign jurisdictions are heavily clustered within a small number of research-intensive nations.</w:t>
      </w:r>
    </w:p>
    <w:p>
      <w:pPr>
        <w:spacing w:before="0" w:after="0" w:line="480" w:lineRule="auto"/>
        <w:ind w:firstLine="720"/>
        <w:jc w:val="left"/>
      </w:pPr>
      <w:r>
        <w:rPr>
          <w:rFonts w:ascii="Times New Roman" w:hAnsi="Times New Roman"/>
          <w:b w:val="0"/>
          <w:i w:val="0"/>
          <w:sz w:val="24"/>
        </w:rPr>
        <w:t>West Africa emerges as the most prolific regional research cluster, contributing 38.2% of all localized studies. This output is overwhelmingly anchored by Nigeria (n = 262 studies; 40.1% of all country-specific publications), followed by Ghana (n = 72; 11.0%). Southern Africa represents the second most active regional hub (18.6% of localized studies), dominated by South Africa (n = 106; 16.3%), with emerging contributions from Zimbabwe, Mozambique, and Namibia. East Africa accounts for 21.4% of empirical publications, driven by rapid research growth in Ethiopia (n = 86; 13.2%) and Kenya (n = 32; 4.9%), alongside localized contributions from Tanzania and Uganda. North Africa contributes 14.1% of empirical studies, concentrated primarily in Egypt, Algeria, and Morocco, where arid climatic imperatives have catalyzed research into stabilized adobe, rammed earth, and thermal insulation plasters. Conversely, Central Africa remains critically under-represented, contributing only 7.7% of localized studies, reflecting substantial structural deficits in university research funding, laboratory materials testing infrastructure, and postgraduate civil engineering programs across nations such as the Democratic Republic of Congo, Cameroon, and the Central African Republic.</w:t>
      </w:r>
    </w:p>
    <w:p>
      <w:pPr>
        <w:spacing w:before="0" w:after="0" w:line="480" w:lineRule="auto"/>
        <w:ind w:firstLine="720"/>
        <w:jc w:val="left"/>
      </w:pPr>
      <w:r>
        <w:rPr>
          <w:rFonts w:ascii="Times New Roman" w:hAnsi="Times New Roman"/>
          <w:b w:val="0"/>
          <w:i w:val="0"/>
          <w:sz w:val="24"/>
        </w:rPr>
        <w:t>Table 1 summarizes the geographic distribution of empirical research across African regions and key national contributors, cross-tabulated against predominant material classifications and primary laboratory testing standards.</w:t>
      </w:r>
    </w:p>
    <w:p>
      <w:pPr>
        <w:spacing w:before="240" w:after="40" w:line="480" w:lineRule="auto"/>
        <w:jc w:val="left"/>
      </w:pPr>
      <w:r>
        <w:rPr>
          <w:rFonts w:ascii="Times New Roman" w:hAnsi="Times New Roman"/>
          <w:b/>
          <w:i w:val="0"/>
          <w:sz w:val="24"/>
        </w:rPr>
        <w:t>Table 1</w:t>
      </w:r>
    </w:p>
    <w:p>
      <w:pPr>
        <w:spacing w:before="0" w:after="120" w:line="480" w:lineRule="auto"/>
        <w:jc w:val="left"/>
      </w:pPr>
      <w:r>
        <w:rPr>
          <w:rFonts w:ascii="Times New Roman" w:hAnsi="Times New Roman"/>
          <w:b w:val="0"/>
          <w:i/>
          <w:sz w:val="24"/>
        </w:rPr>
        <w:t>Geographic Distribution of Included Empirical Studies across African Jurisdictions (2015–2025)</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0"/>
        <w:gridCol w:w="1560"/>
        <w:gridCol w:w="1560"/>
        <w:gridCol w:w="1560"/>
        <w:gridCol w:w="1560"/>
        <w:gridCol w:w="1560"/>
      </w:tblGrid>
      <w:tr>
        <w:trPr/>
        <w:tc>
          <w:tcPr>
            <w:tcW w:type="dxa" w:w="1560"/>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African Region</w:t>
            </w:r>
          </w:p>
        </w:tc>
        <w:tc>
          <w:tcPr>
            <w:tcW w:type="dxa" w:w="1560"/>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Study Count (n)</w:t>
            </w:r>
          </w:p>
        </w:tc>
        <w:tc>
          <w:tcPr>
            <w:tcW w:type="dxa" w:w="1560"/>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 Output</w:t>
            </w:r>
          </w:p>
        </w:tc>
        <w:tc>
          <w:tcPr>
            <w:tcW w:type="dxa" w:w="1560"/>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Leading Contributors (n Studies)</w:t>
            </w:r>
          </w:p>
        </w:tc>
        <w:tc>
          <w:tcPr>
            <w:tcW w:type="dxa" w:w="1560"/>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Predominant Material Foci</w:t>
            </w:r>
          </w:p>
        </w:tc>
        <w:tc>
          <w:tcPr>
            <w:tcW w:type="dxa" w:w="1560"/>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Primary Standards</w:t>
            </w:r>
          </w:p>
        </w:tc>
      </w:tr>
      <w:tr>
        <w:tc>
          <w:tcPr>
            <w:tcW w:type="dxa" w:w="1560"/>
          </w:tcPr>
          <w:p>
            <w:pPr>
              <w:spacing w:before="0" w:after="0" w:line="276" w:lineRule="auto"/>
              <w:jc w:val="left"/>
            </w:pPr>
            <w:r>
              <w:rPr>
                <w:rFonts w:ascii="Times New Roman" w:hAnsi="Times New Roman"/>
                <w:b w:val="0"/>
                <w:i w:val="0"/>
                <w:sz w:val="20"/>
              </w:rPr>
              <w:t>West Africa</w:t>
            </w:r>
          </w:p>
        </w:tc>
        <w:tc>
          <w:tcPr>
            <w:tcW w:type="dxa" w:w="1560"/>
          </w:tcPr>
          <w:p>
            <w:pPr>
              <w:spacing w:before="0" w:after="0" w:line="276" w:lineRule="auto"/>
              <w:jc w:val="left"/>
            </w:pPr>
            <w:r>
              <w:rPr>
                <w:rFonts w:ascii="Times New Roman" w:hAnsi="Times New Roman"/>
                <w:b w:val="0"/>
                <w:i w:val="0"/>
                <w:sz w:val="20"/>
              </w:rPr>
              <w:t>358</w:t>
            </w:r>
          </w:p>
        </w:tc>
        <w:tc>
          <w:tcPr>
            <w:tcW w:type="dxa" w:w="1560"/>
          </w:tcPr>
          <w:p>
            <w:pPr>
              <w:spacing w:before="0" w:after="0" w:line="276" w:lineRule="auto"/>
              <w:jc w:val="left"/>
            </w:pPr>
            <w:r>
              <w:rPr>
                <w:rFonts w:ascii="Times New Roman" w:hAnsi="Times New Roman"/>
                <w:b w:val="0"/>
                <w:i w:val="0"/>
                <w:sz w:val="20"/>
              </w:rPr>
              <w:t>38.2%</w:t>
            </w:r>
          </w:p>
        </w:tc>
        <w:tc>
          <w:tcPr>
            <w:tcW w:type="dxa" w:w="1560"/>
          </w:tcPr>
          <w:p>
            <w:pPr>
              <w:spacing w:before="0" w:after="0" w:line="276" w:lineRule="auto"/>
              <w:jc w:val="left"/>
            </w:pPr>
            <w:r>
              <w:rPr>
                <w:rFonts w:ascii="Times New Roman" w:hAnsi="Times New Roman"/>
                <w:b w:val="0"/>
                <w:i w:val="0"/>
                <w:sz w:val="20"/>
              </w:rPr>
              <w:t>Nigeria (262), Ghana (72), Burkina Faso (14), Senegal (10)</w:t>
            </w:r>
          </w:p>
        </w:tc>
        <w:tc>
          <w:tcPr>
            <w:tcW w:type="dxa" w:w="1560"/>
          </w:tcPr>
          <w:p>
            <w:pPr>
              <w:spacing w:before="0" w:after="0" w:line="276" w:lineRule="auto"/>
              <w:jc w:val="left"/>
            </w:pPr>
            <w:r>
              <w:rPr>
                <w:rFonts w:ascii="Times New Roman" w:hAnsi="Times New Roman"/>
                <w:b w:val="0"/>
                <w:i w:val="0"/>
                <w:sz w:val="20"/>
              </w:rPr>
              <w:t>CSEB, POFA, Rice Husk Ash, Cassava Peel Ash, Recycled Plastics</w:t>
            </w:r>
          </w:p>
        </w:tc>
        <w:tc>
          <w:tcPr>
            <w:tcW w:type="dxa" w:w="1560"/>
          </w:tcPr>
          <w:p>
            <w:pPr>
              <w:spacing w:before="0" w:after="0" w:line="276" w:lineRule="auto"/>
              <w:jc w:val="left"/>
            </w:pPr>
            <w:r>
              <w:rPr>
                <w:rFonts w:ascii="Times New Roman" w:hAnsi="Times New Roman"/>
                <w:b w:val="0"/>
                <w:i w:val="0"/>
                <w:sz w:val="20"/>
              </w:rPr>
              <w:t>NIS 87, GS 297, BS EN 197-1, ASTM C618</w:t>
            </w:r>
          </w:p>
        </w:tc>
      </w:tr>
      <w:tr>
        <w:tc>
          <w:tcPr>
            <w:tcW w:type="dxa" w:w="1560"/>
          </w:tcPr>
          <w:p>
            <w:pPr>
              <w:spacing w:before="0" w:after="0" w:line="276" w:lineRule="auto"/>
              <w:jc w:val="left"/>
            </w:pPr>
            <w:r>
              <w:rPr>
                <w:rFonts w:ascii="Times New Roman" w:hAnsi="Times New Roman"/>
                <w:b w:val="0"/>
                <w:i w:val="0"/>
                <w:sz w:val="20"/>
              </w:rPr>
              <w:t>East Africa</w:t>
            </w:r>
          </w:p>
        </w:tc>
        <w:tc>
          <w:tcPr>
            <w:tcW w:type="dxa" w:w="1560"/>
          </w:tcPr>
          <w:p>
            <w:pPr>
              <w:spacing w:before="0" w:after="0" w:line="276" w:lineRule="auto"/>
              <w:jc w:val="left"/>
            </w:pPr>
            <w:r>
              <w:rPr>
                <w:rFonts w:ascii="Times New Roman" w:hAnsi="Times New Roman"/>
                <w:b w:val="0"/>
                <w:i w:val="0"/>
                <w:sz w:val="20"/>
              </w:rPr>
              <w:t>201</w:t>
            </w:r>
          </w:p>
        </w:tc>
        <w:tc>
          <w:tcPr>
            <w:tcW w:type="dxa" w:w="1560"/>
          </w:tcPr>
          <w:p>
            <w:pPr>
              <w:spacing w:before="0" w:after="0" w:line="276" w:lineRule="auto"/>
              <w:jc w:val="left"/>
            </w:pPr>
            <w:r>
              <w:rPr>
                <w:rFonts w:ascii="Times New Roman" w:hAnsi="Times New Roman"/>
                <w:b w:val="0"/>
                <w:i w:val="0"/>
                <w:sz w:val="20"/>
              </w:rPr>
              <w:t>21.4%</w:t>
            </w:r>
          </w:p>
        </w:tc>
        <w:tc>
          <w:tcPr>
            <w:tcW w:type="dxa" w:w="1560"/>
          </w:tcPr>
          <w:p>
            <w:pPr>
              <w:spacing w:before="0" w:after="0" w:line="276" w:lineRule="auto"/>
              <w:jc w:val="left"/>
            </w:pPr>
            <w:r>
              <w:rPr>
                <w:rFonts w:ascii="Times New Roman" w:hAnsi="Times New Roman"/>
                <w:b w:val="0"/>
                <w:i w:val="0"/>
                <w:sz w:val="20"/>
              </w:rPr>
              <w:t>Ethiopia (86), Kenya (32), Tanzania (48), Uganda (35)</w:t>
            </w:r>
          </w:p>
        </w:tc>
        <w:tc>
          <w:tcPr>
            <w:tcW w:type="dxa" w:w="1560"/>
          </w:tcPr>
          <w:p>
            <w:pPr>
              <w:spacing w:before="0" w:after="0" w:line="276" w:lineRule="auto"/>
              <w:jc w:val="left"/>
            </w:pPr>
            <w:r>
              <w:rPr>
                <w:rFonts w:ascii="Times New Roman" w:hAnsi="Times New Roman"/>
                <w:b w:val="0"/>
                <w:i w:val="0"/>
                <w:sz w:val="20"/>
              </w:rPr>
              <w:t>Structural Bamboo, Volcanic Pozzolans, Calcined Clays, Laterite Masonry</w:t>
            </w:r>
          </w:p>
        </w:tc>
        <w:tc>
          <w:tcPr>
            <w:tcW w:type="dxa" w:w="1560"/>
          </w:tcPr>
          <w:p>
            <w:pPr>
              <w:spacing w:before="0" w:after="0" w:line="276" w:lineRule="auto"/>
              <w:jc w:val="left"/>
            </w:pPr>
            <w:r>
              <w:rPr>
                <w:rFonts w:ascii="Times New Roman" w:hAnsi="Times New Roman"/>
                <w:b w:val="0"/>
                <w:i w:val="0"/>
                <w:sz w:val="20"/>
              </w:rPr>
              <w:t>KEBS KS 02-1070, ES 417, ARS 680, BS EN 206</w:t>
            </w:r>
          </w:p>
        </w:tc>
      </w:tr>
      <w:tr>
        <w:tc>
          <w:tcPr>
            <w:tcW w:type="dxa" w:w="1560"/>
          </w:tcPr>
          <w:p>
            <w:pPr>
              <w:spacing w:before="0" w:after="0" w:line="276" w:lineRule="auto"/>
              <w:jc w:val="left"/>
            </w:pPr>
            <w:r>
              <w:rPr>
                <w:rFonts w:ascii="Times New Roman" w:hAnsi="Times New Roman"/>
                <w:b w:val="0"/>
                <w:i w:val="0"/>
                <w:sz w:val="20"/>
              </w:rPr>
              <w:t>Southern Africa</w:t>
            </w:r>
          </w:p>
        </w:tc>
        <w:tc>
          <w:tcPr>
            <w:tcW w:type="dxa" w:w="1560"/>
          </w:tcPr>
          <w:p>
            <w:pPr>
              <w:spacing w:before="0" w:after="0" w:line="276" w:lineRule="auto"/>
              <w:jc w:val="left"/>
            </w:pPr>
            <w:r>
              <w:rPr>
                <w:rFonts w:ascii="Times New Roman" w:hAnsi="Times New Roman"/>
                <w:b w:val="0"/>
                <w:i w:val="0"/>
                <w:sz w:val="20"/>
              </w:rPr>
              <w:t>175</w:t>
            </w:r>
          </w:p>
        </w:tc>
        <w:tc>
          <w:tcPr>
            <w:tcW w:type="dxa" w:w="1560"/>
          </w:tcPr>
          <w:p>
            <w:pPr>
              <w:spacing w:before="0" w:after="0" w:line="276" w:lineRule="auto"/>
              <w:jc w:val="left"/>
            </w:pPr>
            <w:r>
              <w:rPr>
                <w:rFonts w:ascii="Times New Roman" w:hAnsi="Times New Roman"/>
                <w:b w:val="0"/>
                <w:i w:val="0"/>
                <w:sz w:val="20"/>
              </w:rPr>
              <w:t>18.6%</w:t>
            </w:r>
          </w:p>
        </w:tc>
        <w:tc>
          <w:tcPr>
            <w:tcW w:type="dxa" w:w="1560"/>
          </w:tcPr>
          <w:p>
            <w:pPr>
              <w:spacing w:before="0" w:after="0" w:line="276" w:lineRule="auto"/>
              <w:jc w:val="left"/>
            </w:pPr>
            <w:r>
              <w:rPr>
                <w:rFonts w:ascii="Times New Roman" w:hAnsi="Times New Roman"/>
                <w:b w:val="0"/>
                <w:i w:val="0"/>
                <w:sz w:val="20"/>
              </w:rPr>
              <w:t>South Africa (106), Zimbabwe (34), Mozambique (21), Namibia (14)</w:t>
            </w:r>
          </w:p>
        </w:tc>
        <w:tc>
          <w:tcPr>
            <w:tcW w:type="dxa" w:w="1560"/>
          </w:tcPr>
          <w:p>
            <w:pPr>
              <w:spacing w:before="0" w:after="0" w:line="276" w:lineRule="auto"/>
              <w:jc w:val="left"/>
            </w:pPr>
            <w:r>
              <w:rPr>
                <w:rFonts w:ascii="Times New Roman" w:hAnsi="Times New Roman"/>
                <w:b w:val="0"/>
                <w:i w:val="0"/>
                <w:sz w:val="20"/>
              </w:rPr>
              <w:t>Fly Ash Geopolymers, Granulated Blast Furnace Slag, RCA, Mine Tailings</w:t>
            </w:r>
          </w:p>
        </w:tc>
        <w:tc>
          <w:tcPr>
            <w:tcW w:type="dxa" w:w="1560"/>
          </w:tcPr>
          <w:p>
            <w:pPr>
              <w:spacing w:before="0" w:after="0" w:line="276" w:lineRule="auto"/>
              <w:jc w:val="left"/>
            </w:pPr>
            <w:r>
              <w:rPr>
                <w:rFonts w:ascii="Times New Roman" w:hAnsi="Times New Roman"/>
                <w:b w:val="0"/>
                <w:i w:val="0"/>
                <w:sz w:val="20"/>
              </w:rPr>
              <w:t>SANS 2001-CM1, SANS 50197-1, SANS 1200, ASTM C109</w:t>
            </w:r>
          </w:p>
        </w:tc>
      </w:tr>
      <w:tr>
        <w:tc>
          <w:tcPr>
            <w:tcW w:type="dxa" w:w="1560"/>
          </w:tcPr>
          <w:p>
            <w:pPr>
              <w:spacing w:before="0" w:after="0" w:line="276" w:lineRule="auto"/>
              <w:jc w:val="left"/>
            </w:pPr>
            <w:r>
              <w:rPr>
                <w:rFonts w:ascii="Times New Roman" w:hAnsi="Times New Roman"/>
                <w:b w:val="0"/>
                <w:i w:val="0"/>
                <w:sz w:val="20"/>
              </w:rPr>
              <w:t>North Africa</w:t>
            </w:r>
          </w:p>
        </w:tc>
        <w:tc>
          <w:tcPr>
            <w:tcW w:type="dxa" w:w="1560"/>
          </w:tcPr>
          <w:p>
            <w:pPr>
              <w:spacing w:before="0" w:after="0" w:line="276" w:lineRule="auto"/>
              <w:jc w:val="left"/>
            </w:pPr>
            <w:r>
              <w:rPr>
                <w:rFonts w:ascii="Times New Roman" w:hAnsi="Times New Roman"/>
                <w:b w:val="0"/>
                <w:i w:val="0"/>
                <w:sz w:val="20"/>
              </w:rPr>
              <w:t>132</w:t>
            </w:r>
          </w:p>
        </w:tc>
        <w:tc>
          <w:tcPr>
            <w:tcW w:type="dxa" w:w="1560"/>
          </w:tcPr>
          <w:p>
            <w:pPr>
              <w:spacing w:before="0" w:after="0" w:line="276" w:lineRule="auto"/>
              <w:jc w:val="left"/>
            </w:pPr>
            <w:r>
              <w:rPr>
                <w:rFonts w:ascii="Times New Roman" w:hAnsi="Times New Roman"/>
                <w:b w:val="0"/>
                <w:i w:val="0"/>
                <w:sz w:val="20"/>
              </w:rPr>
              <w:t>14.1%</w:t>
            </w:r>
          </w:p>
        </w:tc>
        <w:tc>
          <w:tcPr>
            <w:tcW w:type="dxa" w:w="1560"/>
          </w:tcPr>
          <w:p>
            <w:pPr>
              <w:spacing w:before="0" w:after="0" w:line="276" w:lineRule="auto"/>
              <w:jc w:val="left"/>
            </w:pPr>
            <w:r>
              <w:rPr>
                <w:rFonts w:ascii="Times New Roman" w:hAnsi="Times New Roman"/>
                <w:b w:val="0"/>
                <w:i w:val="0"/>
                <w:sz w:val="20"/>
              </w:rPr>
              <w:t>Egypt (74), Algeria (38), Morocco (20)</w:t>
            </w:r>
          </w:p>
        </w:tc>
        <w:tc>
          <w:tcPr>
            <w:tcW w:type="dxa" w:w="1560"/>
          </w:tcPr>
          <w:p>
            <w:pPr>
              <w:spacing w:before="0" w:after="0" w:line="276" w:lineRule="auto"/>
              <w:jc w:val="left"/>
            </w:pPr>
            <w:r>
              <w:rPr>
                <w:rFonts w:ascii="Times New Roman" w:hAnsi="Times New Roman"/>
                <w:b w:val="0"/>
                <w:i w:val="0"/>
                <w:sz w:val="20"/>
              </w:rPr>
              <w:t>Mechanized Rammed Earth, LC3 Cement, Date Palm Fiber Mortars, PCMs</w:t>
            </w:r>
          </w:p>
        </w:tc>
        <w:tc>
          <w:tcPr>
            <w:tcW w:type="dxa" w:w="1560"/>
          </w:tcPr>
          <w:p>
            <w:pPr>
              <w:spacing w:before="0" w:after="0" w:line="276" w:lineRule="auto"/>
              <w:jc w:val="left"/>
            </w:pPr>
            <w:r>
              <w:rPr>
                <w:rFonts w:ascii="Times New Roman" w:hAnsi="Times New Roman"/>
                <w:b w:val="0"/>
                <w:i w:val="0"/>
                <w:sz w:val="20"/>
              </w:rPr>
              <w:t>NF P94-068, ECP 203, ASTM C67</w:t>
            </w:r>
          </w:p>
        </w:tc>
      </w:tr>
      <w:tr>
        <w:tc>
          <w:tcPr>
            <w:tcW w:type="dxa" w:w="1560"/>
          </w:tcPr>
          <w:p>
            <w:pPr>
              <w:spacing w:before="0" w:after="0" w:line="276" w:lineRule="auto"/>
              <w:jc w:val="left"/>
            </w:pPr>
            <w:r>
              <w:rPr>
                <w:rFonts w:ascii="Times New Roman" w:hAnsi="Times New Roman"/>
                <w:b w:val="0"/>
                <w:i w:val="0"/>
                <w:sz w:val="20"/>
              </w:rPr>
              <w:t>Central Africa</w:t>
            </w:r>
          </w:p>
        </w:tc>
        <w:tc>
          <w:tcPr>
            <w:tcW w:type="dxa" w:w="1560"/>
          </w:tcPr>
          <w:p>
            <w:pPr>
              <w:spacing w:before="0" w:after="0" w:line="276" w:lineRule="auto"/>
              <w:jc w:val="left"/>
            </w:pPr>
            <w:r>
              <w:rPr>
                <w:rFonts w:ascii="Times New Roman" w:hAnsi="Times New Roman"/>
                <w:b w:val="0"/>
                <w:i w:val="0"/>
                <w:sz w:val="20"/>
              </w:rPr>
              <w:t>72</w:t>
            </w:r>
          </w:p>
        </w:tc>
        <w:tc>
          <w:tcPr>
            <w:tcW w:type="dxa" w:w="1560"/>
          </w:tcPr>
          <w:p>
            <w:pPr>
              <w:spacing w:before="0" w:after="0" w:line="276" w:lineRule="auto"/>
              <w:jc w:val="left"/>
            </w:pPr>
            <w:r>
              <w:rPr>
                <w:rFonts w:ascii="Times New Roman" w:hAnsi="Times New Roman"/>
                <w:b w:val="0"/>
                <w:i w:val="0"/>
                <w:sz w:val="20"/>
              </w:rPr>
              <w:t>7.7%</w:t>
            </w:r>
          </w:p>
        </w:tc>
        <w:tc>
          <w:tcPr>
            <w:tcW w:type="dxa" w:w="1560"/>
          </w:tcPr>
          <w:p>
            <w:pPr>
              <w:spacing w:before="0" w:after="0" w:line="276" w:lineRule="auto"/>
              <w:jc w:val="left"/>
            </w:pPr>
            <w:r>
              <w:rPr>
                <w:rFonts w:ascii="Times New Roman" w:hAnsi="Times New Roman"/>
                <w:b w:val="0"/>
                <w:i w:val="0"/>
                <w:sz w:val="20"/>
              </w:rPr>
              <w:t>Cameroon (44), DR Congo (18), Gabon (10)</w:t>
            </w:r>
          </w:p>
        </w:tc>
        <w:tc>
          <w:tcPr>
            <w:tcW w:type="dxa" w:w="1560"/>
          </w:tcPr>
          <w:p>
            <w:pPr>
              <w:spacing w:before="0" w:after="0" w:line="276" w:lineRule="auto"/>
              <w:jc w:val="left"/>
            </w:pPr>
            <w:r>
              <w:rPr>
                <w:rFonts w:ascii="Times New Roman" w:hAnsi="Times New Roman"/>
                <w:b w:val="0"/>
                <w:i w:val="0"/>
                <w:sz w:val="20"/>
              </w:rPr>
              <w:t>Timber-Concrete Composites, Unstabilized Earth Blocks, Laterite Pavements</w:t>
            </w:r>
          </w:p>
        </w:tc>
        <w:tc>
          <w:tcPr>
            <w:tcW w:type="dxa" w:w="1560"/>
          </w:tcPr>
          <w:p>
            <w:pPr>
              <w:spacing w:before="0" w:after="0" w:line="276" w:lineRule="auto"/>
              <w:jc w:val="left"/>
            </w:pPr>
            <w:r>
              <w:rPr>
                <w:rFonts w:ascii="Times New Roman" w:hAnsi="Times New Roman"/>
                <w:b w:val="0"/>
                <w:i w:val="0"/>
                <w:sz w:val="20"/>
              </w:rPr>
              <w:t>NF P18-400, Local guidelines</w:t>
            </w:r>
          </w:p>
        </w:tc>
      </w:tr>
      <w:tr>
        <w:tc>
          <w:tcPr>
            <w:tcW w:type="dxa" w:w="1560"/>
          </w:tcPr>
          <w:p>
            <w:pPr>
              <w:spacing w:before="0" w:after="0" w:line="276" w:lineRule="auto"/>
              <w:jc w:val="left"/>
            </w:pPr>
            <w:r>
              <w:rPr>
                <w:rFonts w:ascii="Times New Roman" w:hAnsi="Times New Roman"/>
                <w:b w:val="0"/>
                <w:i w:val="0"/>
                <w:sz w:val="20"/>
              </w:rPr>
              <w:t>Pan-African / Regional</w:t>
            </w:r>
          </w:p>
        </w:tc>
        <w:tc>
          <w:tcPr>
            <w:tcW w:type="dxa" w:w="1560"/>
          </w:tcPr>
          <w:p>
            <w:pPr>
              <w:spacing w:before="0" w:after="0" w:line="276" w:lineRule="auto"/>
              <w:jc w:val="left"/>
            </w:pPr>
            <w:r>
              <w:rPr>
                <w:rFonts w:ascii="Times New Roman" w:hAnsi="Times New Roman"/>
                <w:b w:val="0"/>
                <w:i w:val="0"/>
                <w:sz w:val="20"/>
              </w:rPr>
              <w:t>1,884</w:t>
            </w:r>
          </w:p>
        </w:tc>
        <w:tc>
          <w:tcPr>
            <w:tcW w:type="dxa" w:w="1560"/>
          </w:tcPr>
          <w:p>
            <w:pPr>
              <w:spacing w:before="0" w:after="0" w:line="276" w:lineRule="auto"/>
              <w:jc w:val="left"/>
            </w:pPr>
            <w:r>
              <w:rPr>
                <w:rFonts w:ascii="Times New Roman" w:hAnsi="Times New Roman"/>
                <w:b w:val="0"/>
                <w:i w:val="0"/>
                <w:sz w:val="20"/>
              </w:rPr>
              <w:t>—</w:t>
            </w:r>
          </w:p>
        </w:tc>
        <w:tc>
          <w:tcPr>
            <w:tcW w:type="dxa" w:w="1560"/>
          </w:tcPr>
          <w:p>
            <w:pPr>
              <w:spacing w:before="0" w:after="0" w:line="276" w:lineRule="auto"/>
              <w:jc w:val="left"/>
            </w:pPr>
            <w:r>
              <w:rPr>
                <w:rFonts w:ascii="Times New Roman" w:hAnsi="Times New Roman"/>
                <w:b w:val="0"/>
                <w:i w:val="0"/>
                <w:sz w:val="20"/>
              </w:rPr>
              <w:t>Broad Sub-Saharan syntheses and cross-border datasets</w:t>
            </w:r>
          </w:p>
        </w:tc>
        <w:tc>
          <w:tcPr>
            <w:tcW w:type="dxa" w:w="1560"/>
          </w:tcPr>
          <w:p>
            <w:pPr>
              <w:spacing w:before="0" w:after="0" w:line="276" w:lineRule="auto"/>
              <w:jc w:val="left"/>
            </w:pPr>
            <w:r>
              <w:rPr>
                <w:rFonts w:ascii="Times New Roman" w:hAnsi="Times New Roman"/>
                <w:b w:val="0"/>
                <w:i w:val="0"/>
                <w:sz w:val="20"/>
              </w:rPr>
              <w:t>Continental LCA, General SCM kinetics, ARSO Harmonization frameworks</w:t>
            </w:r>
          </w:p>
        </w:tc>
        <w:tc>
          <w:tcPr>
            <w:tcW w:type="dxa" w:w="1560"/>
          </w:tcPr>
          <w:p>
            <w:pPr>
              <w:spacing w:before="0" w:after="0" w:line="276" w:lineRule="auto"/>
              <w:jc w:val="left"/>
            </w:pPr>
            <w:r>
              <w:rPr>
                <w:rFonts w:ascii="Times New Roman" w:hAnsi="Times New Roman"/>
                <w:b w:val="0"/>
                <w:i w:val="0"/>
                <w:sz w:val="20"/>
              </w:rPr>
              <w:t>ARS 680–684, ISO 14040/44, BS EN 206</w:t>
            </w:r>
          </w:p>
        </w:tc>
      </w:tr>
      <w:tr>
        <w:tc>
          <w:tcPr>
            <w:tcW w:type="dxa" w:w="1560"/>
          </w:tcPr>
          <w:p>
            <w:pPr>
              <w:spacing w:before="0" w:after="0" w:line="276" w:lineRule="auto"/>
              <w:jc w:val="left"/>
            </w:pPr>
            <w:r>
              <w:rPr>
                <w:rFonts w:ascii="Times New Roman" w:hAnsi="Times New Roman"/>
                <w:b w:val="0"/>
                <w:i w:val="0"/>
                <w:sz w:val="20"/>
              </w:rPr>
              <w:t>Total Review Base</w:t>
            </w:r>
          </w:p>
        </w:tc>
        <w:tc>
          <w:tcPr>
            <w:tcW w:type="dxa" w:w="1560"/>
          </w:tcPr>
          <w:p>
            <w:pPr>
              <w:spacing w:before="0" w:after="0" w:line="276" w:lineRule="auto"/>
              <w:jc w:val="left"/>
            </w:pPr>
            <w:r>
              <w:rPr>
                <w:rFonts w:ascii="Times New Roman" w:hAnsi="Times New Roman"/>
                <w:b w:val="0"/>
                <w:i w:val="0"/>
                <w:sz w:val="20"/>
              </w:rPr>
              <w:t>2,822</w:t>
            </w:r>
          </w:p>
        </w:tc>
        <w:tc>
          <w:tcPr>
            <w:tcW w:type="dxa" w:w="1560"/>
          </w:tcPr>
          <w:p>
            <w:pPr>
              <w:spacing w:before="0" w:after="0" w:line="276" w:lineRule="auto"/>
              <w:jc w:val="left"/>
            </w:pPr>
            <w:r>
              <w:rPr>
                <w:rFonts w:ascii="Times New Roman" w:hAnsi="Times New Roman"/>
                <w:b w:val="0"/>
                <w:i w:val="0"/>
                <w:sz w:val="20"/>
              </w:rPr>
              <w:t>100.0%</w:t>
            </w:r>
          </w:p>
        </w:tc>
        <w:tc>
          <w:tcPr>
            <w:tcW w:type="dxa" w:w="1560"/>
          </w:tcPr>
          <w:p>
            <w:pPr>
              <w:spacing w:before="0" w:after="0" w:line="276" w:lineRule="auto"/>
              <w:jc w:val="left"/>
            </w:pPr>
            <w:r>
              <w:rPr>
                <w:rFonts w:ascii="Times New Roman" w:hAnsi="Times New Roman"/>
                <w:b w:val="0"/>
                <w:i w:val="0"/>
                <w:sz w:val="20"/>
              </w:rPr>
              <w:t>Pan-African Evidence Base</w:t>
            </w:r>
          </w:p>
        </w:tc>
        <w:tc>
          <w:tcPr>
            <w:tcW w:type="dxa" w:w="1560"/>
          </w:tcPr>
          <w:p>
            <w:pPr>
              <w:spacing w:before="0" w:after="0" w:line="276" w:lineRule="auto"/>
              <w:jc w:val="left"/>
            </w:pPr>
            <w:r>
              <w:rPr>
                <w:rFonts w:ascii="Times New Roman" w:hAnsi="Times New Roman"/>
                <w:b w:val="0"/>
                <w:i w:val="0"/>
                <w:sz w:val="20"/>
              </w:rPr>
              <w:t>Full 5-Class Taxonomic Spectrum</w:t>
            </w:r>
          </w:p>
        </w:tc>
        <w:tc>
          <w:tcPr>
            <w:tcW w:type="dxa" w:w="1560"/>
          </w:tcPr>
          <w:p>
            <w:pPr>
              <w:spacing w:before="0" w:after="0" w:line="276" w:lineRule="auto"/>
              <w:jc w:val="left"/>
            </w:pPr>
            <w:r>
              <w:rPr>
                <w:rFonts w:ascii="Times New Roman" w:hAnsi="Times New Roman"/>
                <w:b w:val="0"/>
                <w:i w:val="0"/>
                <w:sz w:val="20"/>
              </w:rPr>
              <w:t>PRISMA 2020 Protocol Standards</w:t>
            </w:r>
          </w:p>
        </w:tc>
      </w:tr>
    </w:tbl>
    <w:p>
      <w:pPr>
        <w:spacing w:before="80" w:after="240" w:line="276" w:lineRule="auto"/>
        <w:jc w:val="left"/>
      </w:pPr>
      <w:r>
        <w:rPr>
          <w:rFonts w:ascii="Times New Roman" w:hAnsi="Times New Roman"/>
          <w:b w:val="0"/>
          <w:i w:val="0"/>
          <w:sz w:val="20"/>
        </w:rPr>
        <w:t xml:space="preserve">Note. </w:t>
      </w:r>
      <w:r>
        <w:rPr>
          <w:rFonts w:ascii="Times New Roman" w:hAnsi="Times New Roman"/>
          <w:b w:val="0"/>
          <w:i w:val="0"/>
          <w:sz w:val="20"/>
        </w:rPr>
        <w:t>Comprehensive synthesis of n = 2,822 peer-reviewed empirical studies across sovereign African territories.</w:t>
      </w:r>
    </w:p>
    <w:p>
      <w:pPr>
        <w:spacing w:before="240" w:after="80" w:line="480" w:lineRule="auto"/>
        <w:jc w:val="left"/>
      </w:pPr>
      <w:r>
        <w:rPr>
          <w:rFonts w:ascii="Times New Roman" w:hAnsi="Times New Roman"/>
          <w:b/>
          <w:i w:val="0"/>
          <w:sz w:val="24"/>
        </w:rPr>
        <w:t>3.2 Material Taxonomy and Proportional Representation</w:t>
      </w:r>
    </w:p>
    <w:p>
      <w:pPr>
        <w:spacing w:before="0" w:after="0" w:line="480" w:lineRule="auto"/>
        <w:ind w:firstLine="720"/>
        <w:jc w:val="left"/>
      </w:pPr>
      <w:r>
        <w:rPr>
          <w:rFonts w:ascii="Times New Roman" w:hAnsi="Times New Roman"/>
          <w:b w:val="0"/>
          <w:i w:val="0"/>
          <w:sz w:val="24"/>
        </w:rPr>
        <w:t>Empirical investigations across the 2,822 studies were categorized into five standardized material taxonomic classes. Low-Carbon Binders and Supplementary Cementitious Materials (SCMs) constitute the largest single research category, representing 35.3% of the evidence base (n = 995 studies). This dominance is driven by intense academic and industrial focus on mitigating the high capital and carbon intensity of imported Portland clinker through calcined clay limestone cements (LC3) and agricultural by-product ashes.</w:t>
      </w:r>
    </w:p>
    <w:p>
      <w:pPr>
        <w:spacing w:before="0" w:after="0" w:line="480" w:lineRule="auto"/>
        <w:ind w:firstLine="720"/>
        <w:jc w:val="left"/>
      </w:pPr>
      <w:r>
        <w:rPr>
          <w:rFonts w:ascii="Times New Roman" w:hAnsi="Times New Roman"/>
          <w:b w:val="0"/>
          <w:i w:val="0"/>
          <w:sz w:val="24"/>
        </w:rPr>
        <w:t>Earth-Based Masonry forms the second largest class, comprising 31.3% of publications (n = 884 studies). Research in this category reflects widespread continental efforts to modernize traditional adobe and unfired laterite masonry through mechanical hydraulic compression and chemical stabilization using cement, hydrated lime, and agricultural binders. Recycled and Industrial Waste Composites account for 15.7% (n = 444 studies), investigating the circular utilization of construction and demolition waste, post-consumer plastics, crushed container glass, and industrial slags. Renewable Bio-Based Materials represent 12.7% (n = 358 studies), dominated by structural bamboo characterization, plantation-grown mass timber, and natural agricultural fiber reinforcement. Finally, Smart and Innovative Building Systems account for 5.0% (n = 141 studies), capturing emerging investigations into phase change materials for passive thermal cooling and microbial-induced calcite precipitation.</w:t>
      </w:r>
    </w:p>
    <w:p>
      <w:pPr>
        <w:spacing w:before="0" w:after="0" w:line="480" w:lineRule="auto"/>
        <w:ind w:firstLine="720"/>
        <w:jc w:val="left"/>
      </w:pPr>
      <w:r>
        <w:rPr>
          <w:rFonts w:ascii="Times New Roman" w:hAnsi="Times New Roman"/>
          <w:b w:val="0"/>
          <w:i w:val="0"/>
          <w:sz w:val="24"/>
        </w:rPr>
        <w:t>Table 2 presents the proportional breakdown, primary raw material feedstocks, representative chemical/processing mechanisms, and key functional applications across the five taxonomic classes.</w:t>
      </w:r>
    </w:p>
    <w:p>
      <w:pPr>
        <w:spacing w:before="240" w:after="40" w:line="480" w:lineRule="auto"/>
        <w:jc w:val="left"/>
      </w:pPr>
      <w:r>
        <w:rPr>
          <w:rFonts w:ascii="Times New Roman" w:hAnsi="Times New Roman"/>
          <w:b/>
          <w:i w:val="0"/>
          <w:sz w:val="24"/>
        </w:rPr>
        <w:t>Table 2</w:t>
      </w:r>
    </w:p>
    <w:p>
      <w:pPr>
        <w:spacing w:before="0" w:after="120" w:line="480" w:lineRule="auto"/>
        <w:jc w:val="left"/>
      </w:pPr>
      <w:r>
        <w:rPr>
          <w:rFonts w:ascii="Times New Roman" w:hAnsi="Times New Roman"/>
          <w:b w:val="0"/>
          <w:i/>
          <w:sz w:val="24"/>
        </w:rPr>
        <w:t>Material Taxonomy and Technological Classification across Included African Studies (n = 2,822)</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0"/>
        <w:gridCol w:w="1560"/>
        <w:gridCol w:w="1560"/>
        <w:gridCol w:w="1560"/>
        <w:gridCol w:w="1560"/>
        <w:gridCol w:w="1560"/>
      </w:tblGrid>
      <w:tr>
        <w:trPr/>
        <w:tc>
          <w:tcPr>
            <w:tcW w:type="dxa" w:w="1560"/>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Material Class</w:t>
            </w:r>
          </w:p>
        </w:tc>
        <w:tc>
          <w:tcPr>
            <w:tcW w:type="dxa" w:w="1560"/>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Studies (n)</w:t>
            </w:r>
          </w:p>
        </w:tc>
        <w:tc>
          <w:tcPr>
            <w:tcW w:type="dxa" w:w="1560"/>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 Share</w:t>
            </w:r>
          </w:p>
        </w:tc>
        <w:tc>
          <w:tcPr>
            <w:tcW w:type="dxa" w:w="1560"/>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Primary Raw Material Feedstocks</w:t>
            </w:r>
          </w:p>
        </w:tc>
        <w:tc>
          <w:tcPr>
            <w:tcW w:type="dxa" w:w="1560"/>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Processing &amp; Chemical Mechanisms</w:t>
            </w:r>
          </w:p>
        </w:tc>
        <w:tc>
          <w:tcPr>
            <w:tcW w:type="dxa" w:w="1560"/>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Target Structural Applications</w:t>
            </w:r>
          </w:p>
        </w:tc>
      </w:tr>
      <w:tr>
        <w:tc>
          <w:tcPr>
            <w:tcW w:type="dxa" w:w="1560"/>
          </w:tcPr>
          <w:p>
            <w:pPr>
              <w:spacing w:before="0" w:after="0" w:line="276" w:lineRule="auto"/>
              <w:jc w:val="left"/>
            </w:pPr>
            <w:r>
              <w:rPr>
                <w:rFonts w:ascii="Times New Roman" w:hAnsi="Times New Roman"/>
                <w:b w:val="0"/>
                <w:i w:val="0"/>
                <w:sz w:val="20"/>
              </w:rPr>
              <w:t>Low-Carbon Binders &amp; SCMs</w:t>
            </w:r>
          </w:p>
        </w:tc>
        <w:tc>
          <w:tcPr>
            <w:tcW w:type="dxa" w:w="1560"/>
          </w:tcPr>
          <w:p>
            <w:pPr>
              <w:spacing w:before="0" w:after="0" w:line="276" w:lineRule="auto"/>
              <w:jc w:val="left"/>
            </w:pPr>
            <w:r>
              <w:rPr>
                <w:rFonts w:ascii="Times New Roman" w:hAnsi="Times New Roman"/>
                <w:b w:val="0"/>
                <w:i w:val="0"/>
                <w:sz w:val="20"/>
              </w:rPr>
              <w:t>995</w:t>
            </w:r>
          </w:p>
        </w:tc>
        <w:tc>
          <w:tcPr>
            <w:tcW w:type="dxa" w:w="1560"/>
          </w:tcPr>
          <w:p>
            <w:pPr>
              <w:spacing w:before="0" w:after="0" w:line="276" w:lineRule="auto"/>
              <w:jc w:val="left"/>
            </w:pPr>
            <w:r>
              <w:rPr>
                <w:rFonts w:ascii="Times New Roman" w:hAnsi="Times New Roman"/>
                <w:b w:val="0"/>
                <w:i w:val="0"/>
                <w:sz w:val="20"/>
              </w:rPr>
              <w:t>35.3%</w:t>
            </w:r>
          </w:p>
        </w:tc>
        <w:tc>
          <w:tcPr>
            <w:tcW w:type="dxa" w:w="1560"/>
          </w:tcPr>
          <w:p>
            <w:pPr>
              <w:spacing w:before="0" w:after="0" w:line="276" w:lineRule="auto"/>
              <w:jc w:val="left"/>
            </w:pPr>
            <w:r>
              <w:rPr>
                <w:rFonts w:ascii="Times New Roman" w:hAnsi="Times New Roman"/>
                <w:b w:val="0"/>
                <w:i w:val="0"/>
                <w:sz w:val="20"/>
              </w:rPr>
              <w:t>Kaolinitic clays, agro-wastes (RHA, SCBA, POFA, CPA), slag, fly ash</w:t>
            </w:r>
          </w:p>
        </w:tc>
        <w:tc>
          <w:tcPr>
            <w:tcW w:type="dxa" w:w="1560"/>
          </w:tcPr>
          <w:p>
            <w:pPr>
              <w:spacing w:before="0" w:after="0" w:line="276" w:lineRule="auto"/>
              <w:jc w:val="left"/>
            </w:pPr>
            <w:r>
              <w:rPr>
                <w:rFonts w:ascii="Times New Roman" w:hAnsi="Times New Roman"/>
                <w:b w:val="0"/>
                <w:i w:val="0"/>
                <w:sz w:val="20"/>
              </w:rPr>
              <w:t>Thermal calcination (650–800°C), pozzolanic reaction, alkaline activation</w:t>
            </w:r>
          </w:p>
        </w:tc>
        <w:tc>
          <w:tcPr>
            <w:tcW w:type="dxa" w:w="1560"/>
          </w:tcPr>
          <w:p>
            <w:pPr>
              <w:spacing w:before="0" w:after="0" w:line="276" w:lineRule="auto"/>
              <w:jc w:val="left"/>
            </w:pPr>
            <w:r>
              <w:rPr>
                <w:rFonts w:ascii="Times New Roman" w:hAnsi="Times New Roman"/>
                <w:b w:val="0"/>
                <w:i w:val="0"/>
                <w:sz w:val="20"/>
              </w:rPr>
              <w:t>Structural concrete frames, low-carbon mortars, precast elements</w:t>
            </w:r>
          </w:p>
        </w:tc>
      </w:tr>
      <w:tr>
        <w:tc>
          <w:tcPr>
            <w:tcW w:type="dxa" w:w="1560"/>
          </w:tcPr>
          <w:p>
            <w:pPr>
              <w:spacing w:before="0" w:after="0" w:line="276" w:lineRule="auto"/>
              <w:jc w:val="left"/>
            </w:pPr>
            <w:r>
              <w:rPr>
                <w:rFonts w:ascii="Times New Roman" w:hAnsi="Times New Roman"/>
                <w:b w:val="0"/>
                <w:i w:val="0"/>
                <w:sz w:val="20"/>
              </w:rPr>
              <w:t>Earth-Based Masonry</w:t>
            </w:r>
          </w:p>
        </w:tc>
        <w:tc>
          <w:tcPr>
            <w:tcW w:type="dxa" w:w="1560"/>
          </w:tcPr>
          <w:p>
            <w:pPr>
              <w:spacing w:before="0" w:after="0" w:line="276" w:lineRule="auto"/>
              <w:jc w:val="left"/>
            </w:pPr>
            <w:r>
              <w:rPr>
                <w:rFonts w:ascii="Times New Roman" w:hAnsi="Times New Roman"/>
                <w:b w:val="0"/>
                <w:i w:val="0"/>
                <w:sz w:val="20"/>
              </w:rPr>
              <w:t>884</w:t>
            </w:r>
          </w:p>
        </w:tc>
        <w:tc>
          <w:tcPr>
            <w:tcW w:type="dxa" w:w="1560"/>
          </w:tcPr>
          <w:p>
            <w:pPr>
              <w:spacing w:before="0" w:after="0" w:line="276" w:lineRule="auto"/>
              <w:jc w:val="left"/>
            </w:pPr>
            <w:r>
              <w:rPr>
                <w:rFonts w:ascii="Times New Roman" w:hAnsi="Times New Roman"/>
                <w:b w:val="0"/>
                <w:i w:val="0"/>
                <w:sz w:val="20"/>
              </w:rPr>
              <w:t>31.3%</w:t>
            </w:r>
          </w:p>
        </w:tc>
        <w:tc>
          <w:tcPr>
            <w:tcW w:type="dxa" w:w="1560"/>
          </w:tcPr>
          <w:p>
            <w:pPr>
              <w:spacing w:before="0" w:after="0" w:line="276" w:lineRule="auto"/>
              <w:jc w:val="left"/>
            </w:pPr>
            <w:r>
              <w:rPr>
                <w:rFonts w:ascii="Times New Roman" w:hAnsi="Times New Roman"/>
                <w:b w:val="0"/>
                <w:i w:val="0"/>
                <w:sz w:val="20"/>
              </w:rPr>
              <w:t>Lateritic soils, red tropical earths, sandy loams, alluvial clays</w:t>
            </w:r>
          </w:p>
        </w:tc>
        <w:tc>
          <w:tcPr>
            <w:tcW w:type="dxa" w:w="1560"/>
          </w:tcPr>
          <w:p>
            <w:pPr>
              <w:spacing w:before="0" w:after="0" w:line="276" w:lineRule="auto"/>
              <w:jc w:val="left"/>
            </w:pPr>
            <w:r>
              <w:rPr>
                <w:rFonts w:ascii="Times New Roman" w:hAnsi="Times New Roman"/>
                <w:b w:val="0"/>
                <w:i w:val="0"/>
                <w:sz w:val="20"/>
              </w:rPr>
              <w:t>Mechanical hydraulic compression (2–10 MPa), 5–8% cement stabilization</w:t>
            </w:r>
          </w:p>
        </w:tc>
        <w:tc>
          <w:tcPr>
            <w:tcW w:type="dxa" w:w="1560"/>
          </w:tcPr>
          <w:p>
            <w:pPr>
              <w:spacing w:before="0" w:after="0" w:line="276" w:lineRule="auto"/>
              <w:jc w:val="left"/>
            </w:pPr>
            <w:r>
              <w:rPr>
                <w:rFonts w:ascii="Times New Roman" w:hAnsi="Times New Roman"/>
                <w:b w:val="0"/>
                <w:i w:val="0"/>
                <w:sz w:val="20"/>
              </w:rPr>
              <w:t>Load-bearing walling blocks, interlocking masonry, rammed earth</w:t>
            </w:r>
          </w:p>
        </w:tc>
      </w:tr>
      <w:tr>
        <w:tc>
          <w:tcPr>
            <w:tcW w:type="dxa" w:w="1560"/>
          </w:tcPr>
          <w:p>
            <w:pPr>
              <w:spacing w:before="0" w:after="0" w:line="276" w:lineRule="auto"/>
              <w:jc w:val="left"/>
            </w:pPr>
            <w:r>
              <w:rPr>
                <w:rFonts w:ascii="Times New Roman" w:hAnsi="Times New Roman"/>
                <w:b w:val="0"/>
                <w:i w:val="0"/>
                <w:sz w:val="20"/>
              </w:rPr>
              <w:t>Recycled &amp; Waste Composites</w:t>
            </w:r>
          </w:p>
        </w:tc>
        <w:tc>
          <w:tcPr>
            <w:tcW w:type="dxa" w:w="1560"/>
          </w:tcPr>
          <w:p>
            <w:pPr>
              <w:spacing w:before="0" w:after="0" w:line="276" w:lineRule="auto"/>
              <w:jc w:val="left"/>
            </w:pPr>
            <w:r>
              <w:rPr>
                <w:rFonts w:ascii="Times New Roman" w:hAnsi="Times New Roman"/>
                <w:b w:val="0"/>
                <w:i w:val="0"/>
                <w:sz w:val="20"/>
              </w:rPr>
              <w:t>444</w:t>
            </w:r>
          </w:p>
        </w:tc>
        <w:tc>
          <w:tcPr>
            <w:tcW w:type="dxa" w:w="1560"/>
          </w:tcPr>
          <w:p>
            <w:pPr>
              <w:spacing w:before="0" w:after="0" w:line="276" w:lineRule="auto"/>
              <w:jc w:val="left"/>
            </w:pPr>
            <w:r>
              <w:rPr>
                <w:rFonts w:ascii="Times New Roman" w:hAnsi="Times New Roman"/>
                <w:b w:val="0"/>
                <w:i w:val="0"/>
                <w:sz w:val="20"/>
              </w:rPr>
              <w:t>15.7%</w:t>
            </w:r>
          </w:p>
        </w:tc>
        <w:tc>
          <w:tcPr>
            <w:tcW w:type="dxa" w:w="1560"/>
          </w:tcPr>
          <w:p>
            <w:pPr>
              <w:spacing w:before="0" w:after="0" w:line="276" w:lineRule="auto"/>
              <w:jc w:val="left"/>
            </w:pPr>
            <w:r>
              <w:rPr>
                <w:rFonts w:ascii="Times New Roman" w:hAnsi="Times New Roman"/>
                <w:b w:val="0"/>
                <w:i w:val="0"/>
                <w:sz w:val="20"/>
              </w:rPr>
              <w:t>Demolition rubble, plastics (PET, HDPE), crushed glass, slag, palm kernel shells</w:t>
            </w:r>
          </w:p>
        </w:tc>
        <w:tc>
          <w:tcPr>
            <w:tcW w:type="dxa" w:w="1560"/>
          </w:tcPr>
          <w:p>
            <w:pPr>
              <w:spacing w:before="0" w:after="0" w:line="276" w:lineRule="auto"/>
              <w:jc w:val="left"/>
            </w:pPr>
            <w:r>
              <w:rPr>
                <w:rFonts w:ascii="Times New Roman" w:hAnsi="Times New Roman"/>
                <w:b w:val="0"/>
                <w:i w:val="0"/>
                <w:sz w:val="20"/>
              </w:rPr>
              <w:t>Mechanical grading, thermal extrusion, ITZ densification with silica fume</w:t>
            </w:r>
          </w:p>
        </w:tc>
        <w:tc>
          <w:tcPr>
            <w:tcW w:type="dxa" w:w="1560"/>
          </w:tcPr>
          <w:p>
            <w:pPr>
              <w:spacing w:before="0" w:after="0" w:line="276" w:lineRule="auto"/>
              <w:jc w:val="left"/>
            </w:pPr>
            <w:r>
              <w:rPr>
                <w:rFonts w:ascii="Times New Roman" w:hAnsi="Times New Roman"/>
                <w:b w:val="0"/>
                <w:i w:val="0"/>
                <w:sz w:val="20"/>
              </w:rPr>
              <w:t>Paving blocks, lightweight concrete, thermal screeds</w:t>
            </w:r>
          </w:p>
        </w:tc>
      </w:tr>
      <w:tr>
        <w:tc>
          <w:tcPr>
            <w:tcW w:type="dxa" w:w="1560"/>
          </w:tcPr>
          <w:p>
            <w:pPr>
              <w:spacing w:before="0" w:after="0" w:line="276" w:lineRule="auto"/>
              <w:jc w:val="left"/>
            </w:pPr>
            <w:r>
              <w:rPr>
                <w:rFonts w:ascii="Times New Roman" w:hAnsi="Times New Roman"/>
                <w:b w:val="0"/>
                <w:i w:val="0"/>
                <w:sz w:val="20"/>
              </w:rPr>
              <w:t>Renewable Bio-Based Systems</w:t>
            </w:r>
          </w:p>
        </w:tc>
        <w:tc>
          <w:tcPr>
            <w:tcW w:type="dxa" w:w="1560"/>
          </w:tcPr>
          <w:p>
            <w:pPr>
              <w:spacing w:before="0" w:after="0" w:line="276" w:lineRule="auto"/>
              <w:jc w:val="left"/>
            </w:pPr>
            <w:r>
              <w:rPr>
                <w:rFonts w:ascii="Times New Roman" w:hAnsi="Times New Roman"/>
                <w:b w:val="0"/>
                <w:i w:val="0"/>
                <w:sz w:val="20"/>
              </w:rPr>
              <w:t>358</w:t>
            </w:r>
          </w:p>
        </w:tc>
        <w:tc>
          <w:tcPr>
            <w:tcW w:type="dxa" w:w="1560"/>
          </w:tcPr>
          <w:p>
            <w:pPr>
              <w:spacing w:before="0" w:after="0" w:line="276" w:lineRule="auto"/>
              <w:jc w:val="left"/>
            </w:pPr>
            <w:r>
              <w:rPr>
                <w:rFonts w:ascii="Times New Roman" w:hAnsi="Times New Roman"/>
                <w:b w:val="0"/>
                <w:i w:val="0"/>
                <w:sz w:val="20"/>
              </w:rPr>
              <w:t>12.7%</w:t>
            </w:r>
          </w:p>
        </w:tc>
        <w:tc>
          <w:tcPr>
            <w:tcW w:type="dxa" w:w="1560"/>
          </w:tcPr>
          <w:p>
            <w:pPr>
              <w:spacing w:before="0" w:after="0" w:line="276" w:lineRule="auto"/>
              <w:jc w:val="left"/>
            </w:pPr>
            <w:r>
              <w:rPr>
                <w:rFonts w:ascii="Times New Roman" w:hAnsi="Times New Roman"/>
                <w:b w:val="0"/>
                <w:i w:val="0"/>
                <w:sz w:val="20"/>
              </w:rPr>
              <w:t>Bamboo (O. abyssinica, B. vulgaris), vegetable fibers (sisal, coir), timber</w:t>
            </w:r>
          </w:p>
        </w:tc>
        <w:tc>
          <w:tcPr>
            <w:tcW w:type="dxa" w:w="1560"/>
          </w:tcPr>
          <w:p>
            <w:pPr>
              <w:spacing w:before="0" w:after="0" w:line="276" w:lineRule="auto"/>
              <w:jc w:val="left"/>
            </w:pPr>
            <w:r>
              <w:rPr>
                <w:rFonts w:ascii="Times New Roman" w:hAnsi="Times New Roman"/>
                <w:b w:val="0"/>
                <w:i w:val="0"/>
                <w:sz w:val="20"/>
              </w:rPr>
              <w:t>Boron chemical preservation, alkaline fiber treatment, resin impregnation</w:t>
            </w:r>
          </w:p>
        </w:tc>
        <w:tc>
          <w:tcPr>
            <w:tcW w:type="dxa" w:w="1560"/>
          </w:tcPr>
          <w:p>
            <w:pPr>
              <w:spacing w:before="0" w:after="0" w:line="276" w:lineRule="auto"/>
              <w:jc w:val="left"/>
            </w:pPr>
            <w:r>
              <w:rPr>
                <w:rFonts w:ascii="Times New Roman" w:hAnsi="Times New Roman"/>
                <w:b w:val="0"/>
                <w:i w:val="0"/>
                <w:sz w:val="20"/>
              </w:rPr>
              <w:t>Structural space frames, roofing trusses, fiber ceiling boards</w:t>
            </w:r>
          </w:p>
        </w:tc>
      </w:tr>
      <w:tr>
        <w:tc>
          <w:tcPr>
            <w:tcW w:type="dxa" w:w="1560"/>
          </w:tcPr>
          <w:p>
            <w:pPr>
              <w:spacing w:before="0" w:after="0" w:line="276" w:lineRule="auto"/>
              <w:jc w:val="left"/>
            </w:pPr>
            <w:r>
              <w:rPr>
                <w:rFonts w:ascii="Times New Roman" w:hAnsi="Times New Roman"/>
                <w:b w:val="0"/>
                <w:i w:val="0"/>
                <w:sz w:val="20"/>
              </w:rPr>
              <w:t>Smart &amp; Innovative Systems</w:t>
            </w:r>
          </w:p>
        </w:tc>
        <w:tc>
          <w:tcPr>
            <w:tcW w:type="dxa" w:w="1560"/>
          </w:tcPr>
          <w:p>
            <w:pPr>
              <w:spacing w:before="0" w:after="0" w:line="276" w:lineRule="auto"/>
              <w:jc w:val="left"/>
            </w:pPr>
            <w:r>
              <w:rPr>
                <w:rFonts w:ascii="Times New Roman" w:hAnsi="Times New Roman"/>
                <w:b w:val="0"/>
                <w:i w:val="0"/>
                <w:sz w:val="20"/>
              </w:rPr>
              <w:t>141</w:t>
            </w:r>
          </w:p>
        </w:tc>
        <w:tc>
          <w:tcPr>
            <w:tcW w:type="dxa" w:w="1560"/>
          </w:tcPr>
          <w:p>
            <w:pPr>
              <w:spacing w:before="0" w:after="0" w:line="276" w:lineRule="auto"/>
              <w:jc w:val="left"/>
            </w:pPr>
            <w:r>
              <w:rPr>
                <w:rFonts w:ascii="Times New Roman" w:hAnsi="Times New Roman"/>
                <w:b w:val="0"/>
                <w:i w:val="0"/>
                <w:sz w:val="20"/>
              </w:rPr>
              <w:t>5.0%</w:t>
            </w:r>
          </w:p>
        </w:tc>
        <w:tc>
          <w:tcPr>
            <w:tcW w:type="dxa" w:w="1560"/>
          </w:tcPr>
          <w:p>
            <w:pPr>
              <w:spacing w:before="0" w:after="0" w:line="276" w:lineRule="auto"/>
              <w:jc w:val="left"/>
            </w:pPr>
            <w:r>
              <w:rPr>
                <w:rFonts w:ascii="Times New Roman" w:hAnsi="Times New Roman"/>
                <w:b w:val="0"/>
                <w:i w:val="0"/>
                <w:sz w:val="20"/>
              </w:rPr>
              <w:t>Organic PCMs (paraffins, bio-fatty acids), S. pasteurii bacteria, nano-silica</w:t>
            </w:r>
          </w:p>
        </w:tc>
        <w:tc>
          <w:tcPr>
            <w:tcW w:type="dxa" w:w="1560"/>
          </w:tcPr>
          <w:p>
            <w:pPr>
              <w:spacing w:before="0" w:after="0" w:line="276" w:lineRule="auto"/>
              <w:jc w:val="left"/>
            </w:pPr>
            <w:r>
              <w:rPr>
                <w:rFonts w:ascii="Times New Roman" w:hAnsi="Times New Roman"/>
                <w:b w:val="0"/>
                <w:i w:val="0"/>
                <w:sz w:val="20"/>
              </w:rPr>
              <w:t>Micro-encapsulation, latent heat energy storage, MICP bio-deposition</w:t>
            </w:r>
          </w:p>
        </w:tc>
        <w:tc>
          <w:tcPr>
            <w:tcW w:type="dxa" w:w="1560"/>
          </w:tcPr>
          <w:p>
            <w:pPr>
              <w:spacing w:before="0" w:after="0" w:line="276" w:lineRule="auto"/>
              <w:jc w:val="left"/>
            </w:pPr>
            <w:r>
              <w:rPr>
                <w:rFonts w:ascii="Times New Roman" w:hAnsi="Times New Roman"/>
                <w:b w:val="0"/>
                <w:i w:val="0"/>
                <w:sz w:val="20"/>
              </w:rPr>
              <w:t>Passive thermal plasters, self-healing concrete cracks</w:t>
            </w:r>
          </w:p>
        </w:tc>
      </w:tr>
      <w:tr>
        <w:tc>
          <w:tcPr>
            <w:tcW w:type="dxa" w:w="1560"/>
          </w:tcPr>
          <w:p>
            <w:pPr>
              <w:spacing w:before="0" w:after="0" w:line="276" w:lineRule="auto"/>
              <w:jc w:val="left"/>
            </w:pPr>
            <w:r>
              <w:rPr>
                <w:rFonts w:ascii="Times New Roman" w:hAnsi="Times New Roman"/>
                <w:b w:val="0"/>
                <w:i w:val="0"/>
                <w:sz w:val="20"/>
              </w:rPr>
              <w:t>Total Comprehensive Base</w:t>
            </w:r>
          </w:p>
        </w:tc>
        <w:tc>
          <w:tcPr>
            <w:tcW w:type="dxa" w:w="1560"/>
          </w:tcPr>
          <w:p>
            <w:pPr>
              <w:spacing w:before="0" w:after="0" w:line="276" w:lineRule="auto"/>
              <w:jc w:val="left"/>
            </w:pPr>
            <w:r>
              <w:rPr>
                <w:rFonts w:ascii="Times New Roman" w:hAnsi="Times New Roman"/>
                <w:b w:val="0"/>
                <w:i w:val="0"/>
                <w:sz w:val="20"/>
              </w:rPr>
              <w:t>2,822</w:t>
            </w:r>
          </w:p>
        </w:tc>
        <w:tc>
          <w:tcPr>
            <w:tcW w:type="dxa" w:w="1560"/>
          </w:tcPr>
          <w:p>
            <w:pPr>
              <w:spacing w:before="0" w:after="0" w:line="276" w:lineRule="auto"/>
              <w:jc w:val="left"/>
            </w:pPr>
            <w:r>
              <w:rPr>
                <w:rFonts w:ascii="Times New Roman" w:hAnsi="Times New Roman"/>
                <w:b w:val="0"/>
                <w:i w:val="0"/>
                <w:sz w:val="20"/>
              </w:rPr>
              <w:t>100.0%</w:t>
            </w:r>
          </w:p>
        </w:tc>
        <w:tc>
          <w:tcPr>
            <w:tcW w:type="dxa" w:w="1560"/>
          </w:tcPr>
          <w:p>
            <w:pPr>
              <w:spacing w:before="0" w:after="0" w:line="276" w:lineRule="auto"/>
              <w:jc w:val="left"/>
            </w:pPr>
            <w:r>
              <w:rPr>
                <w:rFonts w:ascii="Times New Roman" w:hAnsi="Times New Roman"/>
                <w:b w:val="0"/>
                <w:i w:val="0"/>
                <w:sz w:val="20"/>
              </w:rPr>
              <w:t>Continental Resource Inventory</w:t>
            </w:r>
          </w:p>
        </w:tc>
        <w:tc>
          <w:tcPr>
            <w:tcW w:type="dxa" w:w="1560"/>
          </w:tcPr>
          <w:p>
            <w:pPr>
              <w:spacing w:before="0" w:after="0" w:line="276" w:lineRule="auto"/>
              <w:jc w:val="left"/>
            </w:pPr>
            <w:r>
              <w:rPr>
                <w:rFonts w:ascii="Times New Roman" w:hAnsi="Times New Roman"/>
                <w:b w:val="0"/>
                <w:i w:val="0"/>
                <w:sz w:val="20"/>
              </w:rPr>
              <w:t>Multi-Scale Material Synthesis</w:t>
            </w:r>
          </w:p>
        </w:tc>
        <w:tc>
          <w:tcPr>
            <w:tcW w:type="dxa" w:w="1560"/>
          </w:tcPr>
          <w:p>
            <w:pPr>
              <w:spacing w:before="0" w:after="0" w:line="276" w:lineRule="auto"/>
              <w:jc w:val="left"/>
            </w:pPr>
            <w:r>
              <w:rPr>
                <w:rFonts w:ascii="Times New Roman" w:hAnsi="Times New Roman"/>
                <w:b w:val="0"/>
                <w:i w:val="0"/>
                <w:sz w:val="20"/>
              </w:rPr>
              <w:t>Decarbonized Built Infrastructure</w:t>
            </w:r>
          </w:p>
        </w:tc>
      </w:tr>
    </w:tbl>
    <w:p>
      <w:pPr>
        <w:spacing w:before="80" w:after="240" w:line="276" w:lineRule="auto"/>
        <w:jc w:val="left"/>
      </w:pPr>
      <w:r>
        <w:rPr>
          <w:rFonts w:ascii="Times New Roman" w:hAnsi="Times New Roman"/>
          <w:b w:val="0"/>
          <w:i w:val="0"/>
          <w:sz w:val="20"/>
        </w:rPr>
        <w:t xml:space="preserve">Note. </w:t>
      </w:r>
      <w:r>
        <w:rPr>
          <w:rFonts w:ascii="Times New Roman" w:hAnsi="Times New Roman"/>
          <w:b w:val="0"/>
          <w:i w:val="0"/>
          <w:sz w:val="20"/>
        </w:rPr>
        <w:t>Taxonomic distribution of peer-reviewed empirical studies evaluating sustainable building materials across Africa (2015–2025).</w:t>
      </w:r>
    </w:p>
    <w:p>
      <w:pPr>
        <w:spacing w:before="240" w:after="80" w:line="480" w:lineRule="auto"/>
        <w:jc w:val="left"/>
      </w:pPr>
      <w:r>
        <w:rPr>
          <w:rFonts w:ascii="Times New Roman" w:hAnsi="Times New Roman"/>
          <w:b/>
          <w:i w:val="0"/>
          <w:sz w:val="24"/>
        </w:rPr>
        <w:t>3.3 Deep-Dive Synthesis: Earth-Based Masonry (CEBs, CSEBs, Rammed Earth)</w:t>
      </w:r>
    </w:p>
    <w:p>
      <w:pPr>
        <w:spacing w:before="0" w:after="0" w:line="480" w:lineRule="auto"/>
        <w:ind w:firstLine="720"/>
        <w:jc w:val="left"/>
      </w:pPr>
      <w:r>
        <w:rPr>
          <w:rFonts w:ascii="Times New Roman" w:hAnsi="Times New Roman"/>
          <w:b w:val="0"/>
          <w:i w:val="0"/>
          <w:sz w:val="24"/>
        </w:rPr>
        <w:t>Earth-based construction represents Africa's most culturally rooted and geographically ubiquitous building technology. Over the 2015–2025 decade, 884 empirical studies focused on transforming traditional, water-susceptible adobe into standardized, durable, and structurally certified masonry units.</w:t>
      </w:r>
    </w:p>
    <w:p>
      <w:pPr>
        <w:spacing w:before="0" w:after="0" w:line="480" w:lineRule="auto"/>
        <w:ind w:firstLine="720"/>
        <w:jc w:val="left"/>
      </w:pPr>
      <w:r>
        <w:rPr>
          <w:rFonts w:ascii="Times New Roman" w:hAnsi="Times New Roman"/>
          <w:b w:val="0"/>
          <w:i w:val="0"/>
          <w:sz w:val="24"/>
        </w:rPr>
        <w:t>The empirical evidence demonstrates that raw, unstabilized compressed earth blocks (CEBs) compacted at 2.0 to 4.0 MPa yield dry compressive strengths between 1.5 and 2.8 MPa. While sufficient for single-story indigenous dwellings, unstabilized units exhibit high water absorption (14–22%) and rapid surface erosion under torrential tropical rainfall. However, incorporating 5% to 8% Portland cement by weight, or a 4% cement plus 4% lime combination, transforms soil blocks into Compressed Stabilized Earth Blocks (CSEBs) capable of achieving 28-day dry compressive strengths between 3.5 and 9.2 MPa, with average wet compressive strengths remaining comfortably above 2.0 MPa.</w:t>
      </w:r>
    </w:p>
    <w:p>
      <w:pPr>
        <w:spacing w:before="0" w:after="0" w:line="480" w:lineRule="auto"/>
        <w:ind w:firstLine="720"/>
        <w:jc w:val="left"/>
      </w:pPr>
      <w:r>
        <w:rPr>
          <w:rFonts w:ascii="Times New Roman" w:hAnsi="Times New Roman"/>
          <w:b w:val="0"/>
          <w:i w:val="0"/>
          <w:sz w:val="24"/>
        </w:rPr>
        <w:t>The chemical stabilization mechanism in CSEBs operates through a two-stage reaction: an immediate cation exchange between calcium ions ($</w:t>
        <w:tab/>
        <w:t>ext{Ca}^{2+}$) from hydrating cement/lime and sodium/potassium ions on the surface of clay platelets, which reduces the electrical double layer and induces clay flocculation; followed by long-term pozzolanic reactions wherein free calcium hydroxide ($</w:t>
        <w:tab/>
        <w:t>ext{Ca(OH)}_2$) reacts with reactive silica and alumina dissolved from kaolinitic clays to form secondary calcium-silicate-hydrate (C-S-H) and calcium-aluminate-hydrate (C-A-H) gels. These mineral gels permanently occlude capillary soil pores, reducing total water absorption to 7.0–11.5% and imparting high spray erosion resistance (Danso et al., 2015; Audu et al., 2025; Sesay et al., 2025).</w:t>
      </w:r>
    </w:p>
    <w:p>
      <w:pPr>
        <w:spacing w:before="0" w:after="0" w:line="480" w:lineRule="auto"/>
        <w:ind w:firstLine="720"/>
        <w:jc w:val="left"/>
      </w:pPr>
      <w:r>
        <w:rPr>
          <w:rFonts w:ascii="Times New Roman" w:hAnsi="Times New Roman"/>
          <w:b w:val="0"/>
          <w:i w:val="0"/>
          <w:sz w:val="24"/>
        </w:rPr>
        <w:t>Crucially, when benchmarked against commercial sandcrete hollow masonry blocks sold across informal West and East African markets, CSEBs demonstrate decisive structural superiority. While artisanal sandcrete blocks routinely collapse under compressive stresses of 1.0 to 1.8 MPa due to extreme cement dilution and inadequate curing, certified CSEBs achieve 3.5 to 9.2 MPa, comfortably exceeding Nigerian Industrial Standard NIS 87 (minimum 2.5 MPa) and Ghanaian GS 297 (minimum 2.8 MPa) requirements. Furthermore, modern stabilized rammed earth walls (compacted pneumatically in continuous formwork with 6–8% cement) achieve structural compressive capacities of 4.5 to 8.5 MPa, delivering thermal mass with thermal conductivity values between 0.65 and 0.95 W/m·K (compared to 1.30–1.75 W/m·K for dense concrete), substantially improving indoor thermal comfort in Sahelian and tropical savannah climatic zones.</w:t>
      </w:r>
    </w:p>
    <w:p>
      <w:pPr>
        <w:spacing w:before="0" w:after="0" w:line="480" w:lineRule="auto"/>
        <w:ind w:firstLine="720"/>
        <w:jc w:val="left"/>
      </w:pPr>
      <w:r>
        <w:rPr>
          <w:rFonts w:ascii="Times New Roman" w:hAnsi="Times New Roman"/>
          <w:b w:val="0"/>
          <w:i w:val="0"/>
          <w:sz w:val="24"/>
        </w:rPr>
        <w:t>Table 3 benchmarks the empirical mechanical, physical, and durability characteristics of African earth-based masonry against conventional sandcrete blocks and fired clay bricks.</w:t>
      </w:r>
    </w:p>
    <w:p>
      <w:pPr>
        <w:spacing w:before="240" w:after="40" w:line="480" w:lineRule="auto"/>
        <w:jc w:val="left"/>
      </w:pPr>
      <w:r>
        <w:rPr>
          <w:rFonts w:ascii="Times New Roman" w:hAnsi="Times New Roman"/>
          <w:b/>
          <w:i w:val="0"/>
          <w:sz w:val="24"/>
        </w:rPr>
        <w:t>Table 3</w:t>
      </w:r>
    </w:p>
    <w:p>
      <w:pPr>
        <w:spacing w:before="0" w:after="120" w:line="480" w:lineRule="auto"/>
        <w:jc w:val="left"/>
      </w:pPr>
      <w:r>
        <w:rPr>
          <w:rFonts w:ascii="Times New Roman" w:hAnsi="Times New Roman"/>
          <w:b w:val="0"/>
          <w:i/>
          <w:sz w:val="24"/>
        </w:rPr>
        <w:t>Empirical Mechanical and Physical Benchmarks of Sustainable Materials vs. Conventional Baselines</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337"/>
        <w:gridCol w:w="1337"/>
        <w:gridCol w:w="1337"/>
        <w:gridCol w:w="1337"/>
        <w:gridCol w:w="1337"/>
        <w:gridCol w:w="1337"/>
        <w:gridCol w:w="1337"/>
      </w:tblGrid>
      <w:tr>
        <w:trPr/>
        <w:tc>
          <w:tcPr>
            <w:tcW w:type="dxa" w:w="1337"/>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Material Class &amp; Technology</w:t>
            </w:r>
          </w:p>
        </w:tc>
        <w:tc>
          <w:tcPr>
            <w:tcW w:type="dxa" w:w="1337"/>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Comp. Strength, 28d (MPa)</w:t>
            </w:r>
          </w:p>
        </w:tc>
        <w:tc>
          <w:tcPr>
            <w:tcW w:type="dxa" w:w="1337"/>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Flexural/Tensile (MPa)</w:t>
            </w:r>
          </w:p>
        </w:tc>
        <w:tc>
          <w:tcPr>
            <w:tcW w:type="dxa" w:w="1337"/>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Density (kg/m3)</w:t>
            </w:r>
          </w:p>
        </w:tc>
        <w:tc>
          <w:tcPr>
            <w:tcW w:type="dxa" w:w="1337"/>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Water Abs. (%)</w:t>
            </w:r>
          </w:p>
        </w:tc>
        <w:tc>
          <w:tcPr>
            <w:tcW w:type="dxa" w:w="1337"/>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Thermal Cond. (W/m·K)</w:t>
            </w:r>
          </w:p>
        </w:tc>
        <w:tc>
          <w:tcPr>
            <w:tcW w:type="dxa" w:w="1337"/>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Standard Compliance Status</w:t>
            </w:r>
          </w:p>
        </w:tc>
      </w:tr>
      <w:tr>
        <w:tc>
          <w:tcPr>
            <w:tcW w:type="dxa" w:w="1337"/>
          </w:tcPr>
          <w:p>
            <w:pPr>
              <w:spacing w:before="0" w:after="0" w:line="276" w:lineRule="auto"/>
              <w:jc w:val="left"/>
            </w:pPr>
            <w:r>
              <w:rPr>
                <w:rFonts w:ascii="Times New Roman" w:hAnsi="Times New Roman"/>
                <w:b w:val="0"/>
                <w:i w:val="0"/>
                <w:sz w:val="20"/>
              </w:rPr>
              <w:t>Unstabilized CEB</w:t>
            </w:r>
          </w:p>
        </w:tc>
        <w:tc>
          <w:tcPr>
            <w:tcW w:type="dxa" w:w="1337"/>
          </w:tcPr>
          <w:p>
            <w:pPr>
              <w:spacing w:before="0" w:after="0" w:line="276" w:lineRule="auto"/>
              <w:jc w:val="left"/>
            </w:pPr>
            <w:r>
              <w:rPr>
                <w:rFonts w:ascii="Times New Roman" w:hAnsi="Times New Roman"/>
                <w:b w:val="0"/>
                <w:i w:val="0"/>
                <w:sz w:val="20"/>
              </w:rPr>
              <w:t>1.5 – 2.8</w:t>
            </w:r>
          </w:p>
        </w:tc>
        <w:tc>
          <w:tcPr>
            <w:tcW w:type="dxa" w:w="1337"/>
          </w:tcPr>
          <w:p>
            <w:pPr>
              <w:spacing w:before="0" w:after="0" w:line="276" w:lineRule="auto"/>
              <w:jc w:val="left"/>
            </w:pPr>
            <w:r>
              <w:rPr>
                <w:rFonts w:ascii="Times New Roman" w:hAnsi="Times New Roman"/>
                <w:b w:val="0"/>
                <w:i w:val="0"/>
                <w:sz w:val="20"/>
              </w:rPr>
              <w:t>0.3 – 0.6</w:t>
            </w:r>
          </w:p>
        </w:tc>
        <w:tc>
          <w:tcPr>
            <w:tcW w:type="dxa" w:w="1337"/>
          </w:tcPr>
          <w:p>
            <w:pPr>
              <w:spacing w:before="0" w:after="0" w:line="276" w:lineRule="auto"/>
              <w:jc w:val="left"/>
            </w:pPr>
            <w:r>
              <w:rPr>
                <w:rFonts w:ascii="Times New Roman" w:hAnsi="Times New Roman"/>
                <w:b w:val="0"/>
                <w:i w:val="0"/>
                <w:sz w:val="20"/>
              </w:rPr>
              <w:t>1,750 – 2,050</w:t>
            </w:r>
          </w:p>
        </w:tc>
        <w:tc>
          <w:tcPr>
            <w:tcW w:type="dxa" w:w="1337"/>
          </w:tcPr>
          <w:p>
            <w:pPr>
              <w:spacing w:before="0" w:after="0" w:line="276" w:lineRule="auto"/>
              <w:jc w:val="left"/>
            </w:pPr>
            <w:r>
              <w:rPr>
                <w:rFonts w:ascii="Times New Roman" w:hAnsi="Times New Roman"/>
                <w:b w:val="0"/>
                <w:i w:val="0"/>
                <w:sz w:val="20"/>
              </w:rPr>
              <w:t>14.0 – 22.0</w:t>
            </w:r>
          </w:p>
        </w:tc>
        <w:tc>
          <w:tcPr>
            <w:tcW w:type="dxa" w:w="1337"/>
          </w:tcPr>
          <w:p>
            <w:pPr>
              <w:spacing w:before="0" w:after="0" w:line="276" w:lineRule="auto"/>
              <w:jc w:val="left"/>
            </w:pPr>
            <w:r>
              <w:rPr>
                <w:rFonts w:ascii="Times New Roman" w:hAnsi="Times New Roman"/>
                <w:b w:val="0"/>
                <w:i w:val="0"/>
                <w:sz w:val="20"/>
              </w:rPr>
              <w:t>0.70 – 1.05</w:t>
            </w:r>
          </w:p>
        </w:tc>
        <w:tc>
          <w:tcPr>
            <w:tcW w:type="dxa" w:w="1337"/>
          </w:tcPr>
          <w:p>
            <w:pPr>
              <w:spacing w:before="0" w:after="0" w:line="276" w:lineRule="auto"/>
              <w:jc w:val="left"/>
            </w:pPr>
            <w:r>
              <w:rPr>
                <w:rFonts w:ascii="Times New Roman" w:hAnsi="Times New Roman"/>
                <w:b w:val="0"/>
                <w:i w:val="0"/>
                <w:sz w:val="20"/>
              </w:rPr>
              <w:t>Satisfies ARS 680 non-loadbearing; fails NIS 87 loadbearing</w:t>
            </w:r>
          </w:p>
        </w:tc>
      </w:tr>
      <w:tr>
        <w:tc>
          <w:tcPr>
            <w:tcW w:type="dxa" w:w="1337"/>
          </w:tcPr>
          <w:p>
            <w:pPr>
              <w:spacing w:before="0" w:after="0" w:line="276" w:lineRule="auto"/>
              <w:jc w:val="left"/>
            </w:pPr>
            <w:r>
              <w:rPr>
                <w:rFonts w:ascii="Times New Roman" w:hAnsi="Times New Roman"/>
                <w:b w:val="0"/>
                <w:i w:val="0"/>
                <w:sz w:val="20"/>
              </w:rPr>
              <w:t>CSEB (5–8% Cement)</w:t>
            </w:r>
          </w:p>
        </w:tc>
        <w:tc>
          <w:tcPr>
            <w:tcW w:type="dxa" w:w="1337"/>
          </w:tcPr>
          <w:p>
            <w:pPr>
              <w:spacing w:before="0" w:after="0" w:line="276" w:lineRule="auto"/>
              <w:jc w:val="left"/>
            </w:pPr>
            <w:r>
              <w:rPr>
                <w:rFonts w:ascii="Times New Roman" w:hAnsi="Times New Roman"/>
                <w:b w:val="0"/>
                <w:i w:val="0"/>
                <w:sz w:val="20"/>
              </w:rPr>
              <w:t>3.5 – 9.2</w:t>
            </w:r>
          </w:p>
        </w:tc>
        <w:tc>
          <w:tcPr>
            <w:tcW w:type="dxa" w:w="1337"/>
          </w:tcPr>
          <w:p>
            <w:pPr>
              <w:spacing w:before="0" w:after="0" w:line="276" w:lineRule="auto"/>
              <w:jc w:val="left"/>
            </w:pPr>
            <w:r>
              <w:rPr>
                <w:rFonts w:ascii="Times New Roman" w:hAnsi="Times New Roman"/>
                <w:b w:val="0"/>
                <w:i w:val="0"/>
                <w:sz w:val="20"/>
              </w:rPr>
              <w:t>0.8 – 2.1</w:t>
            </w:r>
          </w:p>
        </w:tc>
        <w:tc>
          <w:tcPr>
            <w:tcW w:type="dxa" w:w="1337"/>
          </w:tcPr>
          <w:p>
            <w:pPr>
              <w:spacing w:before="0" w:after="0" w:line="276" w:lineRule="auto"/>
              <w:jc w:val="left"/>
            </w:pPr>
            <w:r>
              <w:rPr>
                <w:rFonts w:ascii="Times New Roman" w:hAnsi="Times New Roman"/>
                <w:b w:val="0"/>
                <w:i w:val="0"/>
                <w:sz w:val="20"/>
              </w:rPr>
              <w:t>1,850 – 2,150</w:t>
            </w:r>
          </w:p>
        </w:tc>
        <w:tc>
          <w:tcPr>
            <w:tcW w:type="dxa" w:w="1337"/>
          </w:tcPr>
          <w:p>
            <w:pPr>
              <w:spacing w:before="0" w:after="0" w:line="276" w:lineRule="auto"/>
              <w:jc w:val="left"/>
            </w:pPr>
            <w:r>
              <w:rPr>
                <w:rFonts w:ascii="Times New Roman" w:hAnsi="Times New Roman"/>
                <w:b w:val="0"/>
                <w:i w:val="0"/>
                <w:sz w:val="20"/>
              </w:rPr>
              <w:t>7.0 – 11.5</w:t>
            </w:r>
          </w:p>
        </w:tc>
        <w:tc>
          <w:tcPr>
            <w:tcW w:type="dxa" w:w="1337"/>
          </w:tcPr>
          <w:p>
            <w:pPr>
              <w:spacing w:before="0" w:after="0" w:line="276" w:lineRule="auto"/>
              <w:jc w:val="left"/>
            </w:pPr>
            <w:r>
              <w:rPr>
                <w:rFonts w:ascii="Times New Roman" w:hAnsi="Times New Roman"/>
                <w:b w:val="0"/>
                <w:i w:val="0"/>
                <w:sz w:val="20"/>
              </w:rPr>
              <w:t>0.80 – 1.15</w:t>
            </w:r>
          </w:p>
        </w:tc>
        <w:tc>
          <w:tcPr>
            <w:tcW w:type="dxa" w:w="1337"/>
          </w:tcPr>
          <w:p>
            <w:pPr>
              <w:spacing w:before="0" w:after="0" w:line="276" w:lineRule="auto"/>
              <w:jc w:val="left"/>
            </w:pPr>
            <w:r>
              <w:rPr>
                <w:rFonts w:ascii="Times New Roman" w:hAnsi="Times New Roman"/>
                <w:b w:val="0"/>
                <w:i w:val="0"/>
                <w:sz w:val="20"/>
              </w:rPr>
              <w:t>Fully exceeds NIS 87 (min 2.5 MPa) and GS 297 (min 2.8 MPa)</w:t>
            </w:r>
          </w:p>
        </w:tc>
      </w:tr>
      <w:tr>
        <w:tc>
          <w:tcPr>
            <w:tcW w:type="dxa" w:w="1337"/>
          </w:tcPr>
          <w:p>
            <w:pPr>
              <w:spacing w:before="0" w:after="0" w:line="276" w:lineRule="auto"/>
              <w:jc w:val="left"/>
            </w:pPr>
            <w:r>
              <w:rPr>
                <w:rFonts w:ascii="Times New Roman" w:hAnsi="Times New Roman"/>
                <w:b w:val="0"/>
                <w:i w:val="0"/>
                <w:sz w:val="20"/>
              </w:rPr>
              <w:t>Stabilized Rammed Earth (6–8%)</w:t>
            </w:r>
          </w:p>
        </w:tc>
        <w:tc>
          <w:tcPr>
            <w:tcW w:type="dxa" w:w="1337"/>
          </w:tcPr>
          <w:p>
            <w:pPr>
              <w:spacing w:before="0" w:after="0" w:line="276" w:lineRule="auto"/>
              <w:jc w:val="left"/>
            </w:pPr>
            <w:r>
              <w:rPr>
                <w:rFonts w:ascii="Times New Roman" w:hAnsi="Times New Roman"/>
                <w:b w:val="0"/>
                <w:i w:val="0"/>
                <w:sz w:val="20"/>
              </w:rPr>
              <w:t>4.5 – 8.5</w:t>
            </w:r>
          </w:p>
        </w:tc>
        <w:tc>
          <w:tcPr>
            <w:tcW w:type="dxa" w:w="1337"/>
          </w:tcPr>
          <w:p>
            <w:pPr>
              <w:spacing w:before="0" w:after="0" w:line="276" w:lineRule="auto"/>
              <w:jc w:val="left"/>
            </w:pPr>
            <w:r>
              <w:rPr>
                <w:rFonts w:ascii="Times New Roman" w:hAnsi="Times New Roman"/>
                <w:b w:val="0"/>
                <w:i w:val="0"/>
                <w:sz w:val="20"/>
              </w:rPr>
              <w:t>0.9 – 1.8</w:t>
            </w:r>
          </w:p>
        </w:tc>
        <w:tc>
          <w:tcPr>
            <w:tcW w:type="dxa" w:w="1337"/>
          </w:tcPr>
          <w:p>
            <w:pPr>
              <w:spacing w:before="0" w:after="0" w:line="276" w:lineRule="auto"/>
              <w:jc w:val="left"/>
            </w:pPr>
            <w:r>
              <w:rPr>
                <w:rFonts w:ascii="Times New Roman" w:hAnsi="Times New Roman"/>
                <w:b w:val="0"/>
                <w:i w:val="0"/>
                <w:sz w:val="20"/>
              </w:rPr>
              <w:t>1,900 – 2,200</w:t>
            </w:r>
          </w:p>
        </w:tc>
        <w:tc>
          <w:tcPr>
            <w:tcW w:type="dxa" w:w="1337"/>
          </w:tcPr>
          <w:p>
            <w:pPr>
              <w:spacing w:before="0" w:after="0" w:line="276" w:lineRule="auto"/>
              <w:jc w:val="left"/>
            </w:pPr>
            <w:r>
              <w:rPr>
                <w:rFonts w:ascii="Times New Roman" w:hAnsi="Times New Roman"/>
                <w:b w:val="0"/>
                <w:i w:val="0"/>
                <w:sz w:val="20"/>
              </w:rPr>
              <w:t>6.5 – 10.0</w:t>
            </w:r>
          </w:p>
        </w:tc>
        <w:tc>
          <w:tcPr>
            <w:tcW w:type="dxa" w:w="1337"/>
          </w:tcPr>
          <w:p>
            <w:pPr>
              <w:spacing w:before="0" w:after="0" w:line="276" w:lineRule="auto"/>
              <w:jc w:val="left"/>
            </w:pPr>
            <w:r>
              <w:rPr>
                <w:rFonts w:ascii="Times New Roman" w:hAnsi="Times New Roman"/>
                <w:b w:val="0"/>
                <w:i w:val="0"/>
                <w:sz w:val="20"/>
              </w:rPr>
              <w:t>0.65 – 0.95</w:t>
            </w:r>
          </w:p>
        </w:tc>
        <w:tc>
          <w:tcPr>
            <w:tcW w:type="dxa" w:w="1337"/>
          </w:tcPr>
          <w:p>
            <w:pPr>
              <w:spacing w:before="0" w:after="0" w:line="276" w:lineRule="auto"/>
              <w:jc w:val="left"/>
            </w:pPr>
            <w:r>
              <w:rPr>
                <w:rFonts w:ascii="Times New Roman" w:hAnsi="Times New Roman"/>
                <w:b w:val="0"/>
                <w:i w:val="0"/>
                <w:sz w:val="20"/>
              </w:rPr>
              <w:t>Satisfies structural codes for monolithic loadbearing walls</w:t>
            </w:r>
          </w:p>
        </w:tc>
      </w:tr>
      <w:tr>
        <w:tc>
          <w:tcPr>
            <w:tcW w:type="dxa" w:w="1337"/>
          </w:tcPr>
          <w:p>
            <w:pPr>
              <w:spacing w:before="0" w:after="0" w:line="276" w:lineRule="auto"/>
              <w:jc w:val="left"/>
            </w:pPr>
            <w:r>
              <w:rPr>
                <w:rFonts w:ascii="Times New Roman" w:hAnsi="Times New Roman"/>
                <w:b w:val="0"/>
                <w:i w:val="0"/>
                <w:sz w:val="20"/>
              </w:rPr>
              <w:t>LC3-50 Concrete</w:t>
            </w:r>
          </w:p>
        </w:tc>
        <w:tc>
          <w:tcPr>
            <w:tcW w:type="dxa" w:w="1337"/>
          </w:tcPr>
          <w:p>
            <w:pPr>
              <w:spacing w:before="0" w:after="0" w:line="276" w:lineRule="auto"/>
              <w:jc w:val="left"/>
            </w:pPr>
            <w:r>
              <w:rPr>
                <w:rFonts w:ascii="Times New Roman" w:hAnsi="Times New Roman"/>
                <w:b w:val="0"/>
                <w:i w:val="0"/>
                <w:sz w:val="20"/>
              </w:rPr>
              <w:t>28.0 – 52.0</w:t>
            </w:r>
          </w:p>
        </w:tc>
        <w:tc>
          <w:tcPr>
            <w:tcW w:type="dxa" w:w="1337"/>
          </w:tcPr>
          <w:p>
            <w:pPr>
              <w:spacing w:before="0" w:after="0" w:line="276" w:lineRule="auto"/>
              <w:jc w:val="left"/>
            </w:pPr>
            <w:r>
              <w:rPr>
                <w:rFonts w:ascii="Times New Roman" w:hAnsi="Times New Roman"/>
                <w:b w:val="0"/>
                <w:i w:val="0"/>
                <w:sz w:val="20"/>
              </w:rPr>
              <w:t>3.5 – 6.2</w:t>
            </w:r>
          </w:p>
        </w:tc>
        <w:tc>
          <w:tcPr>
            <w:tcW w:type="dxa" w:w="1337"/>
          </w:tcPr>
          <w:p>
            <w:pPr>
              <w:spacing w:before="0" w:after="0" w:line="276" w:lineRule="auto"/>
              <w:jc w:val="left"/>
            </w:pPr>
            <w:r>
              <w:rPr>
                <w:rFonts w:ascii="Times New Roman" w:hAnsi="Times New Roman"/>
                <w:b w:val="0"/>
                <w:i w:val="0"/>
                <w:sz w:val="20"/>
              </w:rPr>
              <w:t>2,300 – 2,420</w:t>
            </w:r>
          </w:p>
        </w:tc>
        <w:tc>
          <w:tcPr>
            <w:tcW w:type="dxa" w:w="1337"/>
          </w:tcPr>
          <w:p>
            <w:pPr>
              <w:spacing w:before="0" w:after="0" w:line="276" w:lineRule="auto"/>
              <w:jc w:val="left"/>
            </w:pPr>
            <w:r>
              <w:rPr>
                <w:rFonts w:ascii="Times New Roman" w:hAnsi="Times New Roman"/>
                <w:b w:val="0"/>
                <w:i w:val="0"/>
                <w:sz w:val="20"/>
              </w:rPr>
              <w:t>4.0 – 6.5</w:t>
            </w:r>
          </w:p>
        </w:tc>
        <w:tc>
          <w:tcPr>
            <w:tcW w:type="dxa" w:w="1337"/>
          </w:tcPr>
          <w:p>
            <w:pPr>
              <w:spacing w:before="0" w:after="0" w:line="276" w:lineRule="auto"/>
              <w:jc w:val="left"/>
            </w:pPr>
            <w:r>
              <w:rPr>
                <w:rFonts w:ascii="Times New Roman" w:hAnsi="Times New Roman"/>
                <w:b w:val="0"/>
                <w:i w:val="0"/>
                <w:sz w:val="20"/>
              </w:rPr>
              <w:t>1.15 – 1.45</w:t>
            </w:r>
          </w:p>
        </w:tc>
        <w:tc>
          <w:tcPr>
            <w:tcW w:type="dxa" w:w="1337"/>
          </w:tcPr>
          <w:p>
            <w:pPr>
              <w:spacing w:before="0" w:after="0" w:line="276" w:lineRule="auto"/>
              <w:jc w:val="left"/>
            </w:pPr>
            <w:r>
              <w:rPr>
                <w:rFonts w:ascii="Times New Roman" w:hAnsi="Times New Roman"/>
                <w:b w:val="0"/>
                <w:i w:val="0"/>
                <w:sz w:val="20"/>
              </w:rPr>
              <w:t>Fully conforms to BS EN 206 C25/30 to C40/50 structural grades</w:t>
            </w:r>
          </w:p>
        </w:tc>
      </w:tr>
      <w:tr>
        <w:tc>
          <w:tcPr>
            <w:tcW w:type="dxa" w:w="1337"/>
          </w:tcPr>
          <w:p>
            <w:pPr>
              <w:spacing w:before="0" w:after="0" w:line="276" w:lineRule="auto"/>
              <w:jc w:val="left"/>
            </w:pPr>
            <w:r>
              <w:rPr>
                <w:rFonts w:ascii="Times New Roman" w:hAnsi="Times New Roman"/>
                <w:b w:val="0"/>
                <w:i w:val="0"/>
                <w:sz w:val="20"/>
              </w:rPr>
              <w:t>Agro-Waste Concrete (15–25% SCM)</w:t>
            </w:r>
          </w:p>
        </w:tc>
        <w:tc>
          <w:tcPr>
            <w:tcW w:type="dxa" w:w="1337"/>
          </w:tcPr>
          <w:p>
            <w:pPr>
              <w:spacing w:before="0" w:after="0" w:line="276" w:lineRule="auto"/>
              <w:jc w:val="left"/>
            </w:pPr>
            <w:r>
              <w:rPr>
                <w:rFonts w:ascii="Times New Roman" w:hAnsi="Times New Roman"/>
                <w:b w:val="0"/>
                <w:i w:val="0"/>
                <w:sz w:val="20"/>
              </w:rPr>
              <w:t>22.0 – 44.0</w:t>
            </w:r>
          </w:p>
        </w:tc>
        <w:tc>
          <w:tcPr>
            <w:tcW w:type="dxa" w:w="1337"/>
          </w:tcPr>
          <w:p>
            <w:pPr>
              <w:spacing w:before="0" w:after="0" w:line="276" w:lineRule="auto"/>
              <w:jc w:val="left"/>
            </w:pPr>
            <w:r>
              <w:rPr>
                <w:rFonts w:ascii="Times New Roman" w:hAnsi="Times New Roman"/>
                <w:b w:val="0"/>
                <w:i w:val="0"/>
                <w:sz w:val="20"/>
              </w:rPr>
              <w:t>3.0 – 5.4</w:t>
            </w:r>
          </w:p>
        </w:tc>
        <w:tc>
          <w:tcPr>
            <w:tcW w:type="dxa" w:w="1337"/>
          </w:tcPr>
          <w:p>
            <w:pPr>
              <w:spacing w:before="0" w:after="0" w:line="276" w:lineRule="auto"/>
              <w:jc w:val="left"/>
            </w:pPr>
            <w:r>
              <w:rPr>
                <w:rFonts w:ascii="Times New Roman" w:hAnsi="Times New Roman"/>
                <w:b w:val="0"/>
                <w:i w:val="0"/>
                <w:sz w:val="20"/>
              </w:rPr>
              <w:t>2,250 – 2,380</w:t>
            </w:r>
          </w:p>
        </w:tc>
        <w:tc>
          <w:tcPr>
            <w:tcW w:type="dxa" w:w="1337"/>
          </w:tcPr>
          <w:p>
            <w:pPr>
              <w:spacing w:before="0" w:after="0" w:line="276" w:lineRule="auto"/>
              <w:jc w:val="left"/>
            </w:pPr>
            <w:r>
              <w:rPr>
                <w:rFonts w:ascii="Times New Roman" w:hAnsi="Times New Roman"/>
                <w:b w:val="0"/>
                <w:i w:val="0"/>
                <w:sz w:val="20"/>
              </w:rPr>
              <w:t>4.5 – 7.5</w:t>
            </w:r>
          </w:p>
        </w:tc>
        <w:tc>
          <w:tcPr>
            <w:tcW w:type="dxa" w:w="1337"/>
          </w:tcPr>
          <w:p>
            <w:pPr>
              <w:spacing w:before="0" w:after="0" w:line="276" w:lineRule="auto"/>
              <w:jc w:val="left"/>
            </w:pPr>
            <w:r>
              <w:rPr>
                <w:rFonts w:ascii="Times New Roman" w:hAnsi="Times New Roman"/>
                <w:b w:val="0"/>
                <w:i w:val="0"/>
                <w:sz w:val="20"/>
              </w:rPr>
              <w:t>1.05 – 1.35</w:t>
            </w:r>
          </w:p>
        </w:tc>
        <w:tc>
          <w:tcPr>
            <w:tcW w:type="dxa" w:w="1337"/>
          </w:tcPr>
          <w:p>
            <w:pPr>
              <w:spacing w:before="0" w:after="0" w:line="276" w:lineRule="auto"/>
              <w:jc w:val="left"/>
            </w:pPr>
            <w:r>
              <w:rPr>
                <w:rFonts w:ascii="Times New Roman" w:hAnsi="Times New Roman"/>
                <w:b w:val="0"/>
                <w:i w:val="0"/>
                <w:sz w:val="20"/>
              </w:rPr>
              <w:t>Conforms to BS EN 206 C20/25 to C35/45 structural reinforced concrete</w:t>
            </w:r>
          </w:p>
        </w:tc>
      </w:tr>
      <w:tr>
        <w:tc>
          <w:tcPr>
            <w:tcW w:type="dxa" w:w="1337"/>
          </w:tcPr>
          <w:p>
            <w:pPr>
              <w:spacing w:before="0" w:after="0" w:line="276" w:lineRule="auto"/>
              <w:jc w:val="left"/>
            </w:pPr>
            <w:r>
              <w:rPr>
                <w:rFonts w:ascii="Times New Roman" w:hAnsi="Times New Roman"/>
                <w:b w:val="0"/>
                <w:i w:val="0"/>
                <w:sz w:val="20"/>
              </w:rPr>
              <w:t>Structural Bamboo (Clear Culm)</w:t>
            </w:r>
          </w:p>
        </w:tc>
        <w:tc>
          <w:tcPr>
            <w:tcW w:type="dxa" w:w="1337"/>
          </w:tcPr>
          <w:p>
            <w:pPr>
              <w:spacing w:before="0" w:after="0" w:line="276" w:lineRule="auto"/>
              <w:jc w:val="left"/>
            </w:pPr>
            <w:r>
              <w:rPr>
                <w:rFonts w:ascii="Times New Roman" w:hAnsi="Times New Roman"/>
                <w:b w:val="0"/>
                <w:i w:val="0"/>
                <w:sz w:val="20"/>
              </w:rPr>
              <w:t>45.0 – 78.0 (Axial)</w:t>
            </w:r>
          </w:p>
        </w:tc>
        <w:tc>
          <w:tcPr>
            <w:tcW w:type="dxa" w:w="1337"/>
          </w:tcPr>
          <w:p>
            <w:pPr>
              <w:spacing w:before="0" w:after="0" w:line="276" w:lineRule="auto"/>
              <w:jc w:val="left"/>
            </w:pPr>
            <w:r>
              <w:rPr>
                <w:rFonts w:ascii="Times New Roman" w:hAnsi="Times New Roman"/>
                <w:b w:val="0"/>
                <w:i w:val="0"/>
                <w:sz w:val="20"/>
              </w:rPr>
              <w:t>120.0 – 240.0 (Tension)</w:t>
            </w:r>
          </w:p>
        </w:tc>
        <w:tc>
          <w:tcPr>
            <w:tcW w:type="dxa" w:w="1337"/>
          </w:tcPr>
          <w:p>
            <w:pPr>
              <w:spacing w:before="0" w:after="0" w:line="276" w:lineRule="auto"/>
              <w:jc w:val="left"/>
            </w:pPr>
            <w:r>
              <w:rPr>
                <w:rFonts w:ascii="Times New Roman" w:hAnsi="Times New Roman"/>
                <w:b w:val="0"/>
                <w:i w:val="0"/>
                <w:sz w:val="20"/>
              </w:rPr>
              <w:t>550 – 850</w:t>
            </w:r>
          </w:p>
        </w:tc>
        <w:tc>
          <w:tcPr>
            <w:tcW w:type="dxa" w:w="1337"/>
          </w:tcPr>
          <w:p>
            <w:pPr>
              <w:spacing w:before="0" w:after="0" w:line="276" w:lineRule="auto"/>
              <w:jc w:val="left"/>
            </w:pPr>
            <w:r>
              <w:rPr>
                <w:rFonts w:ascii="Times New Roman" w:hAnsi="Times New Roman"/>
                <w:b w:val="0"/>
                <w:i w:val="0"/>
                <w:sz w:val="20"/>
              </w:rPr>
              <w:t>8.0 – 14.0</w:t>
            </w:r>
          </w:p>
        </w:tc>
        <w:tc>
          <w:tcPr>
            <w:tcW w:type="dxa" w:w="1337"/>
          </w:tcPr>
          <w:p>
            <w:pPr>
              <w:spacing w:before="0" w:after="0" w:line="276" w:lineRule="auto"/>
              <w:jc w:val="left"/>
            </w:pPr>
            <w:r>
              <w:rPr>
                <w:rFonts w:ascii="Times New Roman" w:hAnsi="Times New Roman"/>
                <w:b w:val="0"/>
                <w:i w:val="0"/>
                <w:sz w:val="20"/>
              </w:rPr>
              <w:t>0.15 – 0.25</w:t>
            </w:r>
          </w:p>
        </w:tc>
        <w:tc>
          <w:tcPr>
            <w:tcW w:type="dxa" w:w="1337"/>
          </w:tcPr>
          <w:p>
            <w:pPr>
              <w:spacing w:before="0" w:after="0" w:line="276" w:lineRule="auto"/>
              <w:jc w:val="left"/>
            </w:pPr>
            <w:r>
              <w:rPr>
                <w:rFonts w:ascii="Times New Roman" w:hAnsi="Times New Roman"/>
                <w:b w:val="0"/>
                <w:i w:val="0"/>
                <w:sz w:val="20"/>
              </w:rPr>
              <w:t>Exceeds mild steel strength-to-weight ratio; requires borer preservation</w:t>
            </w:r>
          </w:p>
        </w:tc>
      </w:tr>
      <w:tr>
        <w:tc>
          <w:tcPr>
            <w:tcW w:type="dxa" w:w="1337"/>
          </w:tcPr>
          <w:p>
            <w:pPr>
              <w:spacing w:before="0" w:after="0" w:line="276" w:lineRule="auto"/>
              <w:jc w:val="left"/>
            </w:pPr>
            <w:r>
              <w:rPr>
                <w:rFonts w:ascii="Times New Roman" w:hAnsi="Times New Roman"/>
                <w:b w:val="0"/>
                <w:i w:val="0"/>
                <w:sz w:val="20"/>
              </w:rPr>
              <w:t>Recycled Aggregate Concrete (RCA)</w:t>
            </w:r>
          </w:p>
        </w:tc>
        <w:tc>
          <w:tcPr>
            <w:tcW w:type="dxa" w:w="1337"/>
          </w:tcPr>
          <w:p>
            <w:pPr>
              <w:spacing w:before="0" w:after="0" w:line="276" w:lineRule="auto"/>
              <w:jc w:val="left"/>
            </w:pPr>
            <w:r>
              <w:rPr>
                <w:rFonts w:ascii="Times New Roman" w:hAnsi="Times New Roman"/>
                <w:b w:val="0"/>
                <w:i w:val="0"/>
                <w:sz w:val="20"/>
              </w:rPr>
              <w:t>20.0 – 36.0</w:t>
            </w:r>
          </w:p>
        </w:tc>
        <w:tc>
          <w:tcPr>
            <w:tcW w:type="dxa" w:w="1337"/>
          </w:tcPr>
          <w:p>
            <w:pPr>
              <w:spacing w:before="0" w:after="0" w:line="276" w:lineRule="auto"/>
              <w:jc w:val="left"/>
            </w:pPr>
            <w:r>
              <w:rPr>
                <w:rFonts w:ascii="Times New Roman" w:hAnsi="Times New Roman"/>
                <w:b w:val="0"/>
                <w:i w:val="0"/>
                <w:sz w:val="20"/>
              </w:rPr>
              <w:t>2.6 – 4.2</w:t>
            </w:r>
          </w:p>
        </w:tc>
        <w:tc>
          <w:tcPr>
            <w:tcW w:type="dxa" w:w="1337"/>
          </w:tcPr>
          <w:p>
            <w:pPr>
              <w:spacing w:before="0" w:after="0" w:line="276" w:lineRule="auto"/>
              <w:jc w:val="left"/>
            </w:pPr>
            <w:r>
              <w:rPr>
                <w:rFonts w:ascii="Times New Roman" w:hAnsi="Times New Roman"/>
                <w:b w:val="0"/>
                <w:i w:val="0"/>
                <w:sz w:val="20"/>
              </w:rPr>
              <w:t>2,150 – 2,320</w:t>
            </w:r>
          </w:p>
        </w:tc>
        <w:tc>
          <w:tcPr>
            <w:tcW w:type="dxa" w:w="1337"/>
          </w:tcPr>
          <w:p>
            <w:pPr>
              <w:spacing w:before="0" w:after="0" w:line="276" w:lineRule="auto"/>
              <w:jc w:val="left"/>
            </w:pPr>
            <w:r>
              <w:rPr>
                <w:rFonts w:ascii="Times New Roman" w:hAnsi="Times New Roman"/>
                <w:b w:val="0"/>
                <w:i w:val="0"/>
                <w:sz w:val="20"/>
              </w:rPr>
              <w:t>6.0 – 9.5</w:t>
            </w:r>
          </w:p>
        </w:tc>
        <w:tc>
          <w:tcPr>
            <w:tcW w:type="dxa" w:w="1337"/>
          </w:tcPr>
          <w:p>
            <w:pPr>
              <w:spacing w:before="0" w:after="0" w:line="276" w:lineRule="auto"/>
              <w:jc w:val="left"/>
            </w:pPr>
            <w:r>
              <w:rPr>
                <w:rFonts w:ascii="Times New Roman" w:hAnsi="Times New Roman"/>
                <w:b w:val="0"/>
                <w:i w:val="0"/>
                <w:sz w:val="20"/>
              </w:rPr>
              <w:t>1.10 – 1.35</w:t>
            </w:r>
          </w:p>
        </w:tc>
        <w:tc>
          <w:tcPr>
            <w:tcW w:type="dxa" w:w="1337"/>
          </w:tcPr>
          <w:p>
            <w:pPr>
              <w:spacing w:before="0" w:after="0" w:line="276" w:lineRule="auto"/>
              <w:jc w:val="left"/>
            </w:pPr>
            <w:r>
              <w:rPr>
                <w:rFonts w:ascii="Times New Roman" w:hAnsi="Times New Roman"/>
                <w:b w:val="0"/>
                <w:i w:val="0"/>
                <w:sz w:val="20"/>
              </w:rPr>
              <w:t>Satisfies structural grade C20/25; requires water-reducing admixture</w:t>
            </w:r>
          </w:p>
        </w:tc>
      </w:tr>
      <w:tr>
        <w:tc>
          <w:tcPr>
            <w:tcW w:type="dxa" w:w="1337"/>
          </w:tcPr>
          <w:p>
            <w:pPr>
              <w:spacing w:before="0" w:after="0" w:line="276" w:lineRule="auto"/>
              <w:jc w:val="left"/>
            </w:pPr>
            <w:r>
              <w:rPr>
                <w:rFonts w:ascii="Times New Roman" w:hAnsi="Times New Roman"/>
                <w:b w:val="0"/>
                <w:i w:val="0"/>
                <w:sz w:val="20"/>
              </w:rPr>
              <w:t>Artisanal Sandcrete Blocks (Market)</w:t>
            </w:r>
          </w:p>
        </w:tc>
        <w:tc>
          <w:tcPr>
            <w:tcW w:type="dxa" w:w="1337"/>
          </w:tcPr>
          <w:p>
            <w:pPr>
              <w:spacing w:before="0" w:after="0" w:line="276" w:lineRule="auto"/>
              <w:jc w:val="left"/>
            </w:pPr>
            <w:r>
              <w:rPr>
                <w:rFonts w:ascii="Times New Roman" w:hAnsi="Times New Roman"/>
                <w:b w:val="0"/>
                <w:i w:val="0"/>
                <w:sz w:val="20"/>
              </w:rPr>
              <w:t>1.0 – 1.8</w:t>
            </w:r>
          </w:p>
        </w:tc>
        <w:tc>
          <w:tcPr>
            <w:tcW w:type="dxa" w:w="1337"/>
          </w:tcPr>
          <w:p>
            <w:pPr>
              <w:spacing w:before="0" w:after="0" w:line="276" w:lineRule="auto"/>
              <w:jc w:val="left"/>
            </w:pPr>
            <w:r>
              <w:rPr>
                <w:rFonts w:ascii="Times New Roman" w:hAnsi="Times New Roman"/>
                <w:b w:val="0"/>
                <w:i w:val="0"/>
                <w:sz w:val="20"/>
              </w:rPr>
              <w:t>0.1 – 0.3</w:t>
            </w:r>
          </w:p>
        </w:tc>
        <w:tc>
          <w:tcPr>
            <w:tcW w:type="dxa" w:w="1337"/>
          </w:tcPr>
          <w:p>
            <w:pPr>
              <w:spacing w:before="0" w:after="0" w:line="276" w:lineRule="auto"/>
              <w:jc w:val="left"/>
            </w:pPr>
            <w:r>
              <w:rPr>
                <w:rFonts w:ascii="Times New Roman" w:hAnsi="Times New Roman"/>
                <w:b w:val="0"/>
                <w:i w:val="0"/>
                <w:sz w:val="20"/>
              </w:rPr>
              <w:t>1,550 – 1,850</w:t>
            </w:r>
          </w:p>
        </w:tc>
        <w:tc>
          <w:tcPr>
            <w:tcW w:type="dxa" w:w="1337"/>
          </w:tcPr>
          <w:p>
            <w:pPr>
              <w:spacing w:before="0" w:after="0" w:line="276" w:lineRule="auto"/>
              <w:jc w:val="left"/>
            </w:pPr>
            <w:r>
              <w:rPr>
                <w:rFonts w:ascii="Times New Roman" w:hAnsi="Times New Roman"/>
                <w:b w:val="0"/>
                <w:i w:val="0"/>
                <w:sz w:val="20"/>
              </w:rPr>
              <w:t>15.0 – 24.0</w:t>
            </w:r>
          </w:p>
        </w:tc>
        <w:tc>
          <w:tcPr>
            <w:tcW w:type="dxa" w:w="1337"/>
          </w:tcPr>
          <w:p>
            <w:pPr>
              <w:spacing w:before="0" w:after="0" w:line="276" w:lineRule="auto"/>
              <w:jc w:val="left"/>
            </w:pPr>
            <w:r>
              <w:rPr>
                <w:rFonts w:ascii="Times New Roman" w:hAnsi="Times New Roman"/>
                <w:b w:val="0"/>
                <w:i w:val="0"/>
                <w:sz w:val="20"/>
              </w:rPr>
              <w:t>1.30 – 1.75</w:t>
            </w:r>
          </w:p>
        </w:tc>
        <w:tc>
          <w:tcPr>
            <w:tcW w:type="dxa" w:w="1337"/>
          </w:tcPr>
          <w:p>
            <w:pPr>
              <w:spacing w:before="0" w:after="0" w:line="276" w:lineRule="auto"/>
              <w:jc w:val="left"/>
            </w:pPr>
            <w:r>
              <w:rPr>
                <w:rFonts w:ascii="Times New Roman" w:hAnsi="Times New Roman"/>
                <w:b w:val="0"/>
                <w:i w:val="0"/>
                <w:sz w:val="20"/>
              </w:rPr>
              <w:t>Systematically FAILS Nigerian NIS 87 and Ghanaian GS 297 standards</w:t>
            </w:r>
          </w:p>
        </w:tc>
      </w:tr>
      <w:tr>
        <w:tc>
          <w:tcPr>
            <w:tcW w:type="dxa" w:w="1337"/>
          </w:tcPr>
          <w:p>
            <w:pPr>
              <w:spacing w:before="0" w:after="0" w:line="276" w:lineRule="auto"/>
              <w:jc w:val="left"/>
            </w:pPr>
            <w:r>
              <w:rPr>
                <w:rFonts w:ascii="Times New Roman" w:hAnsi="Times New Roman"/>
                <w:b w:val="0"/>
                <w:i w:val="0"/>
                <w:sz w:val="20"/>
              </w:rPr>
              <w:t>Conventional OPC Concrete Baseline</w:t>
            </w:r>
          </w:p>
        </w:tc>
        <w:tc>
          <w:tcPr>
            <w:tcW w:type="dxa" w:w="1337"/>
          </w:tcPr>
          <w:p>
            <w:pPr>
              <w:spacing w:before="0" w:after="0" w:line="276" w:lineRule="auto"/>
              <w:jc w:val="left"/>
            </w:pPr>
            <w:r>
              <w:rPr>
                <w:rFonts w:ascii="Times New Roman" w:hAnsi="Times New Roman"/>
                <w:b w:val="0"/>
                <w:i w:val="0"/>
                <w:sz w:val="20"/>
              </w:rPr>
              <w:t>25.0 – 32.0</w:t>
            </w:r>
          </w:p>
        </w:tc>
        <w:tc>
          <w:tcPr>
            <w:tcW w:type="dxa" w:w="1337"/>
          </w:tcPr>
          <w:p>
            <w:pPr>
              <w:spacing w:before="0" w:after="0" w:line="276" w:lineRule="auto"/>
              <w:jc w:val="left"/>
            </w:pPr>
            <w:r>
              <w:rPr>
                <w:rFonts w:ascii="Times New Roman" w:hAnsi="Times New Roman"/>
                <w:b w:val="0"/>
                <w:i w:val="0"/>
                <w:sz w:val="20"/>
              </w:rPr>
              <w:t>3.2 – 4.5</w:t>
            </w:r>
          </w:p>
        </w:tc>
        <w:tc>
          <w:tcPr>
            <w:tcW w:type="dxa" w:w="1337"/>
          </w:tcPr>
          <w:p>
            <w:pPr>
              <w:spacing w:before="0" w:after="0" w:line="276" w:lineRule="auto"/>
              <w:jc w:val="left"/>
            </w:pPr>
            <w:r>
              <w:rPr>
                <w:rFonts w:ascii="Times New Roman" w:hAnsi="Times New Roman"/>
                <w:b w:val="0"/>
                <w:i w:val="0"/>
                <w:sz w:val="20"/>
              </w:rPr>
              <w:t>2,350 – 2,450</w:t>
            </w:r>
          </w:p>
        </w:tc>
        <w:tc>
          <w:tcPr>
            <w:tcW w:type="dxa" w:w="1337"/>
          </w:tcPr>
          <w:p>
            <w:pPr>
              <w:spacing w:before="0" w:after="0" w:line="276" w:lineRule="auto"/>
              <w:jc w:val="left"/>
            </w:pPr>
            <w:r>
              <w:rPr>
                <w:rFonts w:ascii="Times New Roman" w:hAnsi="Times New Roman"/>
                <w:b w:val="0"/>
                <w:i w:val="0"/>
                <w:sz w:val="20"/>
              </w:rPr>
              <w:t>5.0 – 7.0</w:t>
            </w:r>
          </w:p>
        </w:tc>
        <w:tc>
          <w:tcPr>
            <w:tcW w:type="dxa" w:w="1337"/>
          </w:tcPr>
          <w:p>
            <w:pPr>
              <w:spacing w:before="0" w:after="0" w:line="276" w:lineRule="auto"/>
              <w:jc w:val="left"/>
            </w:pPr>
            <w:r>
              <w:rPr>
                <w:rFonts w:ascii="Times New Roman" w:hAnsi="Times New Roman"/>
                <w:b w:val="0"/>
                <w:i w:val="0"/>
                <w:sz w:val="20"/>
              </w:rPr>
              <w:t>1.40 – 1.80</w:t>
            </w:r>
          </w:p>
        </w:tc>
        <w:tc>
          <w:tcPr>
            <w:tcW w:type="dxa" w:w="1337"/>
          </w:tcPr>
          <w:p>
            <w:pPr>
              <w:spacing w:before="0" w:after="0" w:line="276" w:lineRule="auto"/>
              <w:jc w:val="left"/>
            </w:pPr>
            <w:r>
              <w:rPr>
                <w:rFonts w:ascii="Times New Roman" w:hAnsi="Times New Roman"/>
                <w:b w:val="0"/>
                <w:i w:val="0"/>
                <w:sz w:val="20"/>
              </w:rPr>
              <w:t>Continental engineering baseline standard (BS EN 206 C20/25)</w:t>
            </w:r>
          </w:p>
        </w:tc>
      </w:tr>
    </w:tbl>
    <w:p>
      <w:pPr>
        <w:spacing w:before="80" w:after="240" w:line="276" w:lineRule="auto"/>
        <w:jc w:val="left"/>
      </w:pPr>
      <w:r>
        <w:rPr>
          <w:rFonts w:ascii="Times New Roman" w:hAnsi="Times New Roman"/>
          <w:b w:val="0"/>
          <w:i w:val="0"/>
          <w:sz w:val="20"/>
        </w:rPr>
        <w:t xml:space="preserve">Note. </w:t>
      </w:r>
      <w:r>
        <w:rPr>
          <w:rFonts w:ascii="Times New Roman" w:hAnsi="Times New Roman"/>
          <w:b w:val="0"/>
          <w:i w:val="0"/>
          <w:sz w:val="20"/>
        </w:rPr>
        <w:t>Data synthesized from n = 2,822 empirical laboratory trials. Benchmarked against BS EN, NIS, GS, and ARS standards.</w:t>
      </w:r>
    </w:p>
    <w:p>
      <w:pPr>
        <w:spacing w:before="240" w:after="80" w:line="480" w:lineRule="auto"/>
        <w:jc w:val="left"/>
      </w:pPr>
      <w:r>
        <w:rPr>
          <w:rFonts w:ascii="Times New Roman" w:hAnsi="Times New Roman"/>
          <w:b/>
          <w:i w:val="0"/>
          <w:sz w:val="24"/>
        </w:rPr>
        <w:t>3.4 Deep-Dive Synthesis: Low-Carbon Binders &amp; Supplementary Cementitious Materials</w:t>
      </w:r>
    </w:p>
    <w:p>
      <w:pPr>
        <w:spacing w:before="0" w:after="0" w:line="480" w:lineRule="auto"/>
        <w:ind w:firstLine="720"/>
        <w:jc w:val="left"/>
      </w:pPr>
      <w:r>
        <w:rPr>
          <w:rFonts w:ascii="Times New Roman" w:hAnsi="Times New Roman"/>
          <w:b w:val="0"/>
          <w:i w:val="0"/>
          <w:sz w:val="24"/>
        </w:rPr>
        <w:t>The 995 studies investigating low-carbon binders represent the technical vanguard of African industrial decarbonization. Research primarily branches into two complementary paradigms: Limestone Calcined Clay Cement (LC3) and agricultural by-product pozzolanic ashes.</w:t>
      </w:r>
    </w:p>
    <w:p>
      <w:pPr>
        <w:spacing w:before="160" w:after="80" w:line="480" w:lineRule="auto"/>
        <w:jc w:val="left"/>
      </w:pPr>
      <w:r>
        <w:rPr>
          <w:rFonts w:ascii="Times New Roman" w:hAnsi="Times New Roman"/>
          <w:b/>
          <w:i/>
          <w:sz w:val="24"/>
        </w:rPr>
        <w:t>Limestone Calcined Clay Cement (LC3)</w:t>
      </w:r>
    </w:p>
    <w:p>
      <w:pPr>
        <w:spacing w:before="0" w:after="0" w:line="480" w:lineRule="auto"/>
        <w:ind w:firstLine="720"/>
        <w:jc w:val="left"/>
      </w:pPr>
      <w:r>
        <w:rPr>
          <w:rFonts w:ascii="Times New Roman" w:hAnsi="Times New Roman"/>
          <w:b w:val="0"/>
          <w:i w:val="0"/>
          <w:sz w:val="24"/>
        </w:rPr>
        <w:t>Pioneered globally by Scrivener et al. (2018, 2019), LC3 technology achieves clinker factor reductions of up to 50% by substituting clinker with a blend of calcined kaolinitic clay (typically 30%), uncalcined limestone powder (15%), and gypsum (5%). Empirical trials across African jurisdictions—including Burkina Faso, Egypt, South Africa, and Nigeria—confirm that low-purity kaolinitic clays containing as little as 40% to 50% kaolinite, which are unsuitable for ceramic or paper manufacturing, achieve optimal reactivity when calcined at moderate temperatures between 700°C and 800°C (Nshimiyimana et al., 2025; Shamseldein et al., 2025).</w:t>
      </w:r>
    </w:p>
    <w:p>
      <w:pPr>
        <w:spacing w:before="0" w:after="0" w:line="480" w:lineRule="auto"/>
        <w:ind w:firstLine="720"/>
        <w:jc w:val="left"/>
      </w:pPr>
      <w:r>
        <w:rPr>
          <w:rFonts w:ascii="Times New Roman" w:hAnsi="Times New Roman"/>
          <w:b w:val="0"/>
          <w:i w:val="0"/>
          <w:sz w:val="24"/>
        </w:rPr>
        <w:t>The synergistic hydration of LC3 involves the reaction of metakaolin with calcium hydroxide ($</w:t>
        <w:tab/>
        <w:t>ext{Ca(OH)}_2$) released during clinker hydration, forming stratlingite and C-S-H. Crucially, the presence of limestone provides calcium carbonate ($</w:t>
        <w:tab/>
        <w:t>ext{CaCO}_3$), which reacts with alumina phases to precipitate mono-carboaluminate and hemi-carboaluminate, preventing the conversion of ettringite to monosulfate. This chemical mechanism dramatically refines the capillary pore structure of the hardened paste, resulting in concrete compressive strengths of 28.0 to 52.0 MPa at 28 days (Table 3), matching or exceeding 100% Ordinary Portland Cement concrete (BS EN 206 C25/30 to C40/50). Furthermore, the refined pore network provides outstanding durability, reducing rapid chloride permeability by 60% to 80% and mitigating sulfate attack, making LC3 extraordinarily well suited for aggressive coastal marine environments across African ports and coastal cities.</w:t>
      </w:r>
    </w:p>
    <w:p>
      <w:pPr>
        <w:spacing w:before="160" w:after="80" w:line="480" w:lineRule="auto"/>
        <w:jc w:val="left"/>
      </w:pPr>
      <w:r>
        <w:rPr>
          <w:rFonts w:ascii="Times New Roman" w:hAnsi="Times New Roman"/>
          <w:b/>
          <w:i/>
          <w:sz w:val="24"/>
        </w:rPr>
        <w:t>Agricultural Waste Pozzolans</w:t>
      </w:r>
    </w:p>
    <w:p>
      <w:pPr>
        <w:spacing w:before="0" w:after="0" w:line="480" w:lineRule="auto"/>
        <w:ind w:firstLine="720"/>
        <w:jc w:val="left"/>
      </w:pPr>
      <w:r>
        <w:rPr>
          <w:rFonts w:ascii="Times New Roman" w:hAnsi="Times New Roman"/>
          <w:b w:val="0"/>
          <w:i w:val="0"/>
          <w:sz w:val="24"/>
        </w:rPr>
        <w:t>Sub-Saharan Africa generates tens of millions of tonnes of agricultural processing residues annually, the vast majority of which are burned in open fields or dumped into landfills. Empirical investigations across Nigeria, Ghana, Kenya, and Côte d'Ivoire demonstrate that controlled thermal processing of agricultural wastes yields highly reactive supplementary cementitious materials:</w:t>
      </w:r>
    </w:p>
    <w:p>
      <w:pPr>
        <w:spacing w:before="0" w:after="0" w:line="480" w:lineRule="auto"/>
        <w:ind w:firstLine="720"/>
        <w:jc w:val="left"/>
      </w:pPr>
      <w:r>
        <w:rPr>
          <w:rFonts w:ascii="Times New Roman" w:hAnsi="Times New Roman"/>
          <w:b w:val="0"/>
          <w:i w:val="0"/>
          <w:sz w:val="24"/>
        </w:rPr>
        <w:t>1. Rice Husk Ash (RHA): When incinerated under controlled conditions between 600°C and 700°C for 2 hours, RHA produces an amorphous silica ($</w:t>
        <w:tab/>
        <w:t>ext{SiO}_2$) content exceeding 85% to 92% with a high specific surface area. Substituting 10% to 20% of OPC with RHA produces concretes achieving 28-day compressive strengths of 26.0 to 44.0 MPa, while accelerating early hydration and densifying the interfacial transition zone.</w:t>
      </w:r>
    </w:p>
    <w:p>
      <w:pPr>
        <w:spacing w:before="0" w:after="0" w:line="480" w:lineRule="auto"/>
        <w:ind w:firstLine="720"/>
        <w:jc w:val="left"/>
      </w:pPr>
      <w:r>
        <w:rPr>
          <w:rFonts w:ascii="Times New Roman" w:hAnsi="Times New Roman"/>
          <w:b w:val="0"/>
          <w:i w:val="0"/>
          <w:sz w:val="24"/>
        </w:rPr>
        <w:t>2. Sugarcane Bagasse Ash (SCBA): Generated by cogeneration boilers in sugar processing mills in Southern and East Africa (Kenya, South Africa, Mauritius, Zimbabwe), SCBA contains 65% to 78% silica. At 10% to 15% replacement, SCBA concrete achieves structural strengths comparable to standard C25 concrete, while reducing drying shrinkage (Thomas et al., 2018; Alaneme et al., 2025).</w:t>
      </w:r>
    </w:p>
    <w:p>
      <w:pPr>
        <w:spacing w:before="0" w:after="0" w:line="480" w:lineRule="auto"/>
        <w:ind w:firstLine="720"/>
        <w:jc w:val="left"/>
      </w:pPr>
      <w:r>
        <w:rPr>
          <w:rFonts w:ascii="Times New Roman" w:hAnsi="Times New Roman"/>
          <w:b w:val="0"/>
          <w:i w:val="0"/>
          <w:sz w:val="24"/>
        </w:rPr>
        <w:t>3. Palm Oil Fuel Ash (POFA) and Cassava Peel Ash (CPA): Extensively investigated across West Africa's agricultural belts, POFA and CPA achieve effective pozzolanic activity indices (&gt;75% per ASTM C618) at 10% to 15% replacement levels, offering viable localized pathways to reduce concrete cost and embodied carbon (Ogunro et al., 2025; Aprianti et al., 2015).</w:t>
      </w:r>
    </w:p>
    <w:p>
      <w:pPr>
        <w:spacing w:before="160" w:after="80" w:line="480" w:lineRule="auto"/>
        <w:jc w:val="left"/>
      </w:pPr>
      <w:r>
        <w:rPr>
          <w:rFonts w:ascii="Times New Roman" w:hAnsi="Times New Roman"/>
          <w:b/>
          <w:i/>
          <w:sz w:val="24"/>
        </w:rPr>
        <w:t>Alkali-Activated Geopolymer Binders</w:t>
      </w:r>
    </w:p>
    <w:p>
      <w:pPr>
        <w:spacing w:before="0" w:after="0" w:line="480" w:lineRule="auto"/>
        <w:ind w:firstLine="720"/>
        <w:jc w:val="left"/>
      </w:pPr>
      <w:r>
        <w:rPr>
          <w:rFonts w:ascii="Times New Roman" w:hAnsi="Times New Roman"/>
          <w:b w:val="0"/>
          <w:i w:val="0"/>
          <w:sz w:val="24"/>
        </w:rPr>
        <w:t>Alkali-activated materials and geopolymers synthesized from industrial blast furnace slag, coal fly ash (extensively available in South Africa), and metakaolin demonstrate exceptional compressive strengths (30.0–65.0 MPa) and rapid strength development without requiring Portland clinker. While geopolymers eliminate clinker-associated emissions entirely, their continental adoption remains constrained by the cost, corrosive handling hazards, and localized availability of concentrated chemical activators (sodium hydroxide and sodium silicate solutions), directing primary African application toward precast manufacturing facilities rather than in-situ site casting (Davidovits, 2020; Provis &amp; van Deventer, 2014; Ikotun et al., 2025).</w:t>
      </w:r>
    </w:p>
    <w:p>
      <w:pPr>
        <w:spacing w:before="240" w:after="80" w:line="480" w:lineRule="auto"/>
        <w:jc w:val="left"/>
      </w:pPr>
      <w:r>
        <w:rPr>
          <w:rFonts w:ascii="Times New Roman" w:hAnsi="Times New Roman"/>
          <w:b/>
          <w:i w:val="0"/>
          <w:sz w:val="24"/>
        </w:rPr>
        <w:t>3.5 Deep-Dive Synthesis: Recycled Aggregates &amp; Industrial Solid Waste Composites</w:t>
      </w:r>
    </w:p>
    <w:p>
      <w:pPr>
        <w:spacing w:before="0" w:after="0" w:line="480" w:lineRule="auto"/>
        <w:ind w:firstLine="720"/>
        <w:jc w:val="left"/>
      </w:pPr>
      <w:r>
        <w:rPr>
          <w:rFonts w:ascii="Times New Roman" w:hAnsi="Times New Roman"/>
          <w:b w:val="0"/>
          <w:i w:val="0"/>
          <w:sz w:val="24"/>
        </w:rPr>
        <w:t>With accelerating urban renewal and infrastructure expansion, African metropolises are generating millions of tonnes of construction and demolition waste (CDW) alongside staggering volumes of municipal solid waste, which are routinely dumped in open landfills or waterways. Across 444 included studies, researchers have characterized the structural viability of integrating recycled materials into concrete and masonry.</w:t>
      </w:r>
    </w:p>
    <w:p>
      <w:pPr>
        <w:spacing w:before="160" w:after="80" w:line="480" w:lineRule="auto"/>
        <w:jc w:val="left"/>
      </w:pPr>
      <w:r>
        <w:rPr>
          <w:rFonts w:ascii="Times New Roman" w:hAnsi="Times New Roman"/>
          <w:b/>
          <w:i/>
          <w:sz w:val="24"/>
        </w:rPr>
        <w:t>Recycled Concrete Aggregate (RCA)</w:t>
      </w:r>
    </w:p>
    <w:p>
      <w:pPr>
        <w:spacing w:before="0" w:after="0" w:line="480" w:lineRule="auto"/>
        <w:ind w:firstLine="720"/>
        <w:jc w:val="left"/>
      </w:pPr>
      <w:r>
        <w:rPr>
          <w:rFonts w:ascii="Times New Roman" w:hAnsi="Times New Roman"/>
          <w:b w:val="0"/>
          <w:i w:val="0"/>
          <w:sz w:val="24"/>
        </w:rPr>
        <w:t>Empirical trials across South Africa, Nigeria, and Egypt establish that crushed concrete demolition rubble can successfully replace virgin granite or basalt coarse aggregates. At replacement levels between 20% and 40%, RCA concretes achieve compressive strengths of 20.0 to 36.0 MPa, fully satisfying structural grade C20/25 requirements. However, coarse RCA particles retain porous residual adhered cement mortar, which increases aggregate water absorption (4.0–8.5% for RCA vs. 0.5–1.5% for natural gravel) and weakens the interfacial transition zone (ITZ). To mitigate this workability loss and strength reduction, empirical studies validate the deployment of multi-stage surface treatment protocols—such as pre-soaking RCA in pozzolanic silica fume slurries or diatomaceous earth suspensions (Dicha et al., 2025; Prasittisopin &amp; Trejo, 2025)—which densify the porous adhered mortar and restore mechanical performance to near-virgin concrete baselines.</w:t>
      </w:r>
    </w:p>
    <w:p>
      <w:pPr>
        <w:spacing w:before="160" w:after="80" w:line="480" w:lineRule="auto"/>
        <w:jc w:val="left"/>
      </w:pPr>
      <w:r>
        <w:rPr>
          <w:rFonts w:ascii="Times New Roman" w:hAnsi="Times New Roman"/>
          <w:b/>
          <w:i/>
          <w:sz w:val="24"/>
        </w:rPr>
        <w:t>Post-Consumer Plastic Wastes in Masonry</w:t>
      </w:r>
    </w:p>
    <w:p>
      <w:pPr>
        <w:spacing w:before="0" w:after="0" w:line="480" w:lineRule="auto"/>
        <w:ind w:firstLine="720"/>
        <w:jc w:val="left"/>
      </w:pPr>
      <w:r>
        <w:rPr>
          <w:rFonts w:ascii="Times New Roman" w:hAnsi="Times New Roman"/>
          <w:b w:val="0"/>
          <w:i w:val="0"/>
          <w:sz w:val="24"/>
        </w:rPr>
        <w:t>The accumulation of post-consumer polyethylene terephthalate (PET) beverage bottles, high-density polyethylene (HDPE) bags, and polypropylene containers represents a major environmental hazard in African cities. Empirical research has demonstrated two primary structural recycling pathways:</w:t>
      </w:r>
    </w:p>
    <w:p>
      <w:pPr>
        <w:spacing w:before="0" w:after="0" w:line="480" w:lineRule="auto"/>
        <w:ind w:firstLine="720"/>
        <w:jc w:val="left"/>
      </w:pPr>
      <w:r>
        <w:rPr>
          <w:rFonts w:ascii="Times New Roman" w:hAnsi="Times New Roman"/>
          <w:b w:val="0"/>
          <w:i w:val="0"/>
          <w:sz w:val="24"/>
        </w:rPr>
        <w:t>1. Sand-Plastic Composite Pavers: Shredded post-consumer plastics are thermally melted at 180°C–220°C and blended with river sand or quarry dust at ratios of 1:2 to 1:4 (plastic to sand) without any cement or water. Upon hydraulic compression, these composite paving blocks achieve compressive strengths of 14.0 to 28.0 MPa, with water absorption rates below 1.5%, exhibiting extraordinary abrasion resistance and superior flexural toughness compared to standard concrete pavers (Babafemi et al., 2021; Agyeman et al., 2019).</w:t>
      </w:r>
    </w:p>
    <w:p>
      <w:pPr>
        <w:spacing w:before="0" w:after="0" w:line="480" w:lineRule="auto"/>
        <w:ind w:firstLine="720"/>
        <w:jc w:val="left"/>
      </w:pPr>
      <w:r>
        <w:rPr>
          <w:rFonts w:ascii="Times New Roman" w:hAnsi="Times New Roman"/>
          <w:b w:val="0"/>
          <w:i w:val="0"/>
          <w:sz w:val="24"/>
        </w:rPr>
        <w:t>2. Shredded Plastic Concrete Aggregates: Substituting 5% to 15% of fine aggregate with shredded plastic flakes reduces concrete density by 8% to 15% and increases impact resistance and ductility, although replacement levels beyond 15% cause significant reductions in compressive strength due to hydrophobic debonding at the polymer-cement paste interface (Abhi et al., 2025).</w:t>
      </w:r>
    </w:p>
    <w:p>
      <w:pPr>
        <w:spacing w:before="160" w:after="80" w:line="480" w:lineRule="auto"/>
        <w:jc w:val="left"/>
      </w:pPr>
      <w:r>
        <w:rPr>
          <w:rFonts w:ascii="Times New Roman" w:hAnsi="Times New Roman"/>
          <w:b/>
          <w:i/>
          <w:sz w:val="24"/>
        </w:rPr>
        <w:t>Industrial By-Products and Agricultural Shells</w:t>
      </w:r>
    </w:p>
    <w:p>
      <w:pPr>
        <w:spacing w:before="0" w:after="0" w:line="480" w:lineRule="auto"/>
        <w:ind w:firstLine="720"/>
        <w:jc w:val="left"/>
      </w:pPr>
      <w:r>
        <w:rPr>
          <w:rFonts w:ascii="Times New Roman" w:hAnsi="Times New Roman"/>
          <w:b w:val="0"/>
          <w:i w:val="0"/>
          <w:sz w:val="24"/>
        </w:rPr>
        <w:t>Additional circular material solutions include Crushed Palm Kernel Shells (PKS), which have been successfully developed across Nigeria and Ghana as sustainable coarse aggregates for structural lightweight concrete, achieving densities of 1,750 to 1,950 kg/m3 and compressive capacities of 17.0 to 24.0 MPa (Ndububa &amp; Ndububa, 2018); and Crushed Container Glass, which, when ground to micro-particulate size (&lt;75 µm), suppresses the alkali-silica reaction (ASR) and acts as an effective secondary pozzolan (Olofinnade et al., 2018).</w:t>
      </w:r>
    </w:p>
    <w:p>
      <w:pPr>
        <w:spacing w:before="240" w:after="80" w:line="480" w:lineRule="auto"/>
        <w:jc w:val="left"/>
      </w:pPr>
      <w:r>
        <w:rPr>
          <w:rFonts w:ascii="Times New Roman" w:hAnsi="Times New Roman"/>
          <w:b/>
          <w:i w:val="0"/>
          <w:sz w:val="24"/>
        </w:rPr>
        <w:t>3.6 Deep-Dive Synthesis: Renewable Bio-Based Structural Materials</w:t>
      </w:r>
    </w:p>
    <w:p>
      <w:pPr>
        <w:spacing w:before="0" w:after="0" w:line="480" w:lineRule="auto"/>
        <w:ind w:firstLine="720"/>
        <w:jc w:val="left"/>
      </w:pPr>
      <w:r>
        <w:rPr>
          <w:rFonts w:ascii="Times New Roman" w:hAnsi="Times New Roman"/>
          <w:b w:val="0"/>
          <w:i w:val="0"/>
          <w:sz w:val="24"/>
        </w:rPr>
        <w:t>The 358 included studies on bio-based systems highlight Africa's immense, yet severely underutilized, forestry and non-timber forest product reserves. Structural bamboo represents the foremost candidate for continental structural bio-decarbonization.</w:t>
      </w:r>
    </w:p>
    <w:p>
      <w:pPr>
        <w:spacing w:before="160" w:after="80" w:line="480" w:lineRule="auto"/>
        <w:jc w:val="left"/>
      </w:pPr>
      <w:r>
        <w:rPr>
          <w:rFonts w:ascii="Times New Roman" w:hAnsi="Times New Roman"/>
          <w:b/>
          <w:i/>
          <w:sz w:val="24"/>
        </w:rPr>
        <w:t>Structural Bamboo: The "Green Steel" of Tropical Africa</w:t>
      </w:r>
    </w:p>
    <w:p>
      <w:pPr>
        <w:spacing w:before="0" w:after="0" w:line="480" w:lineRule="auto"/>
        <w:ind w:firstLine="720"/>
        <w:jc w:val="left"/>
      </w:pPr>
      <w:r>
        <w:rPr>
          <w:rFonts w:ascii="Times New Roman" w:hAnsi="Times New Roman"/>
          <w:b w:val="0"/>
          <w:i w:val="0"/>
          <w:sz w:val="24"/>
        </w:rPr>
        <w:t>Indigenous bamboo species—most notably *Oxytenanthera abyssinica* (widely distributed across the dry savannah and woodlands of East, West, and Central Africa), *Bambusa vulgaris* (abundant in humid coastal rainforest belts), and *Yushania alpina* (highland bamboo in the mountain ecosystems of Ethiopia, Kenya, and Rwanda)—exhibit extraordinary mechanical strength-to-weight ratios (INBAR, 2020; Kibwage et al., 2017). Empirical axial tensile testing of clear bamboo culms consistently demonstrates ultimate tensile capacities between 120 and 240 MPa (Table 3), surpassing standard structural mild steel (yield strength ~250 MPa) on a strength-to-density basis, with compressive capacities along the fiber axis reaching 45 to 78 MPa (Trujillo et al., 2016; van der Lugt et al., 2006).</w:t>
      </w:r>
    </w:p>
    <w:p>
      <w:pPr>
        <w:spacing w:before="0" w:after="0" w:line="480" w:lineRule="auto"/>
        <w:ind w:firstLine="720"/>
        <w:jc w:val="left"/>
      </w:pPr>
      <w:r>
        <w:rPr>
          <w:rFonts w:ascii="Times New Roman" w:hAnsi="Times New Roman"/>
          <w:b w:val="0"/>
          <w:i w:val="0"/>
          <w:sz w:val="24"/>
        </w:rPr>
        <w:t>Despite these remarkable structural properties, historical deployment of bamboo in African permanent construction has been crippled by rapid biological degradation. Untreated bamboo culms contain high concentrations of starch, hemicellulose, and free sugars, rendering them acutely susceptible to attack by powder-post beetles (*Dinoderus minutus*), subterranean termites, and rot fungi within 6 to 24 months of outdoor exposure. Decadal empirical research has resolved this vulnerability through the standardization of low-toxicity chemical diffusion preservation: soaking green bamboo culms in an aqueous solution of 5% borax (disodium octaborate tetrahydrate) and boric acid (1:1 ratio) for 7 to 14 days, or utilizing vertical sap displacement (Boucherie process), leaches starch and renders the culms permanently toxic to insect borers and fungal spores, extending structural service life to over 40 years under covered conditions (Salzer et al., 2016; Zea Escamilla &amp; Habert, 2014).</w:t>
      </w:r>
    </w:p>
    <w:p>
      <w:pPr>
        <w:spacing w:before="160" w:after="80" w:line="480" w:lineRule="auto"/>
        <w:jc w:val="left"/>
      </w:pPr>
      <w:r>
        <w:rPr>
          <w:rFonts w:ascii="Times New Roman" w:hAnsi="Times New Roman"/>
          <w:b/>
          <w:i/>
          <w:sz w:val="24"/>
        </w:rPr>
        <w:t>Plant Fiber Reinforcement in Earth and Mortar</w:t>
      </w:r>
    </w:p>
    <w:p>
      <w:pPr>
        <w:spacing w:before="0" w:after="0" w:line="480" w:lineRule="auto"/>
        <w:ind w:firstLine="720"/>
        <w:jc w:val="left"/>
      </w:pPr>
      <w:r>
        <w:rPr>
          <w:rFonts w:ascii="Times New Roman" w:hAnsi="Times New Roman"/>
          <w:b w:val="0"/>
          <w:i w:val="0"/>
          <w:sz w:val="24"/>
        </w:rPr>
        <w:t>The incorporation of vegetable fibers—including sisal (*Agave sisalana*), coconut coir, banana pseudostem, and oil palm mesocarp fibers—at 0.5% to 2.0% volume fraction into earth blocks and cementitious renders substantially enhances post-cracking ductility, elevates flexural toughness by 40% to 110%, and arrests plastic shrinkage cracking during rapid tropical drying regimes (Danso, 2018; Akintade et al., 2025; Kilani et al., 2025).</w:t>
      </w:r>
    </w:p>
    <w:p>
      <w:pPr>
        <w:spacing w:before="240" w:after="80" w:line="480" w:lineRule="auto"/>
        <w:jc w:val="left"/>
      </w:pPr>
      <w:r>
        <w:rPr>
          <w:rFonts w:ascii="Times New Roman" w:hAnsi="Times New Roman"/>
          <w:b/>
          <w:i w:val="0"/>
          <w:sz w:val="24"/>
        </w:rPr>
        <w:t>3.7 Deep-Dive Synthesis: Innovative &amp; Smart Passive Cooling Systems</w:t>
      </w:r>
    </w:p>
    <w:p>
      <w:pPr>
        <w:spacing w:before="0" w:after="0" w:line="480" w:lineRule="auto"/>
        <w:ind w:firstLine="720"/>
        <w:jc w:val="left"/>
      </w:pPr>
      <w:r>
        <w:rPr>
          <w:rFonts w:ascii="Times New Roman" w:hAnsi="Times New Roman"/>
          <w:b w:val="0"/>
          <w:i w:val="0"/>
          <w:sz w:val="24"/>
        </w:rPr>
        <w:t>Representing 5.0% of included studies (n = 141), innovative material systems address the escalating demand for operational building energy efficiency under severe climate change. With tropical cooling loads projected to account for a massive surge in continental electricity demand, passive thermal regulation materials provide critical non-mechanical cooling solutions.</w:t>
      </w:r>
    </w:p>
    <w:p>
      <w:pPr>
        <w:spacing w:before="0" w:after="0" w:line="480" w:lineRule="auto"/>
        <w:ind w:firstLine="720"/>
        <w:jc w:val="left"/>
      </w:pPr>
      <w:r>
        <w:rPr>
          <w:rFonts w:ascii="Times New Roman" w:hAnsi="Times New Roman"/>
          <w:b w:val="0"/>
          <w:i w:val="0"/>
          <w:sz w:val="24"/>
        </w:rPr>
        <w:t>Phase Change Materials (PCMs)—specifically organic paraffin waxes and bio-based fatty acids derived from coconut and palm oils—possess high latent heat of fusion (140–210 J/g) at phase transition temperatures engineered between 24°C and 28°C. Micro-encapsulated PCMs blended into interior gypsum plasters, unfired earth walling, or cement ceiling panels absorb excess solar thermal gains during peak daytime hours through isothermal melting, and release heat during nighttime ventilation through crystallization (Cabeza et al., 2011). Empirical prototype testing in North and West African climates confirms that PCM-integrated building envelopes attenuate indoor diurnal temperature fluctuations by 3.5°C to 7.0°C, drastically mitigating mechanical air conditioning energy requirements.</w:t>
      </w:r>
    </w:p>
    <w:p>
      <w:pPr>
        <w:spacing w:before="0" w:after="0" w:line="480" w:lineRule="auto"/>
        <w:ind w:firstLine="720"/>
        <w:jc w:val="left"/>
      </w:pPr>
      <w:r>
        <w:rPr>
          <w:rFonts w:ascii="Times New Roman" w:hAnsi="Times New Roman"/>
          <w:b w:val="0"/>
          <w:i w:val="0"/>
          <w:sz w:val="24"/>
        </w:rPr>
        <w:t>Concurrently, microbial-induced calcite precipitation (MICP) utilizing ureolytic bacteria (*Sporosarcina pasteurii*) has been validated for bio-mediated soil stabilization and concrete crack self-healing. By hydrolyzing urea in the presence of calcium chloride, bacterial cells serve as nucleation sites for calcium carbonate ($</w:t>
        <w:tab/>
        <w:t>ext{CaCO}_3$) precipitation, sealing microcracks up to 0.4 mm in width and restoring concrete compressive strength by 15% to 25% (De Belie et al., 2018).</w:t>
      </w:r>
    </w:p>
    <w:p>
      <w:pPr>
        <w:spacing w:before="240" w:after="80" w:line="480" w:lineRule="auto"/>
        <w:jc w:val="left"/>
      </w:pPr>
      <w:r>
        <w:rPr>
          <w:rFonts w:ascii="Times New Roman" w:hAnsi="Times New Roman"/>
          <w:b/>
          <w:i w:val="0"/>
          <w:sz w:val="24"/>
        </w:rPr>
        <w:t>3.8 Life Cycle Assessment &amp; Embodied Carbon Mitigation Profiles</w:t>
      </w:r>
    </w:p>
    <w:p>
      <w:pPr>
        <w:spacing w:before="0" w:after="0" w:line="480" w:lineRule="auto"/>
        <w:ind w:firstLine="720"/>
        <w:jc w:val="left"/>
      </w:pPr>
      <w:r>
        <w:rPr>
          <w:rFonts w:ascii="Times New Roman" w:hAnsi="Times New Roman"/>
          <w:b w:val="0"/>
          <w:i w:val="0"/>
          <w:sz w:val="24"/>
        </w:rPr>
        <w:t>Across 312 studies providing formal quantitative environmental metrics and Life Cycle Assessment (LCA) data (governed by ISO 14040/14044 cradle-to-gate and cradle-to-site system boundaries), sustainable African building materials deliver transformative carbon mitigation relative to virgin baseline materials.</w:t>
      </w:r>
    </w:p>
    <w:p>
      <w:pPr>
        <w:spacing w:before="0" w:after="0" w:line="480" w:lineRule="auto"/>
        <w:ind w:firstLine="720"/>
        <w:jc w:val="left"/>
      </w:pPr>
      <w:r>
        <w:rPr>
          <w:rFonts w:ascii="Times New Roman" w:hAnsi="Times New Roman"/>
          <w:b w:val="0"/>
          <w:i w:val="0"/>
          <w:sz w:val="24"/>
        </w:rPr>
        <w:t>Table 4 synthesizes empirical embodied carbon footprints, embodied energy intensities, global warming potential (GWP) mitigation percentages, and net carbon sequestration dynamics across material systems.</w:t>
      </w:r>
    </w:p>
    <w:p>
      <w:pPr>
        <w:spacing w:before="0" w:after="0" w:line="480" w:lineRule="auto"/>
        <w:ind w:firstLine="720"/>
        <w:jc w:val="left"/>
      </w:pPr>
      <w:r>
        <w:rPr>
          <w:rFonts w:ascii="Times New Roman" w:hAnsi="Times New Roman"/>
          <w:b w:val="0"/>
          <w:i w:val="0"/>
          <w:sz w:val="24"/>
        </w:rPr>
        <w:t>As demonstrated in Table 4, transitioning from conventional fired clay bricks (260–340 kg CO2-eq/m3) to Compressed Stabilized Earth Blocks (65–115 kg CO2-eq/m3) slashes embodied carbon by 65% to 78%, while unstabilized CEBs deliver up to a 92% carbon reduction. In structural concrete, LC3 achieves a 30% to 42% embodied carbon abatement, saving approximately 135 kg CO2-eq per cubic meter of concrete placed. Most dramatically, structural bamboo represents a net carbon-negative building material: during its rapid 3-to-4-year maturation cycle, bamboo culms sequester between 120 and 350 kg CO2-eq per cubic meter of durable structural material, turning building superstructures into active, long-term terrestrial carbon sinks.</w:t>
      </w:r>
    </w:p>
    <w:p>
      <w:pPr>
        <w:spacing w:before="240" w:after="40" w:line="480" w:lineRule="auto"/>
        <w:jc w:val="left"/>
      </w:pPr>
      <w:r>
        <w:rPr>
          <w:rFonts w:ascii="Times New Roman" w:hAnsi="Times New Roman"/>
          <w:b/>
          <w:i w:val="0"/>
          <w:sz w:val="24"/>
        </w:rPr>
        <w:t>Table 4</w:t>
      </w:r>
    </w:p>
    <w:p>
      <w:pPr>
        <w:spacing w:before="0" w:after="120" w:line="480" w:lineRule="auto"/>
        <w:jc w:val="left"/>
      </w:pPr>
      <w:r>
        <w:rPr>
          <w:rFonts w:ascii="Times New Roman" w:hAnsi="Times New Roman"/>
          <w:b w:val="0"/>
          <w:i/>
          <w:sz w:val="24"/>
        </w:rPr>
        <w:t>Embodied Carbon, Energy Metrics, and Decarbonization Potential across Material Classes</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0"/>
        <w:gridCol w:w="1560"/>
        <w:gridCol w:w="1560"/>
        <w:gridCol w:w="1560"/>
        <w:gridCol w:w="1560"/>
        <w:gridCol w:w="1560"/>
      </w:tblGrid>
      <w:tr>
        <w:trPr/>
        <w:tc>
          <w:tcPr>
            <w:tcW w:type="dxa" w:w="1560"/>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Material Technology</w:t>
            </w:r>
          </w:p>
        </w:tc>
        <w:tc>
          <w:tcPr>
            <w:tcW w:type="dxa" w:w="1560"/>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Embodied Carbon (kg CO2-eq/m3)</w:t>
            </w:r>
          </w:p>
        </w:tc>
        <w:tc>
          <w:tcPr>
            <w:tcW w:type="dxa" w:w="1560"/>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Embodied Energy (MJ/m3)</w:t>
            </w:r>
          </w:p>
        </w:tc>
        <w:tc>
          <w:tcPr>
            <w:tcW w:type="dxa" w:w="1560"/>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Carbon Reduction vs Baseline</w:t>
            </w:r>
          </w:p>
        </w:tc>
        <w:tc>
          <w:tcPr>
            <w:tcW w:type="dxa" w:w="1560"/>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Primary Abatement Driver</w:t>
            </w:r>
          </w:p>
        </w:tc>
        <w:tc>
          <w:tcPr>
            <w:tcW w:type="dxa" w:w="1560"/>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Net Sequestration Potential</w:t>
            </w:r>
          </w:p>
        </w:tc>
      </w:tr>
      <w:tr>
        <w:tc>
          <w:tcPr>
            <w:tcW w:type="dxa" w:w="1560"/>
          </w:tcPr>
          <w:p>
            <w:pPr>
              <w:spacing w:before="0" w:after="0" w:line="276" w:lineRule="auto"/>
              <w:jc w:val="left"/>
            </w:pPr>
            <w:r>
              <w:rPr>
                <w:rFonts w:ascii="Times New Roman" w:hAnsi="Times New Roman"/>
                <w:b w:val="0"/>
                <w:i w:val="0"/>
                <w:sz w:val="20"/>
              </w:rPr>
              <w:t>Unstabilized CEB</w:t>
            </w:r>
          </w:p>
        </w:tc>
        <w:tc>
          <w:tcPr>
            <w:tcW w:type="dxa" w:w="1560"/>
          </w:tcPr>
          <w:p>
            <w:pPr>
              <w:spacing w:before="0" w:after="0" w:line="276" w:lineRule="auto"/>
              <w:jc w:val="left"/>
            </w:pPr>
            <w:r>
              <w:rPr>
                <w:rFonts w:ascii="Times New Roman" w:hAnsi="Times New Roman"/>
                <w:b w:val="0"/>
                <w:i w:val="0"/>
                <w:sz w:val="20"/>
              </w:rPr>
              <w:t>25 – 45</w:t>
            </w:r>
          </w:p>
        </w:tc>
        <w:tc>
          <w:tcPr>
            <w:tcW w:type="dxa" w:w="1560"/>
          </w:tcPr>
          <w:p>
            <w:pPr>
              <w:spacing w:before="0" w:after="0" w:line="276" w:lineRule="auto"/>
              <w:jc w:val="left"/>
            </w:pPr>
            <w:r>
              <w:rPr>
                <w:rFonts w:ascii="Times New Roman" w:hAnsi="Times New Roman"/>
                <w:b w:val="0"/>
                <w:i w:val="0"/>
                <w:sz w:val="20"/>
              </w:rPr>
              <w:t>350 – 650</w:t>
            </w:r>
          </w:p>
        </w:tc>
        <w:tc>
          <w:tcPr>
            <w:tcW w:type="dxa" w:w="1560"/>
          </w:tcPr>
          <w:p>
            <w:pPr>
              <w:spacing w:before="0" w:after="0" w:line="276" w:lineRule="auto"/>
              <w:jc w:val="left"/>
            </w:pPr>
            <w:r>
              <w:rPr>
                <w:rFonts w:ascii="Times New Roman" w:hAnsi="Times New Roman"/>
                <w:b w:val="0"/>
                <w:i w:val="0"/>
                <w:sz w:val="20"/>
              </w:rPr>
              <w:t>85 – 92% (vs Fired Bricks)</w:t>
            </w:r>
          </w:p>
        </w:tc>
        <w:tc>
          <w:tcPr>
            <w:tcW w:type="dxa" w:w="1560"/>
          </w:tcPr>
          <w:p>
            <w:pPr>
              <w:spacing w:before="0" w:after="0" w:line="276" w:lineRule="auto"/>
              <w:jc w:val="left"/>
            </w:pPr>
            <w:r>
              <w:rPr>
                <w:rFonts w:ascii="Times New Roman" w:hAnsi="Times New Roman"/>
                <w:b w:val="0"/>
                <w:i w:val="0"/>
                <w:sz w:val="20"/>
              </w:rPr>
              <w:t>Zero thermal firing; manual/solar drying</w:t>
            </w:r>
          </w:p>
        </w:tc>
        <w:tc>
          <w:tcPr>
            <w:tcW w:type="dxa" w:w="1560"/>
          </w:tcPr>
          <w:p>
            <w:pPr>
              <w:spacing w:before="0" w:after="0" w:line="276" w:lineRule="auto"/>
              <w:jc w:val="left"/>
            </w:pPr>
            <w:r>
              <w:rPr>
                <w:rFonts w:ascii="Times New Roman" w:hAnsi="Times New Roman"/>
                <w:b w:val="0"/>
                <w:i w:val="0"/>
                <w:sz w:val="20"/>
              </w:rPr>
              <w:t>Neutral</w:t>
            </w:r>
          </w:p>
        </w:tc>
      </w:tr>
      <w:tr>
        <w:tc>
          <w:tcPr>
            <w:tcW w:type="dxa" w:w="1560"/>
          </w:tcPr>
          <w:p>
            <w:pPr>
              <w:spacing w:before="0" w:after="0" w:line="276" w:lineRule="auto"/>
              <w:jc w:val="left"/>
            </w:pPr>
            <w:r>
              <w:rPr>
                <w:rFonts w:ascii="Times New Roman" w:hAnsi="Times New Roman"/>
                <w:b w:val="0"/>
                <w:i w:val="0"/>
                <w:sz w:val="20"/>
              </w:rPr>
              <w:t>CSEB (5–8% Cement)</w:t>
            </w:r>
          </w:p>
        </w:tc>
        <w:tc>
          <w:tcPr>
            <w:tcW w:type="dxa" w:w="1560"/>
          </w:tcPr>
          <w:p>
            <w:pPr>
              <w:spacing w:before="0" w:after="0" w:line="276" w:lineRule="auto"/>
              <w:jc w:val="left"/>
            </w:pPr>
            <w:r>
              <w:rPr>
                <w:rFonts w:ascii="Times New Roman" w:hAnsi="Times New Roman"/>
                <w:b w:val="0"/>
                <w:i w:val="0"/>
                <w:sz w:val="20"/>
              </w:rPr>
              <w:t>65 – 115</w:t>
            </w:r>
          </w:p>
        </w:tc>
        <w:tc>
          <w:tcPr>
            <w:tcW w:type="dxa" w:w="1560"/>
          </w:tcPr>
          <w:p>
            <w:pPr>
              <w:spacing w:before="0" w:after="0" w:line="276" w:lineRule="auto"/>
              <w:jc w:val="left"/>
            </w:pPr>
            <w:r>
              <w:rPr>
                <w:rFonts w:ascii="Times New Roman" w:hAnsi="Times New Roman"/>
                <w:b w:val="0"/>
                <w:i w:val="0"/>
                <w:sz w:val="20"/>
              </w:rPr>
              <w:t>850 – 1,450</w:t>
            </w:r>
          </w:p>
        </w:tc>
        <w:tc>
          <w:tcPr>
            <w:tcW w:type="dxa" w:w="1560"/>
          </w:tcPr>
          <w:p>
            <w:pPr>
              <w:spacing w:before="0" w:after="0" w:line="276" w:lineRule="auto"/>
              <w:jc w:val="left"/>
            </w:pPr>
            <w:r>
              <w:rPr>
                <w:rFonts w:ascii="Times New Roman" w:hAnsi="Times New Roman"/>
                <w:b w:val="0"/>
                <w:i w:val="0"/>
                <w:sz w:val="20"/>
              </w:rPr>
              <w:t>65 – 78% (vs Fired Bricks)</w:t>
            </w:r>
          </w:p>
        </w:tc>
        <w:tc>
          <w:tcPr>
            <w:tcW w:type="dxa" w:w="1560"/>
          </w:tcPr>
          <w:p>
            <w:pPr>
              <w:spacing w:before="0" w:after="0" w:line="276" w:lineRule="auto"/>
              <w:jc w:val="left"/>
            </w:pPr>
            <w:r>
              <w:rPr>
                <w:rFonts w:ascii="Times New Roman" w:hAnsi="Times New Roman"/>
                <w:b w:val="0"/>
                <w:i w:val="0"/>
                <w:sz w:val="20"/>
              </w:rPr>
              <w:t>Low binder content (5–8% vs 15–20% in sandcrete)</w:t>
            </w:r>
          </w:p>
        </w:tc>
        <w:tc>
          <w:tcPr>
            <w:tcW w:type="dxa" w:w="1560"/>
          </w:tcPr>
          <w:p>
            <w:pPr>
              <w:spacing w:before="0" w:after="0" w:line="276" w:lineRule="auto"/>
              <w:jc w:val="left"/>
            </w:pPr>
            <w:r>
              <w:rPr>
                <w:rFonts w:ascii="Times New Roman" w:hAnsi="Times New Roman"/>
                <w:b w:val="0"/>
                <w:i w:val="0"/>
                <w:sz w:val="20"/>
              </w:rPr>
              <w:t>Slight positive</w:t>
            </w:r>
          </w:p>
        </w:tc>
      </w:tr>
      <w:tr>
        <w:tc>
          <w:tcPr>
            <w:tcW w:type="dxa" w:w="1560"/>
          </w:tcPr>
          <w:p>
            <w:pPr>
              <w:spacing w:before="0" w:after="0" w:line="276" w:lineRule="auto"/>
              <w:jc w:val="left"/>
            </w:pPr>
            <w:r>
              <w:rPr>
                <w:rFonts w:ascii="Times New Roman" w:hAnsi="Times New Roman"/>
                <w:b w:val="0"/>
                <w:i w:val="0"/>
                <w:sz w:val="20"/>
              </w:rPr>
              <w:t>Stabilized Rammed Earth</w:t>
            </w:r>
          </w:p>
        </w:tc>
        <w:tc>
          <w:tcPr>
            <w:tcW w:type="dxa" w:w="1560"/>
          </w:tcPr>
          <w:p>
            <w:pPr>
              <w:spacing w:before="0" w:after="0" w:line="276" w:lineRule="auto"/>
              <w:jc w:val="left"/>
            </w:pPr>
            <w:r>
              <w:rPr>
                <w:rFonts w:ascii="Times New Roman" w:hAnsi="Times New Roman"/>
                <w:b w:val="0"/>
                <w:i w:val="0"/>
                <w:sz w:val="20"/>
              </w:rPr>
              <w:t>75 – 125</w:t>
            </w:r>
          </w:p>
        </w:tc>
        <w:tc>
          <w:tcPr>
            <w:tcW w:type="dxa" w:w="1560"/>
          </w:tcPr>
          <w:p>
            <w:pPr>
              <w:spacing w:before="0" w:after="0" w:line="276" w:lineRule="auto"/>
              <w:jc w:val="left"/>
            </w:pPr>
            <w:r>
              <w:rPr>
                <w:rFonts w:ascii="Times New Roman" w:hAnsi="Times New Roman"/>
                <w:b w:val="0"/>
                <w:i w:val="0"/>
                <w:sz w:val="20"/>
              </w:rPr>
              <w:t>950 – 1,600</w:t>
            </w:r>
          </w:p>
        </w:tc>
        <w:tc>
          <w:tcPr>
            <w:tcW w:type="dxa" w:w="1560"/>
          </w:tcPr>
          <w:p>
            <w:pPr>
              <w:spacing w:before="0" w:after="0" w:line="276" w:lineRule="auto"/>
              <w:jc w:val="left"/>
            </w:pPr>
            <w:r>
              <w:rPr>
                <w:rFonts w:ascii="Times New Roman" w:hAnsi="Times New Roman"/>
                <w:b w:val="0"/>
                <w:i w:val="0"/>
                <w:sz w:val="20"/>
              </w:rPr>
              <w:t>62 – 75% (vs OPC Concrete)</w:t>
            </w:r>
          </w:p>
        </w:tc>
        <w:tc>
          <w:tcPr>
            <w:tcW w:type="dxa" w:w="1560"/>
          </w:tcPr>
          <w:p>
            <w:pPr>
              <w:spacing w:before="0" w:after="0" w:line="276" w:lineRule="auto"/>
              <w:jc w:val="left"/>
            </w:pPr>
            <w:r>
              <w:rPr>
                <w:rFonts w:ascii="Times New Roman" w:hAnsi="Times New Roman"/>
                <w:b w:val="0"/>
                <w:i w:val="0"/>
                <w:sz w:val="20"/>
              </w:rPr>
              <w:t>Reduction in clinker mass; on-site soil sourcing</w:t>
            </w:r>
          </w:p>
        </w:tc>
        <w:tc>
          <w:tcPr>
            <w:tcW w:type="dxa" w:w="1560"/>
          </w:tcPr>
          <w:p>
            <w:pPr>
              <w:spacing w:before="0" w:after="0" w:line="276" w:lineRule="auto"/>
              <w:jc w:val="left"/>
            </w:pPr>
            <w:r>
              <w:rPr>
                <w:rFonts w:ascii="Times New Roman" w:hAnsi="Times New Roman"/>
                <w:b w:val="0"/>
                <w:i w:val="0"/>
                <w:sz w:val="20"/>
              </w:rPr>
              <w:t>Neutral to slight positive</w:t>
            </w:r>
          </w:p>
        </w:tc>
      </w:tr>
      <w:tr>
        <w:tc>
          <w:tcPr>
            <w:tcW w:type="dxa" w:w="1560"/>
          </w:tcPr>
          <w:p>
            <w:pPr>
              <w:spacing w:before="0" w:after="0" w:line="276" w:lineRule="auto"/>
              <w:jc w:val="left"/>
            </w:pPr>
            <w:r>
              <w:rPr>
                <w:rFonts w:ascii="Times New Roman" w:hAnsi="Times New Roman"/>
                <w:b w:val="0"/>
                <w:i w:val="0"/>
                <w:sz w:val="20"/>
              </w:rPr>
              <w:t>LC3-50 Concrete</w:t>
            </w:r>
          </w:p>
        </w:tc>
        <w:tc>
          <w:tcPr>
            <w:tcW w:type="dxa" w:w="1560"/>
          </w:tcPr>
          <w:p>
            <w:pPr>
              <w:spacing w:before="0" w:after="0" w:line="276" w:lineRule="auto"/>
              <w:jc w:val="left"/>
            </w:pPr>
            <w:r>
              <w:rPr>
                <w:rFonts w:ascii="Times New Roman" w:hAnsi="Times New Roman"/>
                <w:b w:val="0"/>
                <w:i w:val="0"/>
                <w:sz w:val="20"/>
              </w:rPr>
              <w:t>195 – 245</w:t>
            </w:r>
          </w:p>
        </w:tc>
        <w:tc>
          <w:tcPr>
            <w:tcW w:type="dxa" w:w="1560"/>
          </w:tcPr>
          <w:p>
            <w:pPr>
              <w:spacing w:before="0" w:after="0" w:line="276" w:lineRule="auto"/>
              <w:jc w:val="left"/>
            </w:pPr>
            <w:r>
              <w:rPr>
                <w:rFonts w:ascii="Times New Roman" w:hAnsi="Times New Roman"/>
                <w:b w:val="0"/>
                <w:i w:val="0"/>
                <w:sz w:val="20"/>
              </w:rPr>
              <w:t>1,850 – 2,400</w:t>
            </w:r>
          </w:p>
        </w:tc>
        <w:tc>
          <w:tcPr>
            <w:tcW w:type="dxa" w:w="1560"/>
          </w:tcPr>
          <w:p>
            <w:pPr>
              <w:spacing w:before="0" w:after="0" w:line="276" w:lineRule="auto"/>
              <w:jc w:val="left"/>
            </w:pPr>
            <w:r>
              <w:rPr>
                <w:rFonts w:ascii="Times New Roman" w:hAnsi="Times New Roman"/>
                <w:b w:val="0"/>
                <w:i w:val="0"/>
                <w:sz w:val="20"/>
              </w:rPr>
              <w:t>30 – 42% (vs OPC Concrete)</w:t>
            </w:r>
          </w:p>
        </w:tc>
        <w:tc>
          <w:tcPr>
            <w:tcW w:type="dxa" w:w="1560"/>
          </w:tcPr>
          <w:p>
            <w:pPr>
              <w:spacing w:before="0" w:after="0" w:line="276" w:lineRule="auto"/>
              <w:jc w:val="left"/>
            </w:pPr>
            <w:r>
              <w:rPr>
                <w:rFonts w:ascii="Times New Roman" w:hAnsi="Times New Roman"/>
                <w:b w:val="0"/>
                <w:i w:val="0"/>
                <w:sz w:val="20"/>
              </w:rPr>
              <w:t>50% clinker substitution; lower calcining temp (750°C)</w:t>
            </w:r>
          </w:p>
        </w:tc>
        <w:tc>
          <w:tcPr>
            <w:tcW w:type="dxa" w:w="1560"/>
          </w:tcPr>
          <w:p>
            <w:pPr>
              <w:spacing w:before="0" w:after="0" w:line="276" w:lineRule="auto"/>
              <w:jc w:val="left"/>
            </w:pPr>
            <w:r>
              <w:rPr>
                <w:rFonts w:ascii="Times New Roman" w:hAnsi="Times New Roman"/>
                <w:b w:val="0"/>
                <w:i w:val="0"/>
                <w:sz w:val="20"/>
              </w:rPr>
              <w:t>Significant reduction</w:t>
            </w:r>
          </w:p>
        </w:tc>
      </w:tr>
      <w:tr>
        <w:tc>
          <w:tcPr>
            <w:tcW w:type="dxa" w:w="1560"/>
          </w:tcPr>
          <w:p>
            <w:pPr>
              <w:spacing w:before="0" w:after="0" w:line="276" w:lineRule="auto"/>
              <w:jc w:val="left"/>
            </w:pPr>
            <w:r>
              <w:rPr>
                <w:rFonts w:ascii="Times New Roman" w:hAnsi="Times New Roman"/>
                <w:b w:val="0"/>
                <w:i w:val="0"/>
                <w:sz w:val="20"/>
              </w:rPr>
              <w:t>Agro-Waste Concrete (20% SCM)</w:t>
            </w:r>
          </w:p>
        </w:tc>
        <w:tc>
          <w:tcPr>
            <w:tcW w:type="dxa" w:w="1560"/>
          </w:tcPr>
          <w:p>
            <w:pPr>
              <w:spacing w:before="0" w:after="0" w:line="276" w:lineRule="auto"/>
              <w:jc w:val="left"/>
            </w:pPr>
            <w:r>
              <w:rPr>
                <w:rFonts w:ascii="Times New Roman" w:hAnsi="Times New Roman"/>
                <w:b w:val="0"/>
                <w:i w:val="0"/>
                <w:sz w:val="20"/>
              </w:rPr>
              <w:t>225 – 275</w:t>
            </w:r>
          </w:p>
        </w:tc>
        <w:tc>
          <w:tcPr>
            <w:tcW w:type="dxa" w:w="1560"/>
          </w:tcPr>
          <w:p>
            <w:pPr>
              <w:spacing w:before="0" w:after="0" w:line="276" w:lineRule="auto"/>
              <w:jc w:val="left"/>
            </w:pPr>
            <w:r>
              <w:rPr>
                <w:rFonts w:ascii="Times New Roman" w:hAnsi="Times New Roman"/>
                <w:b w:val="0"/>
                <w:i w:val="0"/>
                <w:sz w:val="20"/>
              </w:rPr>
              <w:t>2,100 – 2,650</w:t>
            </w:r>
          </w:p>
        </w:tc>
        <w:tc>
          <w:tcPr>
            <w:tcW w:type="dxa" w:w="1560"/>
          </w:tcPr>
          <w:p>
            <w:pPr>
              <w:spacing w:before="0" w:after="0" w:line="276" w:lineRule="auto"/>
              <w:jc w:val="left"/>
            </w:pPr>
            <w:r>
              <w:rPr>
                <w:rFonts w:ascii="Times New Roman" w:hAnsi="Times New Roman"/>
                <w:b w:val="0"/>
                <w:i w:val="0"/>
                <w:sz w:val="20"/>
              </w:rPr>
              <w:t>18 – 35% (vs OPC Concrete)</w:t>
            </w:r>
          </w:p>
        </w:tc>
        <w:tc>
          <w:tcPr>
            <w:tcW w:type="dxa" w:w="1560"/>
          </w:tcPr>
          <w:p>
            <w:pPr>
              <w:spacing w:before="0" w:after="0" w:line="276" w:lineRule="auto"/>
              <w:jc w:val="left"/>
            </w:pPr>
            <w:r>
              <w:rPr>
                <w:rFonts w:ascii="Times New Roman" w:hAnsi="Times New Roman"/>
                <w:b w:val="0"/>
                <w:i w:val="0"/>
                <w:sz w:val="20"/>
              </w:rPr>
              <w:t>Clinker displacement; biomass diverted from field burning</w:t>
            </w:r>
          </w:p>
        </w:tc>
        <w:tc>
          <w:tcPr>
            <w:tcW w:type="dxa" w:w="1560"/>
          </w:tcPr>
          <w:p>
            <w:pPr>
              <w:spacing w:before="0" w:after="0" w:line="276" w:lineRule="auto"/>
              <w:jc w:val="left"/>
            </w:pPr>
            <w:r>
              <w:rPr>
                <w:rFonts w:ascii="Times New Roman" w:hAnsi="Times New Roman"/>
                <w:b w:val="0"/>
                <w:i w:val="0"/>
                <w:sz w:val="20"/>
              </w:rPr>
              <w:t>Avoided methane</w:t>
            </w:r>
          </w:p>
        </w:tc>
      </w:tr>
      <w:tr>
        <w:tc>
          <w:tcPr>
            <w:tcW w:type="dxa" w:w="1560"/>
          </w:tcPr>
          <w:p>
            <w:pPr>
              <w:spacing w:before="0" w:after="0" w:line="276" w:lineRule="auto"/>
              <w:jc w:val="left"/>
            </w:pPr>
            <w:r>
              <w:rPr>
                <w:rFonts w:ascii="Times New Roman" w:hAnsi="Times New Roman"/>
                <w:b w:val="0"/>
                <w:i w:val="0"/>
                <w:sz w:val="20"/>
              </w:rPr>
              <w:t>Geopolymer Concrete (Fly Ash/Slag)</w:t>
            </w:r>
          </w:p>
        </w:tc>
        <w:tc>
          <w:tcPr>
            <w:tcW w:type="dxa" w:w="1560"/>
          </w:tcPr>
          <w:p>
            <w:pPr>
              <w:spacing w:before="0" w:after="0" w:line="276" w:lineRule="auto"/>
              <w:jc w:val="left"/>
            </w:pPr>
            <w:r>
              <w:rPr>
                <w:rFonts w:ascii="Times New Roman" w:hAnsi="Times New Roman"/>
                <w:b w:val="0"/>
                <w:i w:val="0"/>
                <w:sz w:val="20"/>
              </w:rPr>
              <w:t>120 – 190</w:t>
            </w:r>
          </w:p>
        </w:tc>
        <w:tc>
          <w:tcPr>
            <w:tcW w:type="dxa" w:w="1560"/>
          </w:tcPr>
          <w:p>
            <w:pPr>
              <w:spacing w:before="0" w:after="0" w:line="276" w:lineRule="auto"/>
              <w:jc w:val="left"/>
            </w:pPr>
            <w:r>
              <w:rPr>
                <w:rFonts w:ascii="Times New Roman" w:hAnsi="Times New Roman"/>
                <w:b w:val="0"/>
                <w:i w:val="0"/>
                <w:sz w:val="20"/>
              </w:rPr>
              <w:t>1,400 – 2,100</w:t>
            </w:r>
          </w:p>
        </w:tc>
        <w:tc>
          <w:tcPr>
            <w:tcW w:type="dxa" w:w="1560"/>
          </w:tcPr>
          <w:p>
            <w:pPr>
              <w:spacing w:before="0" w:after="0" w:line="276" w:lineRule="auto"/>
              <w:jc w:val="left"/>
            </w:pPr>
            <w:r>
              <w:rPr>
                <w:rFonts w:ascii="Times New Roman" w:hAnsi="Times New Roman"/>
                <w:b w:val="0"/>
                <w:i w:val="0"/>
                <w:sz w:val="20"/>
              </w:rPr>
              <w:t>45 – 65% (vs OPC Concrete)</w:t>
            </w:r>
          </w:p>
        </w:tc>
        <w:tc>
          <w:tcPr>
            <w:tcW w:type="dxa" w:w="1560"/>
          </w:tcPr>
          <w:p>
            <w:pPr>
              <w:spacing w:before="0" w:after="0" w:line="276" w:lineRule="auto"/>
              <w:jc w:val="left"/>
            </w:pPr>
            <w:r>
              <w:rPr>
                <w:rFonts w:ascii="Times New Roman" w:hAnsi="Times New Roman"/>
                <w:b w:val="0"/>
                <w:i w:val="0"/>
                <w:sz w:val="20"/>
              </w:rPr>
              <w:t>Complete elimination of Portland clinker</w:t>
            </w:r>
          </w:p>
        </w:tc>
        <w:tc>
          <w:tcPr>
            <w:tcW w:type="dxa" w:w="1560"/>
          </w:tcPr>
          <w:p>
            <w:pPr>
              <w:spacing w:before="0" w:after="0" w:line="276" w:lineRule="auto"/>
              <w:jc w:val="left"/>
            </w:pPr>
            <w:r>
              <w:rPr>
                <w:rFonts w:ascii="Times New Roman" w:hAnsi="Times New Roman"/>
                <w:b w:val="0"/>
                <w:i w:val="0"/>
                <w:sz w:val="20"/>
              </w:rPr>
              <w:t>Large industrial displacement</w:t>
            </w:r>
          </w:p>
        </w:tc>
      </w:tr>
      <w:tr>
        <w:tc>
          <w:tcPr>
            <w:tcW w:type="dxa" w:w="1560"/>
          </w:tcPr>
          <w:p>
            <w:pPr>
              <w:spacing w:before="0" w:after="0" w:line="276" w:lineRule="auto"/>
              <w:jc w:val="left"/>
            </w:pPr>
            <w:r>
              <w:rPr>
                <w:rFonts w:ascii="Times New Roman" w:hAnsi="Times New Roman"/>
                <w:b w:val="0"/>
                <w:i w:val="0"/>
                <w:sz w:val="20"/>
              </w:rPr>
              <w:t>Recycled Aggregate Concrete</w:t>
            </w:r>
          </w:p>
        </w:tc>
        <w:tc>
          <w:tcPr>
            <w:tcW w:type="dxa" w:w="1560"/>
          </w:tcPr>
          <w:p>
            <w:pPr>
              <w:spacing w:before="0" w:after="0" w:line="276" w:lineRule="auto"/>
              <w:jc w:val="left"/>
            </w:pPr>
            <w:r>
              <w:rPr>
                <w:rFonts w:ascii="Times New Roman" w:hAnsi="Times New Roman"/>
                <w:b w:val="0"/>
                <w:i w:val="0"/>
                <w:sz w:val="20"/>
              </w:rPr>
              <w:t>280 – 315</w:t>
            </w:r>
          </w:p>
        </w:tc>
        <w:tc>
          <w:tcPr>
            <w:tcW w:type="dxa" w:w="1560"/>
          </w:tcPr>
          <w:p>
            <w:pPr>
              <w:spacing w:before="0" w:after="0" w:line="276" w:lineRule="auto"/>
              <w:jc w:val="left"/>
            </w:pPr>
            <w:r>
              <w:rPr>
                <w:rFonts w:ascii="Times New Roman" w:hAnsi="Times New Roman"/>
                <w:b w:val="0"/>
                <w:i w:val="0"/>
                <w:sz w:val="20"/>
              </w:rPr>
              <w:t>2,600 – 3,100</w:t>
            </w:r>
          </w:p>
        </w:tc>
        <w:tc>
          <w:tcPr>
            <w:tcW w:type="dxa" w:w="1560"/>
          </w:tcPr>
          <w:p>
            <w:pPr>
              <w:spacing w:before="0" w:after="0" w:line="276" w:lineRule="auto"/>
              <w:jc w:val="left"/>
            </w:pPr>
            <w:r>
              <w:rPr>
                <w:rFonts w:ascii="Times New Roman" w:hAnsi="Times New Roman"/>
                <w:b w:val="0"/>
                <w:i w:val="0"/>
                <w:sz w:val="20"/>
              </w:rPr>
              <w:t>10 – 20% (vs Virgin Concrete)</w:t>
            </w:r>
          </w:p>
        </w:tc>
        <w:tc>
          <w:tcPr>
            <w:tcW w:type="dxa" w:w="1560"/>
          </w:tcPr>
          <w:p>
            <w:pPr>
              <w:spacing w:before="0" w:after="0" w:line="276" w:lineRule="auto"/>
              <w:jc w:val="left"/>
            </w:pPr>
            <w:r>
              <w:rPr>
                <w:rFonts w:ascii="Times New Roman" w:hAnsi="Times New Roman"/>
                <w:b w:val="0"/>
                <w:i w:val="0"/>
                <w:sz w:val="20"/>
              </w:rPr>
              <w:t>Avoided quarry blasting, crushing, and virgin haulage</w:t>
            </w:r>
          </w:p>
        </w:tc>
        <w:tc>
          <w:tcPr>
            <w:tcW w:type="dxa" w:w="1560"/>
          </w:tcPr>
          <w:p>
            <w:pPr>
              <w:spacing w:before="0" w:after="0" w:line="276" w:lineRule="auto"/>
              <w:jc w:val="left"/>
            </w:pPr>
            <w:r>
              <w:rPr>
                <w:rFonts w:ascii="Times New Roman" w:hAnsi="Times New Roman"/>
                <w:b w:val="0"/>
                <w:i w:val="0"/>
                <w:sz w:val="20"/>
              </w:rPr>
              <w:t>Circular resource efficiency</w:t>
            </w:r>
          </w:p>
        </w:tc>
      </w:tr>
      <w:tr>
        <w:tc>
          <w:tcPr>
            <w:tcW w:type="dxa" w:w="1560"/>
          </w:tcPr>
          <w:p>
            <w:pPr>
              <w:spacing w:before="0" w:after="0" w:line="276" w:lineRule="auto"/>
              <w:jc w:val="left"/>
            </w:pPr>
            <w:r>
              <w:rPr>
                <w:rFonts w:ascii="Times New Roman" w:hAnsi="Times New Roman"/>
                <w:b w:val="0"/>
                <w:i w:val="0"/>
                <w:sz w:val="20"/>
              </w:rPr>
              <w:t>Sand-Plastic Composite Pavers</w:t>
            </w:r>
          </w:p>
        </w:tc>
        <w:tc>
          <w:tcPr>
            <w:tcW w:type="dxa" w:w="1560"/>
          </w:tcPr>
          <w:p>
            <w:pPr>
              <w:spacing w:before="0" w:after="0" w:line="276" w:lineRule="auto"/>
              <w:jc w:val="left"/>
            </w:pPr>
            <w:r>
              <w:rPr>
                <w:rFonts w:ascii="Times New Roman" w:hAnsi="Times New Roman"/>
                <w:b w:val="0"/>
                <w:i w:val="0"/>
                <w:sz w:val="20"/>
              </w:rPr>
              <w:t>85 – 165</w:t>
            </w:r>
          </w:p>
        </w:tc>
        <w:tc>
          <w:tcPr>
            <w:tcW w:type="dxa" w:w="1560"/>
          </w:tcPr>
          <w:p>
            <w:pPr>
              <w:spacing w:before="0" w:after="0" w:line="276" w:lineRule="auto"/>
              <w:jc w:val="left"/>
            </w:pPr>
            <w:r>
              <w:rPr>
                <w:rFonts w:ascii="Times New Roman" w:hAnsi="Times New Roman"/>
                <w:b w:val="0"/>
                <w:i w:val="0"/>
                <w:sz w:val="20"/>
              </w:rPr>
              <w:t>1,200 – 2,200</w:t>
            </w:r>
          </w:p>
        </w:tc>
        <w:tc>
          <w:tcPr>
            <w:tcW w:type="dxa" w:w="1560"/>
          </w:tcPr>
          <w:p>
            <w:pPr>
              <w:spacing w:before="0" w:after="0" w:line="276" w:lineRule="auto"/>
              <w:jc w:val="left"/>
            </w:pPr>
            <w:r>
              <w:rPr>
                <w:rFonts w:ascii="Times New Roman" w:hAnsi="Times New Roman"/>
                <w:b w:val="0"/>
                <w:i w:val="0"/>
                <w:sz w:val="20"/>
              </w:rPr>
              <w:t>45 – 65% (vs Cement Pavers)</w:t>
            </w:r>
          </w:p>
        </w:tc>
        <w:tc>
          <w:tcPr>
            <w:tcW w:type="dxa" w:w="1560"/>
          </w:tcPr>
          <w:p>
            <w:pPr>
              <w:spacing w:before="0" w:after="0" w:line="276" w:lineRule="auto"/>
              <w:jc w:val="left"/>
            </w:pPr>
            <w:r>
              <w:rPr>
                <w:rFonts w:ascii="Times New Roman" w:hAnsi="Times New Roman"/>
                <w:b w:val="0"/>
                <w:i w:val="0"/>
                <w:sz w:val="20"/>
              </w:rPr>
              <w:t>Zero cement; circular entrapment of municipal plastic</w:t>
            </w:r>
          </w:p>
        </w:tc>
        <w:tc>
          <w:tcPr>
            <w:tcW w:type="dxa" w:w="1560"/>
          </w:tcPr>
          <w:p>
            <w:pPr>
              <w:spacing w:before="0" w:after="0" w:line="276" w:lineRule="auto"/>
              <w:jc w:val="left"/>
            </w:pPr>
            <w:r>
              <w:rPr>
                <w:rFonts w:ascii="Times New Roman" w:hAnsi="Times New Roman"/>
                <w:b w:val="0"/>
                <w:i w:val="0"/>
                <w:sz w:val="20"/>
              </w:rPr>
              <w:t>Permanent polymer carbon sink</w:t>
            </w:r>
          </w:p>
        </w:tc>
      </w:tr>
      <w:tr>
        <w:tc>
          <w:tcPr>
            <w:tcW w:type="dxa" w:w="1560"/>
          </w:tcPr>
          <w:p>
            <w:pPr>
              <w:spacing w:before="0" w:after="0" w:line="276" w:lineRule="auto"/>
              <w:jc w:val="left"/>
            </w:pPr>
            <w:r>
              <w:rPr>
                <w:rFonts w:ascii="Times New Roman" w:hAnsi="Times New Roman"/>
                <w:b w:val="0"/>
                <w:i w:val="0"/>
                <w:sz w:val="20"/>
              </w:rPr>
              <w:t>Structural Bamboo Culms</w:t>
            </w:r>
          </w:p>
        </w:tc>
        <w:tc>
          <w:tcPr>
            <w:tcW w:type="dxa" w:w="1560"/>
          </w:tcPr>
          <w:p>
            <w:pPr>
              <w:spacing w:before="0" w:after="0" w:line="276" w:lineRule="auto"/>
              <w:jc w:val="left"/>
            </w:pPr>
            <w:r>
              <w:rPr>
                <w:rFonts w:ascii="Times New Roman" w:hAnsi="Times New Roman"/>
                <w:b w:val="0"/>
                <w:i w:val="0"/>
                <w:sz w:val="20"/>
              </w:rPr>
              <w:t>-120 to -350</w:t>
            </w:r>
          </w:p>
        </w:tc>
        <w:tc>
          <w:tcPr>
            <w:tcW w:type="dxa" w:w="1560"/>
          </w:tcPr>
          <w:p>
            <w:pPr>
              <w:spacing w:before="0" w:after="0" w:line="276" w:lineRule="auto"/>
              <w:jc w:val="left"/>
            </w:pPr>
            <w:r>
              <w:rPr>
                <w:rFonts w:ascii="Times New Roman" w:hAnsi="Times New Roman"/>
                <w:b w:val="0"/>
                <w:i w:val="0"/>
                <w:sz w:val="20"/>
              </w:rPr>
              <w:t>450 – 850</w:t>
            </w:r>
          </w:p>
        </w:tc>
        <w:tc>
          <w:tcPr>
            <w:tcW w:type="dxa" w:w="1560"/>
          </w:tcPr>
          <w:p>
            <w:pPr>
              <w:spacing w:before="0" w:after="0" w:line="276" w:lineRule="auto"/>
              <w:jc w:val="left"/>
            </w:pPr>
            <w:r>
              <w:rPr>
                <w:rFonts w:ascii="Times New Roman" w:hAnsi="Times New Roman"/>
                <w:b w:val="0"/>
                <w:i w:val="0"/>
                <w:sz w:val="20"/>
              </w:rPr>
              <w:t>&gt;100% Net Negative Sink</w:t>
            </w:r>
          </w:p>
        </w:tc>
        <w:tc>
          <w:tcPr>
            <w:tcW w:type="dxa" w:w="1560"/>
          </w:tcPr>
          <w:p>
            <w:pPr>
              <w:spacing w:before="0" w:after="0" w:line="276" w:lineRule="auto"/>
              <w:jc w:val="left"/>
            </w:pPr>
            <w:r>
              <w:rPr>
                <w:rFonts w:ascii="Times New Roman" w:hAnsi="Times New Roman"/>
                <w:b w:val="0"/>
                <w:i w:val="0"/>
                <w:sz w:val="20"/>
              </w:rPr>
              <w:t>Rapid photosynthesis during 3–4 year growth cycle</w:t>
            </w:r>
          </w:p>
        </w:tc>
        <w:tc>
          <w:tcPr>
            <w:tcW w:type="dxa" w:w="1560"/>
          </w:tcPr>
          <w:p>
            <w:pPr>
              <w:spacing w:before="0" w:after="0" w:line="276" w:lineRule="auto"/>
              <w:jc w:val="left"/>
            </w:pPr>
            <w:r>
              <w:rPr>
                <w:rFonts w:ascii="Times New Roman" w:hAnsi="Times New Roman"/>
                <w:b w:val="0"/>
                <w:i w:val="0"/>
                <w:sz w:val="20"/>
              </w:rPr>
              <w:t>True Carbon Negative (-120 to -350 kg CO2/m3)</w:t>
            </w:r>
          </w:p>
        </w:tc>
      </w:tr>
      <w:tr>
        <w:tc>
          <w:tcPr>
            <w:tcW w:type="dxa" w:w="1560"/>
          </w:tcPr>
          <w:p>
            <w:pPr>
              <w:spacing w:before="0" w:after="0" w:line="276" w:lineRule="auto"/>
              <w:jc w:val="left"/>
            </w:pPr>
            <w:r>
              <w:rPr>
                <w:rFonts w:ascii="Times New Roman" w:hAnsi="Times New Roman"/>
                <w:b w:val="0"/>
                <w:i w:val="0"/>
                <w:sz w:val="20"/>
              </w:rPr>
              <w:t>Conventional OPC Concrete Baseline</w:t>
            </w:r>
          </w:p>
        </w:tc>
        <w:tc>
          <w:tcPr>
            <w:tcW w:type="dxa" w:w="1560"/>
          </w:tcPr>
          <w:p>
            <w:pPr>
              <w:spacing w:before="0" w:after="0" w:line="276" w:lineRule="auto"/>
              <w:jc w:val="left"/>
            </w:pPr>
            <w:r>
              <w:rPr>
                <w:rFonts w:ascii="Times New Roman" w:hAnsi="Times New Roman"/>
                <w:b w:val="0"/>
                <w:i w:val="0"/>
                <w:sz w:val="20"/>
              </w:rPr>
              <w:t>320 – 380</w:t>
            </w:r>
          </w:p>
        </w:tc>
        <w:tc>
          <w:tcPr>
            <w:tcW w:type="dxa" w:w="1560"/>
          </w:tcPr>
          <w:p>
            <w:pPr>
              <w:spacing w:before="0" w:after="0" w:line="276" w:lineRule="auto"/>
              <w:jc w:val="left"/>
            </w:pPr>
            <w:r>
              <w:rPr>
                <w:rFonts w:ascii="Times New Roman" w:hAnsi="Times New Roman"/>
                <w:b w:val="0"/>
                <w:i w:val="0"/>
                <w:sz w:val="20"/>
              </w:rPr>
              <w:t>3,200 – 4,100</w:t>
            </w:r>
          </w:p>
        </w:tc>
        <w:tc>
          <w:tcPr>
            <w:tcW w:type="dxa" w:w="1560"/>
          </w:tcPr>
          <w:p>
            <w:pPr>
              <w:spacing w:before="0" w:after="0" w:line="276" w:lineRule="auto"/>
              <w:jc w:val="left"/>
            </w:pPr>
            <w:r>
              <w:rPr>
                <w:rFonts w:ascii="Times New Roman" w:hAnsi="Times New Roman"/>
                <w:b w:val="0"/>
                <w:i w:val="0"/>
                <w:sz w:val="20"/>
              </w:rPr>
              <w:t>0% (Reference Baseline)</w:t>
            </w:r>
          </w:p>
        </w:tc>
        <w:tc>
          <w:tcPr>
            <w:tcW w:type="dxa" w:w="1560"/>
          </w:tcPr>
          <w:p>
            <w:pPr>
              <w:spacing w:before="0" w:after="0" w:line="276" w:lineRule="auto"/>
              <w:jc w:val="left"/>
            </w:pPr>
            <w:r>
              <w:rPr>
                <w:rFonts w:ascii="Times New Roman" w:hAnsi="Times New Roman"/>
                <w:b w:val="0"/>
                <w:i w:val="0"/>
                <w:sz w:val="20"/>
              </w:rPr>
              <w:t>High-temperature clinker calcination (CaCO3 -&gt; CaO)</w:t>
            </w:r>
          </w:p>
        </w:tc>
        <w:tc>
          <w:tcPr>
            <w:tcW w:type="dxa" w:w="1560"/>
          </w:tcPr>
          <w:p>
            <w:pPr>
              <w:spacing w:before="0" w:after="0" w:line="276" w:lineRule="auto"/>
              <w:jc w:val="left"/>
            </w:pPr>
            <w:r>
              <w:rPr>
                <w:rFonts w:ascii="Times New Roman" w:hAnsi="Times New Roman"/>
                <w:b w:val="0"/>
                <w:i w:val="0"/>
                <w:sz w:val="20"/>
              </w:rPr>
              <w:t>High net carbon emission</w:t>
            </w:r>
          </w:p>
        </w:tc>
      </w:tr>
      <w:tr>
        <w:tc>
          <w:tcPr>
            <w:tcW w:type="dxa" w:w="1560"/>
          </w:tcPr>
          <w:p>
            <w:pPr>
              <w:spacing w:before="0" w:after="0" w:line="276" w:lineRule="auto"/>
              <w:jc w:val="left"/>
            </w:pPr>
            <w:r>
              <w:rPr>
                <w:rFonts w:ascii="Times New Roman" w:hAnsi="Times New Roman"/>
                <w:b w:val="0"/>
                <w:i w:val="0"/>
                <w:sz w:val="20"/>
              </w:rPr>
              <w:t>Artisanal Fired Clay Brick Baseline</w:t>
            </w:r>
          </w:p>
        </w:tc>
        <w:tc>
          <w:tcPr>
            <w:tcW w:type="dxa" w:w="1560"/>
          </w:tcPr>
          <w:p>
            <w:pPr>
              <w:spacing w:before="0" w:after="0" w:line="276" w:lineRule="auto"/>
              <w:jc w:val="left"/>
            </w:pPr>
            <w:r>
              <w:rPr>
                <w:rFonts w:ascii="Times New Roman" w:hAnsi="Times New Roman"/>
                <w:b w:val="0"/>
                <w:i w:val="0"/>
                <w:sz w:val="20"/>
              </w:rPr>
              <w:t>260 – 340</w:t>
            </w:r>
          </w:p>
        </w:tc>
        <w:tc>
          <w:tcPr>
            <w:tcW w:type="dxa" w:w="1560"/>
          </w:tcPr>
          <w:p>
            <w:pPr>
              <w:spacing w:before="0" w:after="0" w:line="276" w:lineRule="auto"/>
              <w:jc w:val="left"/>
            </w:pPr>
            <w:r>
              <w:rPr>
                <w:rFonts w:ascii="Times New Roman" w:hAnsi="Times New Roman"/>
                <w:b w:val="0"/>
                <w:i w:val="0"/>
                <w:sz w:val="20"/>
              </w:rPr>
              <w:t>3,800 – 5,200</w:t>
            </w:r>
          </w:p>
        </w:tc>
        <w:tc>
          <w:tcPr>
            <w:tcW w:type="dxa" w:w="1560"/>
          </w:tcPr>
          <w:p>
            <w:pPr>
              <w:spacing w:before="0" w:after="0" w:line="276" w:lineRule="auto"/>
              <w:jc w:val="left"/>
            </w:pPr>
            <w:r>
              <w:rPr>
                <w:rFonts w:ascii="Times New Roman" w:hAnsi="Times New Roman"/>
                <w:b w:val="0"/>
                <w:i w:val="0"/>
                <w:sz w:val="20"/>
              </w:rPr>
              <w:t>0% (Reference Baseline)</w:t>
            </w:r>
          </w:p>
        </w:tc>
        <w:tc>
          <w:tcPr>
            <w:tcW w:type="dxa" w:w="1560"/>
          </w:tcPr>
          <w:p>
            <w:pPr>
              <w:spacing w:before="0" w:after="0" w:line="276" w:lineRule="auto"/>
              <w:jc w:val="left"/>
            </w:pPr>
            <w:r>
              <w:rPr>
                <w:rFonts w:ascii="Times New Roman" w:hAnsi="Times New Roman"/>
                <w:b w:val="0"/>
                <w:i w:val="0"/>
                <w:sz w:val="20"/>
              </w:rPr>
              <w:t>Inefficient wood/coal combustion in artisanal clamp kilns</w:t>
            </w:r>
          </w:p>
        </w:tc>
        <w:tc>
          <w:tcPr>
            <w:tcW w:type="dxa" w:w="1560"/>
          </w:tcPr>
          <w:p>
            <w:pPr>
              <w:spacing w:before="0" w:after="0" w:line="276" w:lineRule="auto"/>
              <w:jc w:val="left"/>
            </w:pPr>
            <w:r>
              <w:rPr>
                <w:rFonts w:ascii="Times New Roman" w:hAnsi="Times New Roman"/>
                <w:b w:val="0"/>
                <w:i w:val="0"/>
                <w:sz w:val="20"/>
              </w:rPr>
              <w:t>Severe deforestation footprint</w:t>
            </w:r>
          </w:p>
        </w:tc>
      </w:tr>
    </w:tbl>
    <w:p>
      <w:pPr>
        <w:spacing w:before="80" w:after="240" w:line="276" w:lineRule="auto"/>
        <w:jc w:val="left"/>
      </w:pPr>
      <w:r>
        <w:rPr>
          <w:rFonts w:ascii="Times New Roman" w:hAnsi="Times New Roman"/>
          <w:b w:val="0"/>
          <w:i w:val="0"/>
          <w:sz w:val="20"/>
        </w:rPr>
        <w:t xml:space="preserve">Note. </w:t>
      </w:r>
      <w:r>
        <w:rPr>
          <w:rFonts w:ascii="Times New Roman" w:hAnsi="Times New Roman"/>
          <w:b w:val="0"/>
          <w:i w:val="0"/>
          <w:sz w:val="20"/>
        </w:rPr>
        <w:t>Data compiled from n = 312 empirical Life Cycle Assessment (LCA) studies adhering to ISO 14040/44 standards.</w:t>
      </w:r>
    </w:p>
    <w:p>
      <w:pPr>
        <w:spacing w:before="240" w:after="120" w:line="480" w:lineRule="auto"/>
        <w:jc w:val="center"/>
      </w:pPr>
      <w:r>
        <w:rPr>
          <w:rFonts w:ascii="Times New Roman" w:hAnsi="Times New Roman"/>
          <w:b/>
          <w:i w:val="0"/>
          <w:sz w:val="24"/>
        </w:rPr>
        <w:t>4. Critical Discussion, Risk of Bias &amp; Strategic Framework</w:t>
      </w:r>
    </w:p>
    <w:p>
      <w:pPr>
        <w:spacing w:before="240" w:after="80" w:line="480" w:lineRule="auto"/>
        <w:jc w:val="left"/>
      </w:pPr>
      <w:r>
        <w:rPr>
          <w:rFonts w:ascii="Times New Roman" w:hAnsi="Times New Roman"/>
          <w:b/>
          <w:i w:val="0"/>
          <w:sz w:val="24"/>
        </w:rPr>
        <w:t>4.1 Methodological Quality &amp; Risk of Bias Synthesis across 2,822 Studies</w:t>
      </w:r>
    </w:p>
    <w:p>
      <w:pPr>
        <w:spacing w:before="0" w:after="0" w:line="480" w:lineRule="auto"/>
        <w:ind w:firstLine="720"/>
        <w:jc w:val="left"/>
      </w:pPr>
      <w:r>
        <w:rPr>
          <w:rFonts w:ascii="Times New Roman" w:hAnsi="Times New Roman"/>
          <w:b w:val="0"/>
          <w:i w:val="0"/>
          <w:sz w:val="24"/>
        </w:rPr>
        <w:t>Rigorous systematic evidence synthesis requires evaluating the internal methodological validity of the underlying empirical literature. Applying the 9-item Joanna Briggs Institute (JBI) Critical Appraisal Checklist for Quasi-Experimental Studies across all 2,822 included publications reveals a high overall standard of laboratory experimentation, accompanied by specific systematic reporting deficiencies.</w:t>
      </w:r>
    </w:p>
    <w:p>
      <w:pPr>
        <w:spacing w:before="0" w:after="0" w:line="480" w:lineRule="auto"/>
        <w:ind w:firstLine="720"/>
        <w:jc w:val="left"/>
      </w:pPr>
      <w:r>
        <w:rPr>
          <w:rFonts w:ascii="Times New Roman" w:hAnsi="Times New Roman"/>
          <w:b w:val="0"/>
          <w:i w:val="0"/>
          <w:sz w:val="24"/>
        </w:rPr>
        <w:t>Table 5 provides the itemized JBI compliance breakdown across the five material taxonomic classes.</w:t>
      </w:r>
    </w:p>
    <w:p>
      <w:pPr>
        <w:spacing w:before="0" w:after="0" w:line="480" w:lineRule="auto"/>
        <w:ind w:firstLine="720"/>
        <w:jc w:val="left"/>
      </w:pPr>
      <w:r>
        <w:rPr>
          <w:rFonts w:ascii="Times New Roman" w:hAnsi="Times New Roman"/>
          <w:b w:val="0"/>
          <w:i w:val="0"/>
          <w:sz w:val="24"/>
        </w:rPr>
        <w:t>As demonstrated in Table 5, the continental evidence base demonstrates exceptional adherence to fundamental experimental testing protocols. A staggering 100.0% of studies clearly established a direct cause-and-effect relationship (Q1) between the material modification (e.g., % replacement of cement by rice husk ash, or compaction pressure in CSEBs) and the resulting mechanical performance. Furthermore, 99.8% of studies incorporated a formal control group (Q4)—such as an unblended 100% Ordinary Portland Cement mix or an unstabilized earth block—tested under identical curing conditions. Over 97% of studies executed multiple longitudinal curing measurements (Q5), testing specimens across standard curing benchmarks (e.g., 7, 14, 28, and 56 days). Compliance with standardized testing protocols (Q7) and calibrated instrumentation (Q8) reached 100.0% and 99.8%, respectively, with researchers adhering to internationally recognized standards (ASTM, BS EN, ISO) or national standards (NIS, SANS).</w:t>
      </w:r>
    </w:p>
    <w:p>
      <w:pPr>
        <w:spacing w:before="0" w:after="0" w:line="480" w:lineRule="auto"/>
        <w:ind w:firstLine="720"/>
        <w:jc w:val="left"/>
      </w:pPr>
      <w:r>
        <w:rPr>
          <w:rFonts w:ascii="Times New Roman" w:hAnsi="Times New Roman"/>
          <w:b w:val="0"/>
          <w:i w:val="0"/>
          <w:sz w:val="24"/>
        </w:rPr>
        <w:t>However, the primary methodological vulnerability across the African literature lies in statistical analysis and variance reporting (Q9), which achieved an overall compliance rate of only 77.5%. A significant proportion of empirical publications report only single mean values for compressive strength or water absorption without providing standard deviations, coefficients of variation, confidence intervals, or ANOVA significance testing across replicate batches. This reporting deficit is particularly acute in the bio-based class (68.2%) and recycled aggregate class (71.4%), where natural biological variability in bamboo culms and heterogeneity in demolition rubble require rigorous statistical characterization. Reviewers and journal editors must mandate comprehensive statistical reporting, including variance metrics across a minimum of three replicate specimens, in future experimental publications.</w:t>
      </w:r>
    </w:p>
    <w:p>
      <w:pPr>
        <w:spacing w:before="240" w:after="40" w:line="480" w:lineRule="auto"/>
        <w:jc w:val="left"/>
      </w:pPr>
      <w:r>
        <w:rPr>
          <w:rFonts w:ascii="Times New Roman" w:hAnsi="Times New Roman"/>
          <w:b/>
          <w:i w:val="0"/>
          <w:sz w:val="24"/>
        </w:rPr>
        <w:t>Table 5</w:t>
      </w:r>
    </w:p>
    <w:p>
      <w:pPr>
        <w:spacing w:before="0" w:after="120" w:line="480" w:lineRule="auto"/>
        <w:jc w:val="left"/>
      </w:pPr>
      <w:r>
        <w:rPr>
          <w:rFonts w:ascii="Times New Roman" w:hAnsi="Times New Roman"/>
          <w:b w:val="0"/>
          <w:i/>
          <w:sz w:val="24"/>
        </w:rPr>
        <w:t>Methodological Quality Appraisal and Risk of Bias Summary (JBI 9-Item Checklist)</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337"/>
        <w:gridCol w:w="1337"/>
        <w:gridCol w:w="1337"/>
        <w:gridCol w:w="1337"/>
        <w:gridCol w:w="1337"/>
        <w:gridCol w:w="1337"/>
        <w:gridCol w:w="1337"/>
      </w:tblGrid>
      <w:tr>
        <w:trPr/>
        <w:tc>
          <w:tcPr>
            <w:tcW w:type="dxa" w:w="1337"/>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JBI Checklist Appraisal Criterion</w:t>
            </w:r>
          </w:p>
        </w:tc>
        <w:tc>
          <w:tcPr>
            <w:tcW w:type="dxa" w:w="1337"/>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Earth Masonry (n=884)</w:t>
            </w:r>
          </w:p>
        </w:tc>
        <w:tc>
          <w:tcPr>
            <w:tcW w:type="dxa" w:w="1337"/>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Low-Carbon Binders (n=995)</w:t>
            </w:r>
          </w:p>
        </w:tc>
        <w:tc>
          <w:tcPr>
            <w:tcW w:type="dxa" w:w="1337"/>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Recycled &amp; Waste (n=444)</w:t>
            </w:r>
          </w:p>
        </w:tc>
        <w:tc>
          <w:tcPr>
            <w:tcW w:type="dxa" w:w="1337"/>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Bio-Based (n=358)</w:t>
            </w:r>
          </w:p>
        </w:tc>
        <w:tc>
          <w:tcPr>
            <w:tcW w:type="dxa" w:w="1337"/>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Smart Systems (n=141)</w:t>
            </w:r>
          </w:p>
        </w:tc>
        <w:tc>
          <w:tcPr>
            <w:tcW w:type="dxa" w:w="1337"/>
            <w:tcBorders>
              <w:top w:val="single" w:sz="12" w:space="0" w:color="000000"/>
              <w:bottom w:val="single" w:sz="12" w:space="0" w:color="000000"/>
              <w:left w:val="none"/>
              <w:right w:val="none"/>
            </w:tcBorders>
          </w:tcPr>
          <w:p>
            <w:pPr>
              <w:spacing w:before="0" w:after="0" w:line="276" w:lineRule="auto"/>
              <w:jc w:val="left"/>
            </w:pPr>
            <w:r>
              <w:rPr>
                <w:rFonts w:ascii="Times New Roman" w:hAnsi="Times New Roman"/>
                <w:b/>
                <w:i w:val="0"/>
                <w:sz w:val="20"/>
              </w:rPr>
              <w:t>Full Evidence (N=2,822)</w:t>
            </w:r>
          </w:p>
        </w:tc>
      </w:tr>
      <w:tr>
        <w:tc>
          <w:tcPr>
            <w:tcW w:type="dxa" w:w="1337"/>
          </w:tcPr>
          <w:p>
            <w:pPr>
              <w:spacing w:before="0" w:after="0" w:line="276" w:lineRule="auto"/>
              <w:jc w:val="left"/>
            </w:pPr>
            <w:r>
              <w:rPr>
                <w:rFonts w:ascii="Times New Roman" w:hAnsi="Times New Roman"/>
                <w:b w:val="0"/>
                <w:i w:val="0"/>
                <w:sz w:val="20"/>
              </w:rPr>
              <w:t>Q1: Clear Cause and Effect Relationship</w:t>
            </w:r>
          </w:p>
        </w:tc>
        <w:tc>
          <w:tcPr>
            <w:tcW w:type="dxa" w:w="1337"/>
          </w:tcPr>
          <w:p>
            <w:pPr>
              <w:spacing w:before="0" w:after="0" w:line="276" w:lineRule="auto"/>
              <w:jc w:val="left"/>
            </w:pPr>
            <w:r>
              <w:rPr>
                <w:rFonts w:ascii="Times New Roman" w:hAnsi="Times New Roman"/>
                <w:b w:val="0"/>
                <w:i w:val="0"/>
                <w:sz w:val="20"/>
              </w:rPr>
              <w:t>100.0%</w:t>
            </w:r>
          </w:p>
        </w:tc>
        <w:tc>
          <w:tcPr>
            <w:tcW w:type="dxa" w:w="1337"/>
          </w:tcPr>
          <w:p>
            <w:pPr>
              <w:spacing w:before="0" w:after="0" w:line="276" w:lineRule="auto"/>
              <w:jc w:val="left"/>
            </w:pPr>
            <w:r>
              <w:rPr>
                <w:rFonts w:ascii="Times New Roman" w:hAnsi="Times New Roman"/>
                <w:b w:val="0"/>
                <w:i w:val="0"/>
                <w:sz w:val="20"/>
              </w:rPr>
              <w:t>100.0%</w:t>
            </w:r>
          </w:p>
        </w:tc>
        <w:tc>
          <w:tcPr>
            <w:tcW w:type="dxa" w:w="1337"/>
          </w:tcPr>
          <w:p>
            <w:pPr>
              <w:spacing w:before="0" w:after="0" w:line="276" w:lineRule="auto"/>
              <w:jc w:val="left"/>
            </w:pPr>
            <w:r>
              <w:rPr>
                <w:rFonts w:ascii="Times New Roman" w:hAnsi="Times New Roman"/>
                <w:b w:val="0"/>
                <w:i w:val="0"/>
                <w:sz w:val="20"/>
              </w:rPr>
              <w:t>100.0%</w:t>
            </w:r>
          </w:p>
        </w:tc>
        <w:tc>
          <w:tcPr>
            <w:tcW w:type="dxa" w:w="1337"/>
          </w:tcPr>
          <w:p>
            <w:pPr>
              <w:spacing w:before="0" w:after="0" w:line="276" w:lineRule="auto"/>
              <w:jc w:val="left"/>
            </w:pPr>
            <w:r>
              <w:rPr>
                <w:rFonts w:ascii="Times New Roman" w:hAnsi="Times New Roman"/>
                <w:b w:val="0"/>
                <w:i w:val="0"/>
                <w:sz w:val="20"/>
              </w:rPr>
              <w:t>100.0%</w:t>
            </w:r>
          </w:p>
        </w:tc>
        <w:tc>
          <w:tcPr>
            <w:tcW w:type="dxa" w:w="1337"/>
          </w:tcPr>
          <w:p>
            <w:pPr>
              <w:spacing w:before="0" w:after="0" w:line="276" w:lineRule="auto"/>
              <w:jc w:val="left"/>
            </w:pPr>
            <w:r>
              <w:rPr>
                <w:rFonts w:ascii="Times New Roman" w:hAnsi="Times New Roman"/>
                <w:b w:val="0"/>
                <w:i w:val="0"/>
                <w:sz w:val="20"/>
              </w:rPr>
              <w:t>100.0%</w:t>
            </w:r>
          </w:p>
        </w:tc>
        <w:tc>
          <w:tcPr>
            <w:tcW w:type="dxa" w:w="1337"/>
          </w:tcPr>
          <w:p>
            <w:pPr>
              <w:spacing w:before="0" w:after="0" w:line="276" w:lineRule="auto"/>
              <w:jc w:val="left"/>
            </w:pPr>
            <w:r>
              <w:rPr>
                <w:rFonts w:ascii="Times New Roman" w:hAnsi="Times New Roman"/>
                <w:b w:val="0"/>
                <w:i w:val="0"/>
                <w:sz w:val="20"/>
              </w:rPr>
              <w:t>100.0%</w:t>
            </w:r>
          </w:p>
        </w:tc>
      </w:tr>
      <w:tr>
        <w:tc>
          <w:tcPr>
            <w:tcW w:type="dxa" w:w="1337"/>
          </w:tcPr>
          <w:p>
            <w:pPr>
              <w:spacing w:before="0" w:after="0" w:line="276" w:lineRule="auto"/>
              <w:jc w:val="left"/>
            </w:pPr>
            <w:r>
              <w:rPr>
                <w:rFonts w:ascii="Times New Roman" w:hAnsi="Times New Roman"/>
                <w:b w:val="0"/>
                <w:i w:val="0"/>
                <w:sz w:val="20"/>
              </w:rPr>
              <w:t>Q2: Similar Baseline Comparison Groups</w:t>
            </w:r>
          </w:p>
        </w:tc>
        <w:tc>
          <w:tcPr>
            <w:tcW w:type="dxa" w:w="1337"/>
          </w:tcPr>
          <w:p>
            <w:pPr>
              <w:spacing w:before="0" w:after="0" w:line="276" w:lineRule="auto"/>
              <w:jc w:val="left"/>
            </w:pPr>
            <w:r>
              <w:rPr>
                <w:rFonts w:ascii="Times New Roman" w:hAnsi="Times New Roman"/>
                <w:b w:val="0"/>
                <w:i w:val="0"/>
                <w:sz w:val="20"/>
              </w:rPr>
              <w:t>98.4%</w:t>
            </w:r>
          </w:p>
        </w:tc>
        <w:tc>
          <w:tcPr>
            <w:tcW w:type="dxa" w:w="1337"/>
          </w:tcPr>
          <w:p>
            <w:pPr>
              <w:spacing w:before="0" w:after="0" w:line="276" w:lineRule="auto"/>
              <w:jc w:val="left"/>
            </w:pPr>
            <w:r>
              <w:rPr>
                <w:rFonts w:ascii="Times New Roman" w:hAnsi="Times New Roman"/>
                <w:b w:val="0"/>
                <w:i w:val="0"/>
                <w:sz w:val="20"/>
              </w:rPr>
              <w:t>99.1%</w:t>
            </w:r>
          </w:p>
        </w:tc>
        <w:tc>
          <w:tcPr>
            <w:tcW w:type="dxa" w:w="1337"/>
          </w:tcPr>
          <w:p>
            <w:pPr>
              <w:spacing w:before="0" w:after="0" w:line="276" w:lineRule="auto"/>
              <w:jc w:val="left"/>
            </w:pPr>
            <w:r>
              <w:rPr>
                <w:rFonts w:ascii="Times New Roman" w:hAnsi="Times New Roman"/>
                <w:b w:val="0"/>
                <w:i w:val="0"/>
                <w:sz w:val="20"/>
              </w:rPr>
              <w:t>97.5%</w:t>
            </w:r>
          </w:p>
        </w:tc>
        <w:tc>
          <w:tcPr>
            <w:tcW w:type="dxa" w:w="1337"/>
          </w:tcPr>
          <w:p>
            <w:pPr>
              <w:spacing w:before="0" w:after="0" w:line="276" w:lineRule="auto"/>
              <w:jc w:val="left"/>
            </w:pPr>
            <w:r>
              <w:rPr>
                <w:rFonts w:ascii="Times New Roman" w:hAnsi="Times New Roman"/>
                <w:b w:val="0"/>
                <w:i w:val="0"/>
                <w:sz w:val="20"/>
              </w:rPr>
              <w:t>95.8%</w:t>
            </w:r>
          </w:p>
        </w:tc>
        <w:tc>
          <w:tcPr>
            <w:tcW w:type="dxa" w:w="1337"/>
          </w:tcPr>
          <w:p>
            <w:pPr>
              <w:spacing w:before="0" w:after="0" w:line="276" w:lineRule="auto"/>
              <w:jc w:val="left"/>
            </w:pPr>
            <w:r>
              <w:rPr>
                <w:rFonts w:ascii="Times New Roman" w:hAnsi="Times New Roman"/>
                <w:b w:val="0"/>
                <w:i w:val="0"/>
                <w:sz w:val="20"/>
              </w:rPr>
              <w:t>98.6%</w:t>
            </w:r>
          </w:p>
        </w:tc>
        <w:tc>
          <w:tcPr>
            <w:tcW w:type="dxa" w:w="1337"/>
          </w:tcPr>
          <w:p>
            <w:pPr>
              <w:spacing w:before="0" w:after="0" w:line="276" w:lineRule="auto"/>
              <w:jc w:val="left"/>
            </w:pPr>
            <w:r>
              <w:rPr>
                <w:rFonts w:ascii="Times New Roman" w:hAnsi="Times New Roman"/>
                <w:b w:val="0"/>
                <w:i w:val="0"/>
                <w:sz w:val="20"/>
              </w:rPr>
              <w:t>98.2%</w:t>
            </w:r>
          </w:p>
        </w:tc>
      </w:tr>
      <w:tr>
        <w:tc>
          <w:tcPr>
            <w:tcW w:type="dxa" w:w="1337"/>
          </w:tcPr>
          <w:p>
            <w:pPr>
              <w:spacing w:before="0" w:after="0" w:line="276" w:lineRule="auto"/>
              <w:jc w:val="left"/>
            </w:pPr>
            <w:r>
              <w:rPr>
                <w:rFonts w:ascii="Times New Roman" w:hAnsi="Times New Roman"/>
                <w:b w:val="0"/>
                <w:i w:val="0"/>
                <w:sz w:val="20"/>
              </w:rPr>
              <w:t>Q3: Consistency of Treatment Comparison</w:t>
            </w:r>
          </w:p>
        </w:tc>
        <w:tc>
          <w:tcPr>
            <w:tcW w:type="dxa" w:w="1337"/>
          </w:tcPr>
          <w:p>
            <w:pPr>
              <w:spacing w:before="0" w:after="0" w:line="276" w:lineRule="auto"/>
              <w:jc w:val="left"/>
            </w:pPr>
            <w:r>
              <w:rPr>
                <w:rFonts w:ascii="Times New Roman" w:hAnsi="Times New Roman"/>
                <w:b w:val="0"/>
                <w:i w:val="0"/>
                <w:sz w:val="20"/>
              </w:rPr>
              <w:t>99.1%</w:t>
            </w:r>
          </w:p>
        </w:tc>
        <w:tc>
          <w:tcPr>
            <w:tcW w:type="dxa" w:w="1337"/>
          </w:tcPr>
          <w:p>
            <w:pPr>
              <w:spacing w:before="0" w:after="0" w:line="276" w:lineRule="auto"/>
              <w:jc w:val="left"/>
            </w:pPr>
            <w:r>
              <w:rPr>
                <w:rFonts w:ascii="Times New Roman" w:hAnsi="Times New Roman"/>
                <w:b w:val="0"/>
                <w:i w:val="0"/>
                <w:sz w:val="20"/>
              </w:rPr>
              <w:t>99.5%</w:t>
            </w:r>
          </w:p>
        </w:tc>
        <w:tc>
          <w:tcPr>
            <w:tcW w:type="dxa" w:w="1337"/>
          </w:tcPr>
          <w:p>
            <w:pPr>
              <w:spacing w:before="0" w:after="0" w:line="276" w:lineRule="auto"/>
              <w:jc w:val="left"/>
            </w:pPr>
            <w:r>
              <w:rPr>
                <w:rFonts w:ascii="Times New Roman" w:hAnsi="Times New Roman"/>
                <w:b w:val="0"/>
                <w:i w:val="0"/>
                <w:sz w:val="20"/>
              </w:rPr>
              <w:t>98.6%</w:t>
            </w:r>
          </w:p>
        </w:tc>
        <w:tc>
          <w:tcPr>
            <w:tcW w:type="dxa" w:w="1337"/>
          </w:tcPr>
          <w:p>
            <w:pPr>
              <w:spacing w:before="0" w:after="0" w:line="276" w:lineRule="auto"/>
              <w:jc w:val="left"/>
            </w:pPr>
            <w:r>
              <w:rPr>
                <w:rFonts w:ascii="Times New Roman" w:hAnsi="Times New Roman"/>
                <w:b w:val="0"/>
                <w:i w:val="0"/>
                <w:sz w:val="20"/>
              </w:rPr>
              <w:t>97.2%</w:t>
            </w:r>
          </w:p>
        </w:tc>
        <w:tc>
          <w:tcPr>
            <w:tcW w:type="dxa" w:w="1337"/>
          </w:tcPr>
          <w:p>
            <w:pPr>
              <w:spacing w:before="0" w:after="0" w:line="276" w:lineRule="auto"/>
              <w:jc w:val="left"/>
            </w:pPr>
            <w:r>
              <w:rPr>
                <w:rFonts w:ascii="Times New Roman" w:hAnsi="Times New Roman"/>
                <w:b w:val="0"/>
                <w:i w:val="0"/>
                <w:sz w:val="20"/>
              </w:rPr>
              <w:t>99.3%</w:t>
            </w:r>
          </w:p>
        </w:tc>
        <w:tc>
          <w:tcPr>
            <w:tcW w:type="dxa" w:w="1337"/>
          </w:tcPr>
          <w:p>
            <w:pPr>
              <w:spacing w:before="0" w:after="0" w:line="276" w:lineRule="auto"/>
              <w:jc w:val="left"/>
            </w:pPr>
            <w:r>
              <w:rPr>
                <w:rFonts w:ascii="Times New Roman" w:hAnsi="Times New Roman"/>
                <w:b w:val="0"/>
                <w:i w:val="0"/>
                <w:sz w:val="20"/>
              </w:rPr>
              <w:t>98.9%</w:t>
            </w:r>
          </w:p>
        </w:tc>
      </w:tr>
      <w:tr>
        <w:tc>
          <w:tcPr>
            <w:tcW w:type="dxa" w:w="1337"/>
          </w:tcPr>
          <w:p>
            <w:pPr>
              <w:spacing w:before="0" w:after="0" w:line="276" w:lineRule="auto"/>
              <w:jc w:val="left"/>
            </w:pPr>
            <w:r>
              <w:rPr>
                <w:rFonts w:ascii="Times New Roman" w:hAnsi="Times New Roman"/>
                <w:b w:val="0"/>
                <w:i w:val="0"/>
                <w:sz w:val="20"/>
              </w:rPr>
              <w:t>Q4: Presence of Control Group (OPC/Baseline)</w:t>
            </w:r>
          </w:p>
        </w:tc>
        <w:tc>
          <w:tcPr>
            <w:tcW w:type="dxa" w:w="1337"/>
          </w:tcPr>
          <w:p>
            <w:pPr>
              <w:spacing w:before="0" w:after="0" w:line="276" w:lineRule="auto"/>
              <w:jc w:val="left"/>
            </w:pPr>
            <w:r>
              <w:rPr>
                <w:rFonts w:ascii="Times New Roman" w:hAnsi="Times New Roman"/>
                <w:b w:val="0"/>
                <w:i w:val="0"/>
                <w:sz w:val="20"/>
              </w:rPr>
              <w:t>100.0%</w:t>
            </w:r>
          </w:p>
        </w:tc>
        <w:tc>
          <w:tcPr>
            <w:tcW w:type="dxa" w:w="1337"/>
          </w:tcPr>
          <w:p>
            <w:pPr>
              <w:spacing w:before="0" w:after="0" w:line="276" w:lineRule="auto"/>
              <w:jc w:val="left"/>
            </w:pPr>
            <w:r>
              <w:rPr>
                <w:rFonts w:ascii="Times New Roman" w:hAnsi="Times New Roman"/>
                <w:b w:val="0"/>
                <w:i w:val="0"/>
                <w:sz w:val="20"/>
              </w:rPr>
              <w:t>100.0%</w:t>
            </w:r>
          </w:p>
        </w:tc>
        <w:tc>
          <w:tcPr>
            <w:tcW w:type="dxa" w:w="1337"/>
          </w:tcPr>
          <w:p>
            <w:pPr>
              <w:spacing w:before="0" w:after="0" w:line="276" w:lineRule="auto"/>
              <w:jc w:val="left"/>
            </w:pPr>
            <w:r>
              <w:rPr>
                <w:rFonts w:ascii="Times New Roman" w:hAnsi="Times New Roman"/>
                <w:b w:val="0"/>
                <w:i w:val="0"/>
                <w:sz w:val="20"/>
              </w:rPr>
              <w:t>100.0%</w:t>
            </w:r>
          </w:p>
        </w:tc>
        <w:tc>
          <w:tcPr>
            <w:tcW w:type="dxa" w:w="1337"/>
          </w:tcPr>
          <w:p>
            <w:pPr>
              <w:spacing w:before="0" w:after="0" w:line="276" w:lineRule="auto"/>
              <w:jc w:val="left"/>
            </w:pPr>
            <w:r>
              <w:rPr>
                <w:rFonts w:ascii="Times New Roman" w:hAnsi="Times New Roman"/>
                <w:b w:val="0"/>
                <w:i w:val="0"/>
                <w:sz w:val="20"/>
              </w:rPr>
              <w:t>98.6%</w:t>
            </w:r>
          </w:p>
        </w:tc>
        <w:tc>
          <w:tcPr>
            <w:tcW w:type="dxa" w:w="1337"/>
          </w:tcPr>
          <w:p>
            <w:pPr>
              <w:spacing w:before="0" w:after="0" w:line="276" w:lineRule="auto"/>
              <w:jc w:val="left"/>
            </w:pPr>
            <w:r>
              <w:rPr>
                <w:rFonts w:ascii="Times New Roman" w:hAnsi="Times New Roman"/>
                <w:b w:val="0"/>
                <w:i w:val="0"/>
                <w:sz w:val="20"/>
              </w:rPr>
              <w:t>100.0%</w:t>
            </w:r>
          </w:p>
        </w:tc>
        <w:tc>
          <w:tcPr>
            <w:tcW w:type="dxa" w:w="1337"/>
          </w:tcPr>
          <w:p>
            <w:pPr>
              <w:spacing w:before="0" w:after="0" w:line="276" w:lineRule="auto"/>
              <w:jc w:val="left"/>
            </w:pPr>
            <w:r>
              <w:rPr>
                <w:rFonts w:ascii="Times New Roman" w:hAnsi="Times New Roman"/>
                <w:b w:val="0"/>
                <w:i w:val="0"/>
                <w:sz w:val="20"/>
              </w:rPr>
              <w:t>99.8%</w:t>
            </w:r>
          </w:p>
        </w:tc>
      </w:tr>
      <w:tr>
        <w:tc>
          <w:tcPr>
            <w:tcW w:type="dxa" w:w="1337"/>
          </w:tcPr>
          <w:p>
            <w:pPr>
              <w:spacing w:before="0" w:after="0" w:line="276" w:lineRule="auto"/>
              <w:jc w:val="left"/>
            </w:pPr>
            <w:r>
              <w:rPr>
                <w:rFonts w:ascii="Times New Roman" w:hAnsi="Times New Roman"/>
                <w:b w:val="0"/>
                <w:i w:val="0"/>
                <w:sz w:val="20"/>
              </w:rPr>
              <w:t>Q5: Multiple Post-Intervention Measures (Curing)</w:t>
            </w:r>
          </w:p>
        </w:tc>
        <w:tc>
          <w:tcPr>
            <w:tcW w:type="dxa" w:w="1337"/>
          </w:tcPr>
          <w:p>
            <w:pPr>
              <w:spacing w:before="0" w:after="0" w:line="276" w:lineRule="auto"/>
              <w:jc w:val="left"/>
            </w:pPr>
            <w:r>
              <w:rPr>
                <w:rFonts w:ascii="Times New Roman" w:hAnsi="Times New Roman"/>
                <w:b w:val="0"/>
                <w:i w:val="0"/>
                <w:sz w:val="20"/>
              </w:rPr>
              <w:t>97.6%</w:t>
            </w:r>
          </w:p>
        </w:tc>
        <w:tc>
          <w:tcPr>
            <w:tcW w:type="dxa" w:w="1337"/>
          </w:tcPr>
          <w:p>
            <w:pPr>
              <w:spacing w:before="0" w:after="0" w:line="276" w:lineRule="auto"/>
              <w:jc w:val="left"/>
            </w:pPr>
            <w:r>
              <w:rPr>
                <w:rFonts w:ascii="Times New Roman" w:hAnsi="Times New Roman"/>
                <w:b w:val="0"/>
                <w:i w:val="0"/>
                <w:sz w:val="20"/>
              </w:rPr>
              <w:t>98.8%</w:t>
            </w:r>
          </w:p>
        </w:tc>
        <w:tc>
          <w:tcPr>
            <w:tcW w:type="dxa" w:w="1337"/>
          </w:tcPr>
          <w:p>
            <w:pPr>
              <w:spacing w:before="0" w:after="0" w:line="276" w:lineRule="auto"/>
              <w:jc w:val="left"/>
            </w:pPr>
            <w:r>
              <w:rPr>
                <w:rFonts w:ascii="Times New Roman" w:hAnsi="Times New Roman"/>
                <w:b w:val="0"/>
                <w:i w:val="0"/>
                <w:sz w:val="20"/>
              </w:rPr>
              <w:t>96.8%</w:t>
            </w:r>
          </w:p>
        </w:tc>
        <w:tc>
          <w:tcPr>
            <w:tcW w:type="dxa" w:w="1337"/>
          </w:tcPr>
          <w:p>
            <w:pPr>
              <w:spacing w:before="0" w:after="0" w:line="276" w:lineRule="auto"/>
              <w:jc w:val="left"/>
            </w:pPr>
            <w:r>
              <w:rPr>
                <w:rFonts w:ascii="Times New Roman" w:hAnsi="Times New Roman"/>
                <w:b w:val="0"/>
                <w:i w:val="0"/>
                <w:sz w:val="20"/>
              </w:rPr>
              <w:t>92.2%</w:t>
            </w:r>
          </w:p>
        </w:tc>
        <w:tc>
          <w:tcPr>
            <w:tcW w:type="dxa" w:w="1337"/>
          </w:tcPr>
          <w:p>
            <w:pPr>
              <w:spacing w:before="0" w:after="0" w:line="276" w:lineRule="auto"/>
              <w:jc w:val="left"/>
            </w:pPr>
            <w:r>
              <w:rPr>
                <w:rFonts w:ascii="Times New Roman" w:hAnsi="Times New Roman"/>
                <w:b w:val="0"/>
                <w:i w:val="0"/>
                <w:sz w:val="20"/>
              </w:rPr>
              <w:t>96.5%</w:t>
            </w:r>
          </w:p>
        </w:tc>
        <w:tc>
          <w:tcPr>
            <w:tcW w:type="dxa" w:w="1337"/>
          </w:tcPr>
          <w:p>
            <w:pPr>
              <w:spacing w:before="0" w:after="0" w:line="276" w:lineRule="auto"/>
              <w:jc w:val="left"/>
            </w:pPr>
            <w:r>
              <w:rPr>
                <w:rFonts w:ascii="Times New Roman" w:hAnsi="Times New Roman"/>
                <w:b w:val="0"/>
                <w:i w:val="0"/>
                <w:sz w:val="20"/>
              </w:rPr>
              <w:t>97.1%</w:t>
            </w:r>
          </w:p>
        </w:tc>
      </w:tr>
      <w:tr>
        <w:tc>
          <w:tcPr>
            <w:tcW w:type="dxa" w:w="1337"/>
          </w:tcPr>
          <w:p>
            <w:pPr>
              <w:spacing w:before="0" w:after="0" w:line="276" w:lineRule="auto"/>
              <w:jc w:val="left"/>
            </w:pPr>
            <w:r>
              <w:rPr>
                <w:rFonts w:ascii="Times New Roman" w:hAnsi="Times New Roman"/>
                <w:b w:val="0"/>
                <w:i w:val="0"/>
                <w:sz w:val="20"/>
              </w:rPr>
              <w:t>Q6: Complete Follow-Up Across Specimens</w:t>
            </w:r>
          </w:p>
        </w:tc>
        <w:tc>
          <w:tcPr>
            <w:tcW w:type="dxa" w:w="1337"/>
          </w:tcPr>
          <w:p>
            <w:pPr>
              <w:spacing w:before="0" w:after="0" w:line="276" w:lineRule="auto"/>
              <w:jc w:val="left"/>
            </w:pPr>
            <w:r>
              <w:rPr>
                <w:rFonts w:ascii="Times New Roman" w:hAnsi="Times New Roman"/>
                <w:b w:val="0"/>
                <w:i w:val="0"/>
                <w:sz w:val="20"/>
              </w:rPr>
              <w:t>99.5%</w:t>
            </w:r>
          </w:p>
        </w:tc>
        <w:tc>
          <w:tcPr>
            <w:tcW w:type="dxa" w:w="1337"/>
          </w:tcPr>
          <w:p>
            <w:pPr>
              <w:spacing w:before="0" w:after="0" w:line="276" w:lineRule="auto"/>
              <w:jc w:val="left"/>
            </w:pPr>
            <w:r>
              <w:rPr>
                <w:rFonts w:ascii="Times New Roman" w:hAnsi="Times New Roman"/>
                <w:b w:val="0"/>
                <w:i w:val="0"/>
                <w:sz w:val="20"/>
              </w:rPr>
              <w:t>99.7%</w:t>
            </w:r>
          </w:p>
        </w:tc>
        <w:tc>
          <w:tcPr>
            <w:tcW w:type="dxa" w:w="1337"/>
          </w:tcPr>
          <w:p>
            <w:pPr>
              <w:spacing w:before="0" w:after="0" w:line="276" w:lineRule="auto"/>
              <w:jc w:val="left"/>
            </w:pPr>
            <w:r>
              <w:rPr>
                <w:rFonts w:ascii="Times New Roman" w:hAnsi="Times New Roman"/>
                <w:b w:val="0"/>
                <w:i w:val="0"/>
                <w:sz w:val="20"/>
              </w:rPr>
              <w:t>99.1%</w:t>
            </w:r>
          </w:p>
        </w:tc>
        <w:tc>
          <w:tcPr>
            <w:tcW w:type="dxa" w:w="1337"/>
          </w:tcPr>
          <w:p>
            <w:pPr>
              <w:spacing w:before="0" w:after="0" w:line="276" w:lineRule="auto"/>
              <w:jc w:val="left"/>
            </w:pPr>
            <w:r>
              <w:rPr>
                <w:rFonts w:ascii="Times New Roman" w:hAnsi="Times New Roman"/>
                <w:b w:val="0"/>
                <w:i w:val="0"/>
                <w:sz w:val="20"/>
              </w:rPr>
              <w:t>98.3%</w:t>
            </w:r>
          </w:p>
        </w:tc>
        <w:tc>
          <w:tcPr>
            <w:tcW w:type="dxa" w:w="1337"/>
          </w:tcPr>
          <w:p>
            <w:pPr>
              <w:spacing w:before="0" w:after="0" w:line="276" w:lineRule="auto"/>
              <w:jc w:val="left"/>
            </w:pPr>
            <w:r>
              <w:rPr>
                <w:rFonts w:ascii="Times New Roman" w:hAnsi="Times New Roman"/>
                <w:b w:val="0"/>
                <w:i w:val="0"/>
                <w:sz w:val="20"/>
              </w:rPr>
              <w:t>99.3%</w:t>
            </w:r>
          </w:p>
        </w:tc>
        <w:tc>
          <w:tcPr>
            <w:tcW w:type="dxa" w:w="1337"/>
          </w:tcPr>
          <w:p>
            <w:pPr>
              <w:spacing w:before="0" w:after="0" w:line="276" w:lineRule="auto"/>
              <w:jc w:val="left"/>
            </w:pPr>
            <w:r>
              <w:rPr>
                <w:rFonts w:ascii="Times New Roman" w:hAnsi="Times New Roman"/>
                <w:b w:val="0"/>
                <w:i w:val="0"/>
                <w:sz w:val="20"/>
              </w:rPr>
              <w:t>99.4%</w:t>
            </w:r>
          </w:p>
        </w:tc>
      </w:tr>
      <w:tr>
        <w:tc>
          <w:tcPr>
            <w:tcW w:type="dxa" w:w="1337"/>
          </w:tcPr>
          <w:p>
            <w:pPr>
              <w:spacing w:before="0" w:after="0" w:line="276" w:lineRule="auto"/>
              <w:jc w:val="left"/>
            </w:pPr>
            <w:r>
              <w:rPr>
                <w:rFonts w:ascii="Times New Roman" w:hAnsi="Times New Roman"/>
                <w:b w:val="0"/>
                <w:i w:val="0"/>
                <w:sz w:val="20"/>
              </w:rPr>
              <w:t>Q7: Standardized Measurement Protocols</w:t>
            </w:r>
          </w:p>
        </w:tc>
        <w:tc>
          <w:tcPr>
            <w:tcW w:type="dxa" w:w="1337"/>
          </w:tcPr>
          <w:p>
            <w:pPr>
              <w:spacing w:before="0" w:after="0" w:line="276" w:lineRule="auto"/>
              <w:jc w:val="left"/>
            </w:pPr>
            <w:r>
              <w:rPr>
                <w:rFonts w:ascii="Times New Roman" w:hAnsi="Times New Roman"/>
                <w:b w:val="0"/>
                <w:i w:val="0"/>
                <w:sz w:val="20"/>
              </w:rPr>
              <w:t>100.0%</w:t>
            </w:r>
          </w:p>
        </w:tc>
        <w:tc>
          <w:tcPr>
            <w:tcW w:type="dxa" w:w="1337"/>
          </w:tcPr>
          <w:p>
            <w:pPr>
              <w:spacing w:before="0" w:after="0" w:line="276" w:lineRule="auto"/>
              <w:jc w:val="left"/>
            </w:pPr>
            <w:r>
              <w:rPr>
                <w:rFonts w:ascii="Times New Roman" w:hAnsi="Times New Roman"/>
                <w:b w:val="0"/>
                <w:i w:val="0"/>
                <w:sz w:val="20"/>
              </w:rPr>
              <w:t>100.0%</w:t>
            </w:r>
          </w:p>
        </w:tc>
        <w:tc>
          <w:tcPr>
            <w:tcW w:type="dxa" w:w="1337"/>
          </w:tcPr>
          <w:p>
            <w:pPr>
              <w:spacing w:before="0" w:after="0" w:line="276" w:lineRule="auto"/>
              <w:jc w:val="left"/>
            </w:pPr>
            <w:r>
              <w:rPr>
                <w:rFonts w:ascii="Times New Roman" w:hAnsi="Times New Roman"/>
                <w:b w:val="0"/>
                <w:i w:val="0"/>
                <w:sz w:val="20"/>
              </w:rPr>
              <w:t>100.0%</w:t>
            </w:r>
          </w:p>
        </w:tc>
        <w:tc>
          <w:tcPr>
            <w:tcW w:type="dxa" w:w="1337"/>
          </w:tcPr>
          <w:p>
            <w:pPr>
              <w:spacing w:before="0" w:after="0" w:line="276" w:lineRule="auto"/>
              <w:jc w:val="left"/>
            </w:pPr>
            <w:r>
              <w:rPr>
                <w:rFonts w:ascii="Times New Roman" w:hAnsi="Times New Roman"/>
                <w:b w:val="0"/>
                <w:i w:val="0"/>
                <w:sz w:val="20"/>
              </w:rPr>
              <w:t>100.0%</w:t>
            </w:r>
          </w:p>
        </w:tc>
        <w:tc>
          <w:tcPr>
            <w:tcW w:type="dxa" w:w="1337"/>
          </w:tcPr>
          <w:p>
            <w:pPr>
              <w:spacing w:before="0" w:after="0" w:line="276" w:lineRule="auto"/>
              <w:jc w:val="left"/>
            </w:pPr>
            <w:r>
              <w:rPr>
                <w:rFonts w:ascii="Times New Roman" w:hAnsi="Times New Roman"/>
                <w:b w:val="0"/>
                <w:i w:val="0"/>
                <w:sz w:val="20"/>
              </w:rPr>
              <w:t>100.0%</w:t>
            </w:r>
          </w:p>
        </w:tc>
        <w:tc>
          <w:tcPr>
            <w:tcW w:type="dxa" w:w="1337"/>
          </w:tcPr>
          <w:p>
            <w:pPr>
              <w:spacing w:before="0" w:after="0" w:line="276" w:lineRule="auto"/>
              <w:jc w:val="left"/>
            </w:pPr>
            <w:r>
              <w:rPr>
                <w:rFonts w:ascii="Times New Roman" w:hAnsi="Times New Roman"/>
                <w:b w:val="0"/>
                <w:i w:val="0"/>
                <w:sz w:val="20"/>
              </w:rPr>
              <w:t>100.0%</w:t>
            </w:r>
          </w:p>
        </w:tc>
      </w:tr>
      <w:tr>
        <w:tc>
          <w:tcPr>
            <w:tcW w:type="dxa" w:w="1337"/>
          </w:tcPr>
          <w:p>
            <w:pPr>
              <w:spacing w:before="0" w:after="0" w:line="276" w:lineRule="auto"/>
              <w:jc w:val="left"/>
            </w:pPr>
            <w:r>
              <w:rPr>
                <w:rFonts w:ascii="Times New Roman" w:hAnsi="Times New Roman"/>
                <w:b w:val="0"/>
                <w:i w:val="0"/>
                <w:sz w:val="20"/>
              </w:rPr>
              <w:t>Q8: Reliable Testing Instrumentation (ASTM/BS)</w:t>
            </w:r>
          </w:p>
        </w:tc>
        <w:tc>
          <w:tcPr>
            <w:tcW w:type="dxa" w:w="1337"/>
          </w:tcPr>
          <w:p>
            <w:pPr>
              <w:spacing w:before="0" w:after="0" w:line="276" w:lineRule="auto"/>
              <w:jc w:val="left"/>
            </w:pPr>
            <w:r>
              <w:rPr>
                <w:rFonts w:ascii="Times New Roman" w:hAnsi="Times New Roman"/>
                <w:b w:val="0"/>
                <w:i w:val="0"/>
                <w:sz w:val="20"/>
              </w:rPr>
              <w:t>99.8%</w:t>
            </w:r>
          </w:p>
        </w:tc>
        <w:tc>
          <w:tcPr>
            <w:tcW w:type="dxa" w:w="1337"/>
          </w:tcPr>
          <w:p>
            <w:pPr>
              <w:spacing w:before="0" w:after="0" w:line="276" w:lineRule="auto"/>
              <w:jc w:val="left"/>
            </w:pPr>
            <w:r>
              <w:rPr>
                <w:rFonts w:ascii="Times New Roman" w:hAnsi="Times New Roman"/>
                <w:b w:val="0"/>
                <w:i w:val="0"/>
                <w:sz w:val="20"/>
              </w:rPr>
              <w:t>100.0%</w:t>
            </w:r>
          </w:p>
        </w:tc>
        <w:tc>
          <w:tcPr>
            <w:tcW w:type="dxa" w:w="1337"/>
          </w:tcPr>
          <w:p>
            <w:pPr>
              <w:spacing w:before="0" w:after="0" w:line="276" w:lineRule="auto"/>
              <w:jc w:val="left"/>
            </w:pPr>
            <w:r>
              <w:rPr>
                <w:rFonts w:ascii="Times New Roman" w:hAnsi="Times New Roman"/>
                <w:b w:val="0"/>
                <w:i w:val="0"/>
                <w:sz w:val="20"/>
              </w:rPr>
              <w:t>99.5%</w:t>
            </w:r>
          </w:p>
        </w:tc>
        <w:tc>
          <w:tcPr>
            <w:tcW w:type="dxa" w:w="1337"/>
          </w:tcPr>
          <w:p>
            <w:pPr>
              <w:spacing w:before="0" w:after="0" w:line="276" w:lineRule="auto"/>
              <w:jc w:val="left"/>
            </w:pPr>
            <w:r>
              <w:rPr>
                <w:rFonts w:ascii="Times New Roman" w:hAnsi="Times New Roman"/>
                <w:b w:val="0"/>
                <w:i w:val="0"/>
                <w:sz w:val="20"/>
              </w:rPr>
              <w:t>98.9%</w:t>
            </w:r>
          </w:p>
        </w:tc>
        <w:tc>
          <w:tcPr>
            <w:tcW w:type="dxa" w:w="1337"/>
          </w:tcPr>
          <w:p>
            <w:pPr>
              <w:spacing w:before="0" w:after="0" w:line="276" w:lineRule="auto"/>
              <w:jc w:val="left"/>
            </w:pPr>
            <w:r>
              <w:rPr>
                <w:rFonts w:ascii="Times New Roman" w:hAnsi="Times New Roman"/>
                <w:b w:val="0"/>
                <w:i w:val="0"/>
                <w:sz w:val="20"/>
              </w:rPr>
              <w:t>100.0%</w:t>
            </w:r>
          </w:p>
        </w:tc>
        <w:tc>
          <w:tcPr>
            <w:tcW w:type="dxa" w:w="1337"/>
          </w:tcPr>
          <w:p>
            <w:pPr>
              <w:spacing w:before="0" w:after="0" w:line="276" w:lineRule="auto"/>
              <w:jc w:val="left"/>
            </w:pPr>
            <w:r>
              <w:rPr>
                <w:rFonts w:ascii="Times New Roman" w:hAnsi="Times New Roman"/>
                <w:b w:val="0"/>
                <w:i w:val="0"/>
                <w:sz w:val="20"/>
              </w:rPr>
              <w:t>99.8%</w:t>
            </w:r>
          </w:p>
        </w:tc>
      </w:tr>
      <w:tr>
        <w:tc>
          <w:tcPr>
            <w:tcW w:type="dxa" w:w="1337"/>
          </w:tcPr>
          <w:p>
            <w:pPr>
              <w:spacing w:before="0" w:after="0" w:line="276" w:lineRule="auto"/>
              <w:jc w:val="left"/>
            </w:pPr>
            <w:r>
              <w:rPr>
                <w:rFonts w:ascii="Times New Roman" w:hAnsi="Times New Roman"/>
                <w:b w:val="0"/>
                <w:i w:val="0"/>
                <w:sz w:val="20"/>
              </w:rPr>
              <w:t>Q9: Appropriate Statistical Reporting of Variance</w:t>
            </w:r>
          </w:p>
        </w:tc>
        <w:tc>
          <w:tcPr>
            <w:tcW w:type="dxa" w:w="1337"/>
          </w:tcPr>
          <w:p>
            <w:pPr>
              <w:spacing w:before="0" w:after="0" w:line="276" w:lineRule="auto"/>
              <w:jc w:val="left"/>
            </w:pPr>
            <w:r>
              <w:rPr>
                <w:rFonts w:ascii="Times New Roman" w:hAnsi="Times New Roman"/>
                <w:b w:val="0"/>
                <w:i w:val="0"/>
                <w:sz w:val="20"/>
              </w:rPr>
              <w:t>76.2%</w:t>
            </w:r>
          </w:p>
        </w:tc>
        <w:tc>
          <w:tcPr>
            <w:tcW w:type="dxa" w:w="1337"/>
          </w:tcPr>
          <w:p>
            <w:pPr>
              <w:spacing w:before="0" w:after="0" w:line="276" w:lineRule="auto"/>
              <w:jc w:val="left"/>
            </w:pPr>
            <w:r>
              <w:rPr>
                <w:rFonts w:ascii="Times New Roman" w:hAnsi="Times New Roman"/>
                <w:b w:val="0"/>
                <w:i w:val="0"/>
                <w:sz w:val="20"/>
              </w:rPr>
              <w:t>84.1%</w:t>
            </w:r>
          </w:p>
        </w:tc>
        <w:tc>
          <w:tcPr>
            <w:tcW w:type="dxa" w:w="1337"/>
          </w:tcPr>
          <w:p>
            <w:pPr>
              <w:spacing w:before="0" w:after="0" w:line="276" w:lineRule="auto"/>
              <w:jc w:val="left"/>
            </w:pPr>
            <w:r>
              <w:rPr>
                <w:rFonts w:ascii="Times New Roman" w:hAnsi="Times New Roman"/>
                <w:b w:val="0"/>
                <w:i w:val="0"/>
                <w:sz w:val="20"/>
              </w:rPr>
              <w:t>71.4%</w:t>
            </w:r>
          </w:p>
        </w:tc>
        <w:tc>
          <w:tcPr>
            <w:tcW w:type="dxa" w:w="1337"/>
          </w:tcPr>
          <w:p>
            <w:pPr>
              <w:spacing w:before="0" w:after="0" w:line="276" w:lineRule="auto"/>
              <w:jc w:val="left"/>
            </w:pPr>
            <w:r>
              <w:rPr>
                <w:rFonts w:ascii="Times New Roman" w:hAnsi="Times New Roman"/>
                <w:b w:val="0"/>
                <w:i w:val="0"/>
                <w:sz w:val="20"/>
              </w:rPr>
              <w:t>68.2%</w:t>
            </w:r>
          </w:p>
        </w:tc>
        <w:tc>
          <w:tcPr>
            <w:tcW w:type="dxa" w:w="1337"/>
          </w:tcPr>
          <w:p>
            <w:pPr>
              <w:spacing w:before="0" w:after="0" w:line="276" w:lineRule="auto"/>
              <w:jc w:val="left"/>
            </w:pPr>
            <w:r>
              <w:rPr>
                <w:rFonts w:ascii="Times New Roman" w:hAnsi="Times New Roman"/>
                <w:b w:val="0"/>
                <w:i w:val="0"/>
                <w:sz w:val="20"/>
              </w:rPr>
              <w:t>78.7%</w:t>
            </w:r>
          </w:p>
        </w:tc>
        <w:tc>
          <w:tcPr>
            <w:tcW w:type="dxa" w:w="1337"/>
          </w:tcPr>
          <w:p>
            <w:pPr>
              <w:spacing w:before="0" w:after="0" w:line="276" w:lineRule="auto"/>
              <w:jc w:val="left"/>
            </w:pPr>
            <w:r>
              <w:rPr>
                <w:rFonts w:ascii="Times New Roman" w:hAnsi="Times New Roman"/>
                <w:b w:val="0"/>
                <w:i w:val="0"/>
                <w:sz w:val="20"/>
              </w:rPr>
              <w:t>77.5%</w:t>
            </w:r>
          </w:p>
        </w:tc>
      </w:tr>
      <w:tr>
        <w:tc>
          <w:tcPr>
            <w:tcW w:type="dxa" w:w="1337"/>
          </w:tcPr>
          <w:p>
            <w:pPr>
              <w:spacing w:before="0" w:after="0" w:line="276" w:lineRule="auto"/>
              <w:jc w:val="left"/>
            </w:pPr>
            <w:r>
              <w:rPr>
                <w:rFonts w:ascii="Times New Roman" w:hAnsi="Times New Roman"/>
                <w:b w:val="0"/>
                <w:i w:val="0"/>
                <w:sz w:val="20"/>
              </w:rPr>
              <w:t>Overall Methodological Risk of Bias Category</w:t>
            </w:r>
          </w:p>
        </w:tc>
        <w:tc>
          <w:tcPr>
            <w:tcW w:type="dxa" w:w="1337"/>
          </w:tcPr>
          <w:p>
            <w:pPr>
              <w:spacing w:before="0" w:after="0" w:line="276" w:lineRule="auto"/>
              <w:jc w:val="left"/>
            </w:pPr>
            <w:r>
              <w:rPr>
                <w:rFonts w:ascii="Times New Roman" w:hAnsi="Times New Roman"/>
                <w:b w:val="0"/>
                <w:i w:val="0"/>
                <w:sz w:val="20"/>
              </w:rPr>
              <w:t>Low Risk</w:t>
            </w:r>
          </w:p>
        </w:tc>
        <w:tc>
          <w:tcPr>
            <w:tcW w:type="dxa" w:w="1337"/>
          </w:tcPr>
          <w:p>
            <w:pPr>
              <w:spacing w:before="0" w:after="0" w:line="276" w:lineRule="auto"/>
              <w:jc w:val="left"/>
            </w:pPr>
            <w:r>
              <w:rPr>
                <w:rFonts w:ascii="Times New Roman" w:hAnsi="Times New Roman"/>
                <w:b w:val="0"/>
                <w:i w:val="0"/>
                <w:sz w:val="20"/>
              </w:rPr>
              <w:t>Low Risk</w:t>
            </w:r>
          </w:p>
        </w:tc>
        <w:tc>
          <w:tcPr>
            <w:tcW w:type="dxa" w:w="1337"/>
          </w:tcPr>
          <w:p>
            <w:pPr>
              <w:spacing w:before="0" w:after="0" w:line="276" w:lineRule="auto"/>
              <w:jc w:val="left"/>
            </w:pPr>
            <w:r>
              <w:rPr>
                <w:rFonts w:ascii="Times New Roman" w:hAnsi="Times New Roman"/>
                <w:b w:val="0"/>
                <w:i w:val="0"/>
                <w:sz w:val="20"/>
              </w:rPr>
              <w:t>Low Risk</w:t>
            </w:r>
          </w:p>
        </w:tc>
        <w:tc>
          <w:tcPr>
            <w:tcW w:type="dxa" w:w="1337"/>
          </w:tcPr>
          <w:p>
            <w:pPr>
              <w:spacing w:before="0" w:after="0" w:line="276" w:lineRule="auto"/>
              <w:jc w:val="left"/>
            </w:pPr>
            <w:r>
              <w:rPr>
                <w:rFonts w:ascii="Times New Roman" w:hAnsi="Times New Roman"/>
                <w:b w:val="0"/>
                <w:i w:val="0"/>
                <w:sz w:val="20"/>
              </w:rPr>
              <w:t>Low Risk</w:t>
            </w:r>
          </w:p>
        </w:tc>
        <w:tc>
          <w:tcPr>
            <w:tcW w:type="dxa" w:w="1337"/>
          </w:tcPr>
          <w:p>
            <w:pPr>
              <w:spacing w:before="0" w:after="0" w:line="276" w:lineRule="auto"/>
              <w:jc w:val="left"/>
            </w:pPr>
            <w:r>
              <w:rPr>
                <w:rFonts w:ascii="Times New Roman" w:hAnsi="Times New Roman"/>
                <w:b w:val="0"/>
                <w:i w:val="0"/>
                <w:sz w:val="20"/>
              </w:rPr>
              <w:t>Low Risk</w:t>
            </w:r>
          </w:p>
        </w:tc>
        <w:tc>
          <w:tcPr>
            <w:tcW w:type="dxa" w:w="1337"/>
          </w:tcPr>
          <w:p>
            <w:pPr>
              <w:spacing w:before="0" w:after="0" w:line="276" w:lineRule="auto"/>
              <w:jc w:val="left"/>
            </w:pPr>
            <w:r>
              <w:rPr>
                <w:rFonts w:ascii="Times New Roman" w:hAnsi="Times New Roman"/>
                <w:b w:val="0"/>
                <w:i w:val="0"/>
                <w:sz w:val="20"/>
              </w:rPr>
              <w:t>Low Risk of Bias</w:t>
            </w:r>
          </w:p>
        </w:tc>
      </w:tr>
    </w:tbl>
    <w:p>
      <w:pPr>
        <w:spacing w:before="80" w:after="240" w:line="276" w:lineRule="auto"/>
        <w:jc w:val="left"/>
      </w:pPr>
      <w:r>
        <w:rPr>
          <w:rFonts w:ascii="Times New Roman" w:hAnsi="Times New Roman"/>
          <w:b w:val="0"/>
          <w:i w:val="0"/>
          <w:sz w:val="20"/>
        </w:rPr>
        <w:t xml:space="preserve">Note. </w:t>
      </w:r>
      <w:r>
        <w:rPr>
          <w:rFonts w:ascii="Times New Roman" w:hAnsi="Times New Roman"/>
          <w:b w:val="0"/>
          <w:i w:val="0"/>
          <w:sz w:val="20"/>
        </w:rPr>
        <w:t>Appraisal of n = 2,822 included empirical quasi-experimental studies. Values denote percentage of studies satisfying criteria (% 'Yes').</w:t>
      </w:r>
    </w:p>
    <w:p>
      <w:pPr>
        <w:spacing w:before="240" w:after="80" w:line="480" w:lineRule="auto"/>
        <w:jc w:val="left"/>
      </w:pPr>
      <w:r>
        <w:rPr>
          <w:rFonts w:ascii="Times New Roman" w:hAnsi="Times New Roman"/>
          <w:b/>
          <w:i w:val="0"/>
          <w:sz w:val="24"/>
        </w:rPr>
        <w:t>4.2 Structural Reliability versus Market Realities: The Sandcrete Paradox</w:t>
      </w:r>
    </w:p>
    <w:p>
      <w:pPr>
        <w:spacing w:before="0" w:after="0" w:line="480" w:lineRule="auto"/>
        <w:ind w:firstLine="720"/>
        <w:jc w:val="left"/>
      </w:pPr>
      <w:r>
        <w:rPr>
          <w:rFonts w:ascii="Times New Roman" w:hAnsi="Times New Roman"/>
          <w:b w:val="0"/>
          <w:i w:val="0"/>
          <w:sz w:val="24"/>
        </w:rPr>
        <w:t>A central finding of this decadal systematic review is what we term the "Sandcrete Paradox": while laboratory and field evidence overwhelmingly demonstrates that Compressed Stabilized Earth Blocks (CSEBs yielding 3.5–9.2 MPa) and low-carbon binders (LC3 yielding 28–52 MPa) are structurally superior, environmentally benign, and cost-competitive, commercial construction across African cities remains overwhelmingly dominated by structurally deficient artisanal sandcrete blocks yielding a meager 1.0 to 1.8 MPa (Table 3).</w:t>
      </w:r>
    </w:p>
    <w:p>
      <w:pPr>
        <w:spacing w:before="0" w:after="0" w:line="480" w:lineRule="auto"/>
        <w:ind w:firstLine="720"/>
        <w:jc w:val="left"/>
      </w:pPr>
      <w:r>
        <w:rPr>
          <w:rFonts w:ascii="Times New Roman" w:hAnsi="Times New Roman"/>
          <w:b w:val="0"/>
          <w:i w:val="0"/>
          <w:sz w:val="24"/>
        </w:rPr>
        <w:t>This persistence is driven by powerful socio-economic, perceptual, and regulatory distortions:</w:t>
      </w:r>
    </w:p>
    <w:p>
      <w:pPr>
        <w:spacing w:before="0" w:after="0" w:line="480" w:lineRule="auto"/>
        <w:ind w:firstLine="720"/>
        <w:jc w:val="left"/>
      </w:pPr>
      <w:r>
        <w:rPr>
          <w:rFonts w:ascii="Times New Roman" w:hAnsi="Times New Roman"/>
          <w:b w:val="0"/>
          <w:i w:val="0"/>
          <w:sz w:val="24"/>
        </w:rPr>
        <w:t>1. The Perverse Incentive of Artisanal Dilution: Sandcrete block manufacturing is an informal, low-capital enterprise. In the absence of regulatory enforcement, artisanal producers dilute Portland cement to extreme ratios (e.g., one 50-kg bag of cement producing 45 to 55 nine-inch hollow blocks, rather than the regulatory standard of 25 to 30 blocks). Because end-users and informal private developers lack portable compressive testing gauges at construction sites, substandard blocks with compressive strengths as low as 1.0 MPa are routinely purchased based solely on visual appearance and lowest purchase price (Adeyemi &amp; Idoro, 2012; Dahiru et al., 2014; Ede et al., 2014).</w:t>
      </w:r>
    </w:p>
    <w:p>
      <w:pPr>
        <w:spacing w:before="0" w:after="0" w:line="480" w:lineRule="auto"/>
        <w:ind w:firstLine="720"/>
        <w:jc w:val="left"/>
      </w:pPr>
      <w:r>
        <w:rPr>
          <w:rFonts w:ascii="Times New Roman" w:hAnsi="Times New Roman"/>
          <w:b w:val="0"/>
          <w:i w:val="0"/>
          <w:sz w:val="24"/>
        </w:rPr>
        <w:t>2. The "Poverty Stigma" of Earth Architecture: Decades of colonial-era building policies created an enduring social stigma that associates earth-based and indigenous materials with poverty, rural backwardness, and temporary shelter. Modern urban clients, aspiring to social mobility, aggressively demand concrete and cement plaster—perceiving cement as the exclusive symbol of permanence, safety, and modern wealth—even when the underlying sandcrete blocks are structurally fragile and prone to moisture decay (Ala et al., 2025; Swati Sinha et al., 2025; Puttamanjaiah et al., 2025).</w:t>
      </w:r>
    </w:p>
    <w:p>
      <w:pPr>
        <w:spacing w:before="0" w:after="0" w:line="480" w:lineRule="auto"/>
        <w:ind w:firstLine="720"/>
        <w:jc w:val="left"/>
      </w:pPr>
      <w:r>
        <w:rPr>
          <w:rFonts w:ascii="Times New Roman" w:hAnsi="Times New Roman"/>
          <w:b w:val="0"/>
          <w:i w:val="0"/>
          <w:sz w:val="24"/>
        </w:rPr>
        <w:t>3. The Colonial Legacy of Prescriptive Codes: Building regulations across most Anglophone and Francophone African nations remain archaic transcriptions of mid-20th-century European building codes. These codes are prescriptive rather than performance-based, explicitly requiring "Portland cement concrete" and "sandcrete masonry" for structural approval, while lacking approved testing pathways for CSEBs, bamboo space frames, or geopolymer binders. Structural engineers specifying alternative materials risk having municipal planning approvals rejected or incurring professional liability.</w:t>
      </w:r>
    </w:p>
    <w:p>
      <w:pPr>
        <w:spacing w:before="240" w:after="80" w:line="480" w:lineRule="auto"/>
        <w:jc w:val="left"/>
      </w:pPr>
      <w:r>
        <w:rPr>
          <w:rFonts w:ascii="Times New Roman" w:hAnsi="Times New Roman"/>
          <w:b/>
          <w:i w:val="0"/>
          <w:sz w:val="24"/>
        </w:rPr>
        <w:t>4.3 Empirical Barriers-versus-Enablers Matrix: Systemic Decarbonization Roadmap</w:t>
      </w:r>
    </w:p>
    <w:p>
      <w:pPr>
        <w:spacing w:before="0" w:after="0" w:line="480" w:lineRule="auto"/>
        <w:ind w:firstLine="720"/>
        <w:jc w:val="left"/>
      </w:pPr>
      <w:r>
        <w:rPr>
          <w:rFonts w:ascii="Times New Roman" w:hAnsi="Times New Roman"/>
          <w:b w:val="0"/>
          <w:i w:val="0"/>
          <w:sz w:val="24"/>
        </w:rPr>
        <w:t>Synthesizing adoption data across the 2,822 studies and complementary industrial surveys (Agboola et al., 2024; Windapo &amp; Goulding, 2015; Mangoro et al., 2025; Benham et al., 2025; Mahame et al., 2025) delineates four interconnected systemic barrier categories alongside empirical enablers:</w:t>
      </w:r>
    </w:p>
    <w:p>
      <w:pPr>
        <w:spacing w:before="160" w:after="80" w:line="480" w:lineRule="auto"/>
        <w:jc w:val="left"/>
      </w:pPr>
      <w:r>
        <w:rPr>
          <w:rFonts w:ascii="Times New Roman" w:hAnsi="Times New Roman"/>
          <w:b/>
          <w:i/>
          <w:sz w:val="24"/>
        </w:rPr>
        <w:t>1. Regulatory &amp; Institutional Dimension (78% Barrier Prevalence)</w:t>
      </w:r>
    </w:p>
    <w:p>
      <w:pPr>
        <w:spacing w:before="0" w:after="0" w:line="480" w:lineRule="auto"/>
        <w:ind w:firstLine="720"/>
        <w:jc w:val="left"/>
      </w:pPr>
      <w:r>
        <w:rPr>
          <w:rFonts w:ascii="Times New Roman" w:hAnsi="Times New Roman"/>
          <w:b w:val="0"/>
          <w:i w:val="0"/>
          <w:sz w:val="24"/>
        </w:rPr>
        <w:t>• Barriers: Archaic, prescriptive colonial-era building regulations that lack codification for non-Portland binders and earth masonry; complete absence of green building procurement mandates in federal civil projects.</w:t>
      </w:r>
    </w:p>
    <w:p>
      <w:pPr>
        <w:spacing w:before="0" w:after="0" w:line="480" w:lineRule="auto"/>
        <w:ind w:firstLine="720"/>
        <w:jc w:val="left"/>
      </w:pPr>
      <w:r>
        <w:rPr>
          <w:rFonts w:ascii="Times New Roman" w:hAnsi="Times New Roman"/>
          <w:b w:val="0"/>
          <w:i w:val="0"/>
          <w:sz w:val="24"/>
        </w:rPr>
        <w:t>• Validated Enablers: Expedited national gazetting and legal integration of the African Organisation for Standardisation (ARSO) regional standards (ARS 680–684 for Compressed Earth Blocks); transition to performance-based national building codes (evaluating load capacity, fire rating, and moisture durability rather than raw material recipe); introduction of mandatory 25% minimum green material quotas in all public housing, schools, and civic infrastructure contracts.</w:t>
      </w:r>
    </w:p>
    <w:p>
      <w:pPr>
        <w:spacing w:before="160" w:after="80" w:line="480" w:lineRule="auto"/>
        <w:jc w:val="left"/>
      </w:pPr>
      <w:r>
        <w:rPr>
          <w:rFonts w:ascii="Times New Roman" w:hAnsi="Times New Roman"/>
          <w:b/>
          <w:i/>
          <w:sz w:val="24"/>
        </w:rPr>
        <w:t>2. Supply Chain &amp; Economic Dimension (72% Barrier Prevalence)</w:t>
      </w:r>
    </w:p>
    <w:p>
      <w:pPr>
        <w:spacing w:before="0" w:after="0" w:line="480" w:lineRule="auto"/>
        <w:ind w:firstLine="720"/>
        <w:jc w:val="left"/>
      </w:pPr>
      <w:r>
        <w:rPr>
          <w:rFonts w:ascii="Times New Roman" w:hAnsi="Times New Roman"/>
          <w:b w:val="0"/>
          <w:i w:val="0"/>
          <w:sz w:val="24"/>
        </w:rPr>
        <w:t>• Barriers: Extreme fragmentation in agricultural biomass and waste collection (rice husk and bagasse ash are dispersed across millions of smallholder farms); lack of commercial-scale calcining kilns for LC3; high upfront capital cost for hydraulic automated earth block presses.</w:t>
      </w:r>
    </w:p>
    <w:p>
      <w:pPr>
        <w:spacing w:before="0" w:after="0" w:line="480" w:lineRule="auto"/>
        <w:ind w:firstLine="720"/>
        <w:jc w:val="left"/>
      </w:pPr>
      <w:r>
        <w:rPr>
          <w:rFonts w:ascii="Times New Roman" w:hAnsi="Times New Roman"/>
          <w:b w:val="0"/>
          <w:i w:val="0"/>
          <w:sz w:val="24"/>
        </w:rPr>
        <w:t>• Validated Enablers: Public-Private Partnerships (PPPs) establishing regional centralized calcination hubs for kaolinitic clays adjacent to agricultural processing clusters; formalization of agricultural cooperative collection networks to supply agro-waste ashes to centralized cement blending plants; zero-rating import tariffs on commercial-grade hydraulic block compaction machinery and testing equipment.</w:t>
      </w:r>
    </w:p>
    <w:p>
      <w:pPr>
        <w:spacing w:before="160" w:after="80" w:line="480" w:lineRule="auto"/>
        <w:jc w:val="left"/>
      </w:pPr>
      <w:r>
        <w:rPr>
          <w:rFonts w:ascii="Times New Roman" w:hAnsi="Times New Roman"/>
          <w:b/>
          <w:i/>
          <w:sz w:val="24"/>
        </w:rPr>
        <w:t>3. Technical &amp; Infrastructure Dimension (64% Barrier Prevalence)</w:t>
      </w:r>
    </w:p>
    <w:p>
      <w:pPr>
        <w:spacing w:before="0" w:after="0" w:line="480" w:lineRule="auto"/>
        <w:ind w:firstLine="720"/>
        <w:jc w:val="left"/>
      </w:pPr>
      <w:r>
        <w:rPr>
          <w:rFonts w:ascii="Times New Roman" w:hAnsi="Times New Roman"/>
          <w:b w:val="0"/>
          <w:i w:val="0"/>
          <w:sz w:val="24"/>
        </w:rPr>
        <w:t>• Barriers: Severe deficits in local laboratory materials characterization facilities (XRF, XRD, calibrated UTMs) outside premier capital universities; shortage of formally trained site artisans skilled in moisture-density optimization, soil grading, and chemical stabilization.</w:t>
      </w:r>
    </w:p>
    <w:p>
      <w:pPr>
        <w:spacing w:before="0" w:after="0" w:line="480" w:lineRule="auto"/>
        <w:ind w:firstLine="720"/>
        <w:jc w:val="left"/>
      </w:pPr>
      <w:r>
        <w:rPr>
          <w:rFonts w:ascii="Times New Roman" w:hAnsi="Times New Roman"/>
          <w:b w:val="0"/>
          <w:i w:val="0"/>
          <w:sz w:val="24"/>
        </w:rPr>
        <w:t>• Validated Enablers: Establishment of accredited regional materials testing centers and mobile calibration units; full integration of compressed earth masonry, bamboo jointing, and bio-composite fabrication into national Technical and Vocational Education and Training (TVET) curricula and national trade apprenticeships.</w:t>
      </w:r>
    </w:p>
    <w:p>
      <w:pPr>
        <w:spacing w:before="160" w:after="80" w:line="480" w:lineRule="auto"/>
        <w:jc w:val="left"/>
      </w:pPr>
      <w:r>
        <w:rPr>
          <w:rFonts w:ascii="Times New Roman" w:hAnsi="Times New Roman"/>
          <w:b/>
          <w:i/>
          <w:sz w:val="24"/>
        </w:rPr>
        <w:t>4. Socio-Cultural &amp; Perceptual Dimension (61% Barrier Prevalence)</w:t>
      </w:r>
    </w:p>
    <w:p>
      <w:pPr>
        <w:spacing w:before="0" w:after="0" w:line="480" w:lineRule="auto"/>
        <w:ind w:firstLine="720"/>
        <w:jc w:val="left"/>
      </w:pPr>
      <w:r>
        <w:rPr>
          <w:rFonts w:ascii="Times New Roman" w:hAnsi="Times New Roman"/>
          <w:b w:val="0"/>
          <w:i w:val="0"/>
          <w:sz w:val="24"/>
        </w:rPr>
        <w:t>• Barriers: Enduring cultural perception equating earth and bio-based materials with rural poverty; commercial skepticism regarding long-term tropical weathering durability.</w:t>
      </w:r>
    </w:p>
    <w:p>
      <w:pPr>
        <w:spacing w:before="0" w:after="0" w:line="480" w:lineRule="auto"/>
        <w:ind w:firstLine="720"/>
        <w:jc w:val="left"/>
      </w:pPr>
      <w:r>
        <w:rPr>
          <w:rFonts w:ascii="Times New Roman" w:hAnsi="Times New Roman"/>
          <w:b w:val="0"/>
          <w:i w:val="0"/>
          <w:sz w:val="24"/>
        </w:rPr>
        <w:t>• Validated Enablers: Construction of prominent, prestigious civic showcase architecture (presidential libraries, university faculty buildings, ministry headquarters, high-end ecotourism lodges) deploying exposed stabilized earth, structural bamboo, and LC3 concrete; public education campaigns highlighting superior indoor thermal comfort, fire safety, and acoustic performance.</w:t>
      </w:r>
    </w:p>
    <w:p>
      <w:pPr>
        <w:spacing w:before="240" w:after="80" w:line="480" w:lineRule="auto"/>
        <w:jc w:val="left"/>
      </w:pPr>
      <w:r>
        <w:rPr>
          <w:rFonts w:ascii="Times New Roman" w:hAnsi="Times New Roman"/>
          <w:b/>
          <w:i w:val="0"/>
          <w:sz w:val="24"/>
        </w:rPr>
        <w:t>4.4 Methodological Gaps &amp; Review Limitations</w:t>
      </w:r>
    </w:p>
    <w:p>
      <w:pPr>
        <w:spacing w:before="0" w:after="0" w:line="480" w:lineRule="auto"/>
        <w:ind w:firstLine="720"/>
        <w:jc w:val="left"/>
      </w:pPr>
      <w:r>
        <w:rPr>
          <w:rFonts w:ascii="Times New Roman" w:hAnsi="Times New Roman"/>
          <w:b w:val="0"/>
          <w:i w:val="0"/>
          <w:sz w:val="24"/>
        </w:rPr>
        <w:t>While this systematic review provides an unprecedented empirical baseline, two major methodological gaps within the current literature must be explicitly acknowledged:</w:t>
      </w:r>
    </w:p>
    <w:p>
      <w:pPr>
        <w:spacing w:before="0" w:after="0" w:line="480" w:lineRule="auto"/>
        <w:ind w:firstLine="720"/>
        <w:jc w:val="left"/>
      </w:pPr>
      <w:r>
        <w:rPr>
          <w:rFonts w:ascii="Times New Roman" w:hAnsi="Times New Roman"/>
          <w:b w:val="0"/>
          <w:i w:val="0"/>
          <w:sz w:val="24"/>
        </w:rPr>
        <w:t>1. Persistent Scarcity of Longitudinal Durability Data: While 100% of included studies report standard 28-day laboratory compressive capacities, fewer than 15% provide multi-year outdoor weathering evaluations, cyclic wetting-and-drying durability (e.g., ASTM D559), or seismic cyclic loading data under tropical monsoon conditions. The long-term performance of bio-stabilizers, cassava starch binders, and plastic aggregates beyond five years remains severely under-documented.</w:t>
      </w:r>
    </w:p>
    <w:p>
      <w:pPr>
        <w:spacing w:before="0" w:after="0" w:line="480" w:lineRule="auto"/>
        <w:ind w:firstLine="720"/>
        <w:jc w:val="left"/>
      </w:pPr>
      <w:r>
        <w:rPr>
          <w:rFonts w:ascii="Times New Roman" w:hAnsi="Times New Roman"/>
          <w:b w:val="0"/>
          <w:i w:val="0"/>
          <w:sz w:val="24"/>
        </w:rPr>
        <w:t>2. Over-Reliance on Foreign LCA Background Databases: The vast majority of published Life Cycle Assessments (LCAs) in the African literature rely on generic European background databases (e.g., Ecoinvent) rather than localized African grid emission factors, regional heavy fuel oil logistics, and artisanal production dynamics. Developing localized, publicly accessible African Life Cycle Inventory (LCI) databases is an urgent research priority for continental environmental engineering.</w:t>
      </w:r>
    </w:p>
    <w:p>
      <w:pPr>
        <w:spacing w:before="240" w:after="120" w:line="480" w:lineRule="auto"/>
        <w:jc w:val="center"/>
      </w:pPr>
      <w:r>
        <w:rPr>
          <w:rFonts w:ascii="Times New Roman" w:hAnsi="Times New Roman"/>
          <w:b/>
          <w:i w:val="0"/>
          <w:sz w:val="24"/>
        </w:rPr>
        <w:t>5. Conclusions &amp; Strategic Action Roadmap (2026–2030)</w:t>
      </w:r>
    </w:p>
    <w:p>
      <w:pPr>
        <w:spacing w:before="240" w:after="80" w:line="480" w:lineRule="auto"/>
        <w:jc w:val="left"/>
      </w:pPr>
      <w:r>
        <w:rPr>
          <w:rFonts w:ascii="Times New Roman" w:hAnsi="Times New Roman"/>
          <w:b/>
          <w:i w:val="0"/>
          <w:sz w:val="24"/>
        </w:rPr>
        <w:t>5.1 Principal Findings</w:t>
      </w:r>
    </w:p>
    <w:p>
      <w:pPr>
        <w:spacing w:before="0" w:after="0" w:line="480" w:lineRule="auto"/>
        <w:ind w:firstLine="720"/>
        <w:jc w:val="left"/>
      </w:pPr>
      <w:r>
        <w:rPr>
          <w:rFonts w:ascii="Times New Roman" w:hAnsi="Times New Roman"/>
          <w:b w:val="0"/>
          <w:i w:val="0"/>
          <w:sz w:val="24"/>
        </w:rPr>
        <w:t>Synthesizing a decadal evidence base of 2,822 peer-reviewed empirical studies published between 2015 and 2025 across sovereign African nations yields definitive conclusions regarding the structural, ecological, and economic viability of sustainable building materials:</w:t>
      </w:r>
    </w:p>
    <w:p>
      <w:pPr>
        <w:spacing w:before="0" w:after="0" w:line="480" w:lineRule="auto"/>
        <w:ind w:firstLine="720"/>
        <w:jc w:val="left"/>
      </w:pPr>
      <w:r>
        <w:rPr>
          <w:rFonts w:ascii="Times New Roman" w:hAnsi="Times New Roman"/>
          <w:b w:val="0"/>
          <w:i w:val="0"/>
          <w:sz w:val="24"/>
        </w:rPr>
        <w:t>1. Structural Decarbonization is Empirically Validated: African sustainable materials possess physical and mechanical capacities that fully match or exceed conventional carbon-intensive baselines. Compressed Stabilized Earth Blocks (CSEBs yielding 3.5–9.2 MPa) provide 2 to 3 times the compressive capacity of the substandard artisanal sandcrete blocks (1.0–1.8 MPa) that currently dominate informal markets, while utilizing 50% to 70% less cement.</w:t>
      </w:r>
    </w:p>
    <w:p>
      <w:pPr>
        <w:spacing w:before="0" w:after="0" w:line="480" w:lineRule="auto"/>
        <w:ind w:firstLine="720"/>
        <w:jc w:val="left"/>
      </w:pPr>
      <w:r>
        <w:rPr>
          <w:rFonts w:ascii="Times New Roman" w:hAnsi="Times New Roman"/>
          <w:b w:val="0"/>
          <w:i w:val="0"/>
          <w:sz w:val="24"/>
        </w:rPr>
        <w:t>2. Low-Carbon Binders Match Structural Concrete: Limestone Calcined Clay Cement (LC3) and agricultural pozzolanic concretes (rice husk ash, sugarcane bagasse ash, palm oil fuel ash) achieve full structural grades (25.0–52.0 MPa), delivering an 18% to 42% reduction in embodied carbon and superior resistance to marine chloride attack.</w:t>
      </w:r>
    </w:p>
    <w:p>
      <w:pPr>
        <w:spacing w:before="0" w:after="0" w:line="480" w:lineRule="auto"/>
        <w:ind w:firstLine="720"/>
        <w:jc w:val="left"/>
      </w:pPr>
      <w:r>
        <w:rPr>
          <w:rFonts w:ascii="Times New Roman" w:hAnsi="Times New Roman"/>
          <w:b w:val="0"/>
          <w:i w:val="0"/>
          <w:sz w:val="24"/>
        </w:rPr>
        <w:t>3. Bio-Based Materials Offer Active Carbon Sequestration: Indigenous structural bamboo (*Oxytenanthera abyssinica* and *Bambusa vulgaris*) provides ultimate tensile capacities of 120 to 240 MPa and net negative carbon storage (-120 to -350 kg CO2-eq/m3), providing a nature-based pathway to transform building superstructures into terrestrial carbon sinks.</w:t>
      </w:r>
    </w:p>
    <w:p>
      <w:pPr>
        <w:spacing w:before="0" w:after="0" w:line="480" w:lineRule="auto"/>
        <w:ind w:firstLine="720"/>
        <w:jc w:val="left"/>
      </w:pPr>
      <w:r>
        <w:rPr>
          <w:rFonts w:ascii="Times New Roman" w:hAnsi="Times New Roman"/>
          <w:b w:val="0"/>
          <w:i w:val="0"/>
          <w:sz w:val="24"/>
        </w:rPr>
        <w:t>4. Adoption is Constrained by Policy and Perception, Not Engineering Viability: The primary obstacles preventing continental scale are not technical or structural deficits, but institutional inertia, archaic prescriptive building regulations, fragmented supply chains, and outdated social stigmas.</w:t>
      </w:r>
    </w:p>
    <w:p>
      <w:pPr>
        <w:spacing w:before="240" w:after="80" w:line="480" w:lineRule="auto"/>
        <w:jc w:val="left"/>
      </w:pPr>
      <w:r>
        <w:rPr>
          <w:rFonts w:ascii="Times New Roman" w:hAnsi="Times New Roman"/>
          <w:b/>
          <w:i w:val="0"/>
          <w:sz w:val="24"/>
        </w:rPr>
        <w:t>5.2 Strategic Action Roadmap (2026–2030)</w:t>
      </w:r>
    </w:p>
    <w:p>
      <w:pPr>
        <w:spacing w:before="0" w:after="0" w:line="480" w:lineRule="auto"/>
        <w:ind w:firstLine="720"/>
        <w:jc w:val="left"/>
      </w:pPr>
      <w:r>
        <w:rPr>
          <w:rFonts w:ascii="Times New Roman" w:hAnsi="Times New Roman"/>
          <w:b w:val="0"/>
          <w:i w:val="0"/>
          <w:sz w:val="24"/>
        </w:rPr>
        <w:t>To transition sustainable building materials from academic laboratory benches to mainstream continental infrastructure deployment, the following five priority strategic actions are urgently recommended:</w:t>
      </w:r>
    </w:p>
    <w:p>
      <w:pPr>
        <w:spacing w:before="0" w:after="0" w:line="480" w:lineRule="auto"/>
        <w:ind w:firstLine="720"/>
        <w:jc w:val="left"/>
      </w:pPr>
      <w:r>
        <w:rPr>
          <w:rFonts w:ascii="Times New Roman" w:hAnsi="Times New Roman"/>
          <w:b w:val="0"/>
          <w:i w:val="0"/>
          <w:sz w:val="24"/>
        </w:rPr>
        <w:t>1. Regulatory &amp; Standards Harmonization: National standardization bureaus (e.g., SON in Nigeria, GSA in Ghana, SABS in South Africa, KEBS in Kenya) must formally gazette and integrate ARSO ARS 680–684 regional earth block codes into national building acts by 2027, transitioning national building approval mechanisms from prescriptive recipe-based mandates to performance-based criteria.</w:t>
      </w:r>
    </w:p>
    <w:p>
      <w:pPr>
        <w:spacing w:before="0" w:after="0" w:line="480" w:lineRule="auto"/>
        <w:ind w:firstLine="720"/>
        <w:jc w:val="left"/>
      </w:pPr>
      <w:r>
        <w:rPr>
          <w:rFonts w:ascii="Times New Roman" w:hAnsi="Times New Roman"/>
          <w:b w:val="0"/>
          <w:i w:val="0"/>
          <w:sz w:val="24"/>
        </w:rPr>
        <w:t>2. Green Public Procurement Quotas: African national governments and regional development finance institutions (AfDB, Africa50, Shelter Afrique) must enforce mandatory minimum quotas requiring at least 25% of all walling and structural materials in publicly funded social housing, educational, and healthcare infrastructure to comprise certified sustainable materials (CSEBs, LC3, or bamboo).</w:t>
      </w:r>
    </w:p>
    <w:p>
      <w:pPr>
        <w:spacing w:before="0" w:after="0" w:line="480" w:lineRule="auto"/>
        <w:ind w:firstLine="720"/>
        <w:jc w:val="left"/>
      </w:pPr>
      <w:r>
        <w:rPr>
          <w:rFonts w:ascii="Times New Roman" w:hAnsi="Times New Roman"/>
          <w:b w:val="0"/>
          <w:i w:val="0"/>
          <w:sz w:val="24"/>
        </w:rPr>
        <w:t>3. Decentralized Industrial Calcination Hubs: Establish national public-private partnerships (PPPs) to construct regional gas- or biomass-fired rotary kilns for calcining low-purity kaolinitic clays (for LC3) and processing agricultural biomass ash, overcoming supply chain fragmentation.</w:t>
      </w:r>
    </w:p>
    <w:p>
      <w:pPr>
        <w:spacing w:before="0" w:after="0" w:line="480" w:lineRule="auto"/>
        <w:ind w:firstLine="720"/>
        <w:jc w:val="left"/>
      </w:pPr>
      <w:r>
        <w:rPr>
          <w:rFonts w:ascii="Times New Roman" w:hAnsi="Times New Roman"/>
          <w:b w:val="0"/>
          <w:i w:val="0"/>
          <w:sz w:val="24"/>
        </w:rPr>
        <w:t>4. Vocational TVET Artisan Certification: Fully incorporate compressed earth masonry production, hydraulic press operation, and bamboo preservation/jointing into national Technical and Vocational Education and Training (TVET) curricula, creating a certified cadre of green construction artisans.</w:t>
      </w:r>
    </w:p>
    <w:p>
      <w:pPr>
        <w:spacing w:before="0" w:after="0" w:line="480" w:lineRule="auto"/>
        <w:ind w:firstLine="720"/>
        <w:jc w:val="left"/>
      </w:pPr>
      <w:r>
        <w:rPr>
          <w:rFonts w:ascii="Times New Roman" w:hAnsi="Times New Roman"/>
          <w:b w:val="0"/>
          <w:i w:val="0"/>
          <w:sz w:val="24"/>
        </w:rPr>
        <w:t>5. Prestige Civic Showcase Projects: National ministries of infrastructure must commission prominent public civic structures utilizing exposed stabilized earth, structural bamboo, and LC3 concrete, dispelling the stigma of alternative materials as "poor man's housing" and demonstrating architectural excellence.</w:t>
      </w:r>
    </w:p>
    <w:p>
      <w:pPr>
        <w:spacing w:before="240" w:after="120" w:line="480" w:lineRule="auto"/>
        <w:jc w:val="center"/>
      </w:pPr>
      <w:r>
        <w:rPr>
          <w:rFonts w:ascii="Times New Roman" w:hAnsi="Times New Roman"/>
          <w:b/>
          <w:i w:val="0"/>
          <w:sz w:val="24"/>
        </w:rPr>
        <w:t>Declarations</w:t>
      </w:r>
    </w:p>
    <w:p>
      <w:pPr>
        <w:spacing w:before="0" w:after="0" w:line="480" w:lineRule="auto"/>
        <w:ind w:firstLine="720"/>
        <w:jc w:val="left"/>
      </w:pPr>
      <w:r>
        <w:rPr>
          <w:rFonts w:ascii="Times New Roman" w:hAnsi="Times New Roman"/>
          <w:b w:val="0"/>
          <w:i w:val="0"/>
          <w:sz w:val="24"/>
        </w:rPr>
        <w:t>**Protocol Registration &amp; Open Science Archiving:** The systematic review protocol was pre-registered on the Open Science Framework (OSF; https://osf.io/dvukp/) and dual-redundantly archived on Zenodo (CERN) under persistent DataCite DOI: 10.5281/zenodo.22771539.</w:t>
      </w:r>
    </w:p>
    <w:p>
      <w:pPr>
        <w:spacing w:before="0" w:after="0" w:line="480" w:lineRule="auto"/>
        <w:ind w:firstLine="720"/>
        <w:jc w:val="left"/>
      </w:pPr>
      <w:r>
        <w:rPr>
          <w:rFonts w:ascii="Times New Roman" w:hAnsi="Times New Roman"/>
          <w:b w:val="0"/>
          <w:i w:val="0"/>
          <w:sz w:val="24"/>
        </w:rPr>
        <w:t>**Author Contributions (CRediT Statement):** **Agbeniga Agboola:** Conceptualization, Methodology, Software, Validation, Formal Analysis, Investigation, Data Curation, Writing - Original Draft, Writing - Review &amp; Editing, Visualization, Project Administration.</w:t>
      </w:r>
    </w:p>
    <w:p>
      <w:pPr>
        <w:spacing w:before="0" w:after="0" w:line="480" w:lineRule="auto"/>
        <w:ind w:firstLine="720"/>
        <w:jc w:val="left"/>
      </w:pPr>
      <w:r>
        <w:rPr>
          <w:rFonts w:ascii="Times New Roman" w:hAnsi="Times New Roman"/>
          <w:b w:val="0"/>
          <w:i w:val="0"/>
          <w:sz w:val="24"/>
        </w:rPr>
        <w:t>**Data Availability Statement:** All underlying data generated and synthesized during this systematic review—including raw search logs across the four database engines, deduplication registers, screening decision logs, 29-field extraction matrices, and JBI critical appraisal scoring sheets—are openly accessible on Zenodo at https://doi.org/10.5281/zenodo.22771539 and on the Open Science Framework at https://osf.io/dvukp/ under a CC-BY 4.0 International license.</w:t>
      </w:r>
    </w:p>
    <w:p>
      <w:pPr>
        <w:spacing w:before="0" w:after="0" w:line="480" w:lineRule="auto"/>
        <w:ind w:firstLine="720"/>
        <w:jc w:val="left"/>
      </w:pPr>
      <w:r>
        <w:rPr>
          <w:rFonts w:ascii="Times New Roman" w:hAnsi="Times New Roman"/>
          <w:b w:val="0"/>
          <w:i w:val="0"/>
          <w:sz w:val="24"/>
        </w:rPr>
        <w:t>**Funding Declaration:** This systematic review received no specific grant from any funding agency in the public, commercial, or not-for-profit sectors.</w:t>
      </w:r>
    </w:p>
    <w:p>
      <w:pPr>
        <w:spacing w:before="0" w:after="0" w:line="480" w:lineRule="auto"/>
        <w:ind w:firstLine="720"/>
        <w:jc w:val="left"/>
      </w:pPr>
      <w:r>
        <w:rPr>
          <w:rFonts w:ascii="Times New Roman" w:hAnsi="Times New Roman"/>
          <w:b w:val="0"/>
          <w:i w:val="0"/>
          <w:sz w:val="24"/>
        </w:rPr>
        <w:t>**Competing Interests:** The author declares that they have no known competing financial interests or personal relationships that could have appeared to influence the work reported in this paper.</w:t>
      </w:r>
    </w:p>
    <w:p>
      <w:r>
        <w:br w:type="page"/>
      </w:r>
    </w:p>
    <w:p>
      <w:pPr>
        <w:spacing w:before="0" w:after="240" w:line="480" w:lineRule="auto"/>
        <w:jc w:val="center"/>
      </w:pPr>
      <w:r>
        <w:rPr>
          <w:rFonts w:ascii="Times New Roman" w:hAnsi="Times New Roman"/>
          <w:b/>
          <w:i w:val="0"/>
          <w:sz w:val="24"/>
        </w:rPr>
        <w:t>References</w:t>
      </w:r>
    </w:p>
    <w:p>
      <w:pPr>
        <w:spacing w:line="480" w:lineRule="auto" w:after="0"/>
        <w:ind w:left="720" w:hanging="720"/>
      </w:pPr>
      <w:r>
        <w:rPr>
          <w:rFonts w:ascii="Times New Roman" w:hAnsi="Times New Roman"/>
          <w:sz w:val="24"/>
        </w:rPr>
        <w:t>Abdulhaleem, M. S., Al-Tamimi, A. K., &amp; Al-Amoudi, O. S. (2025). A comprehensive review of sustainable geopolymer concrete using palm oil clinker: Environmental and engineering aspects. *Energy Science &amp; Engineering*, 13(2), 1977-2001. https://doi.org/10.1002/ese3.1977</w:t>
      </w:r>
    </w:p>
    <w:p>
      <w:pPr>
        <w:spacing w:line="480" w:lineRule="auto" w:after="0"/>
        <w:ind w:left="720" w:hanging="720"/>
      </w:pPr>
      <w:r>
        <w:rPr>
          <w:rFonts w:ascii="Times New Roman" w:hAnsi="Times New Roman"/>
          <w:sz w:val="24"/>
        </w:rPr>
        <w:t>Abhi, A. N., Hossain, M., &amp; Islam, S. (2025). Compressive strength behavior of recycled concrete with fine aggregate replacement using rubber crumb. *Smart and Green Materials*, 2(1), 36-48. https://doi.org/10.70028/sgm.v2i1.36</w:t>
      </w:r>
    </w:p>
    <w:p>
      <w:pPr>
        <w:spacing w:line="480" w:lineRule="auto" w:after="0"/>
        <w:ind w:left="720" w:hanging="720"/>
      </w:pPr>
      <w:r>
        <w:rPr>
          <w:rFonts w:ascii="Times New Roman" w:hAnsi="Times New Roman"/>
          <w:sz w:val="24"/>
        </w:rPr>
        <w:t>Adeyemi, A. Y., &amp; Idoro, G. I. (2012). Evaluation of quality of sandcrete blocks produced by artisanal block-makers in southwestern Nigeria. *Journal of Engineering and Applied Sciences*, 7(3), 231-238.</w:t>
      </w:r>
    </w:p>
    <w:p>
      <w:pPr>
        <w:spacing w:line="480" w:lineRule="auto" w:after="0"/>
        <w:ind w:left="720" w:hanging="720"/>
      </w:pPr>
      <w:r>
        <w:rPr>
          <w:rFonts w:ascii="Times New Roman" w:hAnsi="Times New Roman"/>
          <w:sz w:val="24"/>
        </w:rPr>
        <w:t>African Development Bank (AfDB). (2023). *African Economic Outlook 2023: Mobilizing Private Sector Financing for Climate and Green Growth in Africa*. AfDB Group, Abidjan, Côte d'Ivoire.</w:t>
      </w:r>
    </w:p>
    <w:p>
      <w:pPr>
        <w:spacing w:line="480" w:lineRule="auto" w:after="0"/>
        <w:ind w:left="720" w:hanging="720"/>
      </w:pPr>
      <w:r>
        <w:rPr>
          <w:rFonts w:ascii="Times New Roman" w:hAnsi="Times New Roman"/>
          <w:sz w:val="24"/>
        </w:rPr>
        <w:t>African Organisation for Standardisation (ARSO). (2020). *ARS 680 to 684: Compressed Earth Blocks — Standard Specifications and Test Methods*. ARSO Central Secretariat, Nairobi, Kenya.</w:t>
      </w:r>
    </w:p>
    <w:p>
      <w:pPr>
        <w:spacing w:line="480" w:lineRule="auto" w:after="0"/>
        <w:ind w:left="720" w:hanging="720"/>
      </w:pPr>
      <w:r>
        <w:rPr>
          <w:rFonts w:ascii="Times New Roman" w:hAnsi="Times New Roman"/>
          <w:sz w:val="24"/>
        </w:rPr>
        <w:t>Agboola, A. (2025). Sustainable Building Materials in Africa (2015–2025): A Systematic Review Protocol and Evidence Repository. *Zenodo*, https://doi.org/10.5281/zenodo.22771539</w:t>
      </w:r>
    </w:p>
    <w:p>
      <w:pPr>
        <w:spacing w:line="480" w:lineRule="auto" w:after="0"/>
        <w:ind w:left="720" w:hanging="720"/>
      </w:pPr>
      <w:r>
        <w:rPr>
          <w:rFonts w:ascii="Times New Roman" w:hAnsi="Times New Roman"/>
          <w:sz w:val="24"/>
        </w:rPr>
        <w:t>Agboola, S. A., Idowu, F. A., Yusuf, F. M., &amp; Musa, A. K. (2024). Barriers to sustainable green building practice in Nigeria. *FUDMA Journal of Sciences*, 7(6), 2114-2125. https://doi.org/10.33003/fjs-2023-0706-2114</w:t>
      </w:r>
    </w:p>
    <w:p>
      <w:pPr>
        <w:spacing w:line="480" w:lineRule="auto" w:after="0"/>
        <w:ind w:left="720" w:hanging="720"/>
      </w:pPr>
      <w:r>
        <w:rPr>
          <w:rFonts w:ascii="Times New Roman" w:hAnsi="Times New Roman"/>
          <w:sz w:val="24"/>
        </w:rPr>
        <w:t>Agyeman, S., Obeng-Ahenkora, N. K., &amp; Assiamah, S. (2019). Exploiting recycled plastic waste in concrete: A review of performance and durability. *Journal of Cleaner Production*, 239, 118080. https://doi.org/10.1016/j.jclepro.2019.118080</w:t>
      </w:r>
    </w:p>
    <w:p>
      <w:pPr>
        <w:spacing w:line="480" w:lineRule="auto" w:after="0"/>
        <w:ind w:left="720" w:hanging="720"/>
      </w:pPr>
      <w:r>
        <w:rPr>
          <w:rFonts w:ascii="Times New Roman" w:hAnsi="Times New Roman"/>
          <w:sz w:val="24"/>
        </w:rPr>
        <w:t>Aigbavboa, C., &amp; Thwala, W. (2014). An appraisal of green building practice in South Africa: Perceptions of construction professionals. *Journal of Construction Project Management and Innovation*, 4(2), 856-871.</w:t>
      </w:r>
    </w:p>
    <w:p>
      <w:pPr>
        <w:spacing w:line="480" w:lineRule="auto" w:after="0"/>
        <w:ind w:left="720" w:hanging="720"/>
      </w:pPr>
      <w:r>
        <w:rPr>
          <w:rFonts w:ascii="Times New Roman" w:hAnsi="Times New Roman"/>
          <w:sz w:val="24"/>
        </w:rPr>
        <w:t>Akintade, O., Adeyemi, B., &amp; Sanusi, K. (2025). Bridging the lab-field gap: A reproducible protocol for decentralized production of sawdust-cement ceiling boards in low-resource settings. *Engineering and Technology Journal*, 43(4), 512-526. https://doi.org/10.30684/etj.2025.164035.2007</w:t>
      </w:r>
    </w:p>
    <w:p>
      <w:pPr>
        <w:spacing w:line="480" w:lineRule="auto" w:after="0"/>
        <w:ind w:left="720" w:hanging="720"/>
      </w:pPr>
      <w:r>
        <w:rPr>
          <w:rFonts w:ascii="Times New Roman" w:hAnsi="Times New Roman"/>
          <w:sz w:val="24"/>
        </w:rPr>
        <w:t>Ala, O. A., Babatunde, O. M., &amp; Aremu, A. S. (2025). Adobe construction in Western Nigeria: A comparative study of rural and urban perceptions. *Atmosphere Journal of Environmental Sciences*, 14(2), 112-127.</w:t>
      </w:r>
    </w:p>
    <w:p>
      <w:pPr>
        <w:spacing w:line="480" w:lineRule="auto" w:after="0"/>
        <w:ind w:left="720" w:hanging="720"/>
      </w:pPr>
      <w:r>
        <w:rPr>
          <w:rFonts w:ascii="Times New Roman" w:hAnsi="Times New Roman"/>
          <w:sz w:val="24"/>
        </w:rPr>
        <w:t>Alaneme, G. U., Mbadike, E. M., &amp; Dim, N. U. (2025). Artificial intelligence predictive modelling of mechanical properties of geopolymer-concrete made from blended bagasse ash and metakaolin. *Developments in the Built Environment*, 17, 100345. https://doi.org/10.1016/j.dibe.2025.100345</w:t>
      </w:r>
    </w:p>
    <w:p>
      <w:pPr>
        <w:spacing w:line="480" w:lineRule="auto" w:after="0"/>
        <w:ind w:left="720" w:hanging="720"/>
      </w:pPr>
      <w:r>
        <w:rPr>
          <w:rFonts w:ascii="Times New Roman" w:hAnsi="Times New Roman"/>
          <w:sz w:val="24"/>
        </w:rPr>
        <w:t>Alavez-Ramirez, R., Montes-Garcia, P., Martinez-Reyes, J., Altamirano-Juarez, J., &amp; Gochi-Ponce, Y. (2012). The use of sugarcane bagasse ash and lime to produce stabilized earth blocks. *Construction and Building Materials*, 34, 296-305. https://doi.org/10.1016/j.conbuildmat.2012.02.042</w:t>
      </w:r>
    </w:p>
    <w:p>
      <w:pPr>
        <w:spacing w:line="480" w:lineRule="auto" w:after="0"/>
        <w:ind w:left="720" w:hanging="720"/>
      </w:pPr>
      <w:r>
        <w:rPr>
          <w:rFonts w:ascii="Times New Roman" w:hAnsi="Times New Roman"/>
          <w:sz w:val="24"/>
        </w:rPr>
        <w:t>Alengaram, U. J., Muhit, B. A. A., &amp; Jumaat, M. Z. (2013). Utilization of palm oil fuel ash in normal weight and lightweight concrete: A review. *Construction and Building Materials*, 48, 1222-1234. https://doi.org/10.1016/j.conbuildmat.2013.07.034</w:t>
      </w:r>
    </w:p>
    <w:p>
      <w:pPr>
        <w:spacing w:line="480" w:lineRule="auto" w:after="0"/>
        <w:ind w:left="720" w:hanging="720"/>
      </w:pPr>
      <w:r>
        <w:rPr>
          <w:rFonts w:ascii="Times New Roman" w:hAnsi="Times New Roman"/>
          <w:sz w:val="24"/>
        </w:rPr>
        <w:t>Alonso-Álvarez, D. (2025). The African Journals Online (AJOL) corpus: 123,571 open access publications across African nations. *Zenodo*, https://doi.org/10.5281/zenodo.14899380</w:t>
      </w:r>
    </w:p>
    <w:p>
      <w:pPr>
        <w:spacing w:line="480" w:lineRule="auto" w:after="0"/>
        <w:ind w:left="720" w:hanging="720"/>
      </w:pPr>
      <w:r>
        <w:rPr>
          <w:rFonts w:ascii="Times New Roman" w:hAnsi="Times New Roman"/>
          <w:sz w:val="24"/>
        </w:rPr>
        <w:t>American Society for Testing and Materials (ASTM). (2021). *ASTM C618-21: Standard Specification for Coal Fly Ash and Raw or Calcined Natural Pozzolan for Use in Concrete*. ASTM International, West Conshohocken, PA. https://doi.org/10.1520/C0618-21</w:t>
      </w:r>
    </w:p>
    <w:p>
      <w:pPr>
        <w:spacing w:line="480" w:lineRule="auto" w:after="0"/>
        <w:ind w:left="720" w:hanging="720"/>
      </w:pPr>
      <w:r>
        <w:rPr>
          <w:rFonts w:ascii="Times New Roman" w:hAnsi="Times New Roman"/>
          <w:sz w:val="24"/>
        </w:rPr>
        <w:t>Aprianti, E., Shafigh, P., Bahri, S., &amp; Farahani, J. N. (2015). Supplementary cementitious materials origin from agricultural wastes: A review. *Construction and Building Materials*, 74, 176-187. https://doi.org/10.1016/j.conbuildmat.2014.10.010</w:t>
      </w:r>
    </w:p>
    <w:p>
      <w:pPr>
        <w:spacing w:line="480" w:lineRule="auto" w:after="0"/>
        <w:ind w:left="720" w:hanging="720"/>
      </w:pPr>
      <w:r>
        <w:rPr>
          <w:rFonts w:ascii="Times New Roman" w:hAnsi="Times New Roman"/>
          <w:sz w:val="24"/>
        </w:rPr>
        <w:t>Audu, J., Omoniyi, T. E., &amp; Akinwande, A. A. (2025). Beyond burnt bricks: Reassessing Otukpo soil for sustainable construction applications. *Construction Materials*, 6(1), 1-18. https://doi.org/10.3390/constrmater6010001</w:t>
      </w:r>
    </w:p>
    <w:p>
      <w:pPr>
        <w:spacing w:line="480" w:lineRule="auto" w:after="0"/>
        <w:ind w:left="720" w:hanging="720"/>
      </w:pPr>
      <w:r>
        <w:rPr>
          <w:rFonts w:ascii="Times New Roman" w:hAnsi="Times New Roman"/>
          <w:sz w:val="24"/>
        </w:rPr>
        <w:t>Awoyera, P. O., Adesina, A., &amp; Sivakrishna, A. (2020). Performance of concrete incorporating agricultural wastes as cementitious replacement: A systematic review. *Environmental Science and Pollution Research*, 27(19), 23512-23528. https://doi.org/10.1007/s11356-020-08709-3</w:t>
      </w:r>
    </w:p>
    <w:p>
      <w:pPr>
        <w:spacing w:line="480" w:lineRule="auto" w:after="0"/>
        <w:ind w:left="720" w:hanging="720"/>
      </w:pPr>
      <w:r>
        <w:rPr>
          <w:rFonts w:ascii="Times New Roman" w:hAnsi="Times New Roman"/>
          <w:sz w:val="24"/>
        </w:rPr>
        <w:t>Ayininuola, G. M., &amp; Olalusi, O. O. (2004). Assessment of building failure in Nigeria: Lagos State experience. *African Journal of Science and Technology*, 5(1), 74-78.</w:t>
      </w:r>
    </w:p>
    <w:p>
      <w:pPr>
        <w:spacing w:line="480" w:lineRule="auto" w:after="0"/>
        <w:ind w:left="720" w:hanging="720"/>
      </w:pPr>
      <w:r>
        <w:rPr>
          <w:rFonts w:ascii="Times New Roman" w:hAnsi="Times New Roman"/>
          <w:sz w:val="24"/>
        </w:rPr>
        <w:t>Babafemi, A. J., Savastano, H., &amp; Kolawole, J. T. (2021). Recycled plastic in concrete: A review on mechanical properties, microstructural characteristics, and fire performance. *Case Studies in Construction Materials*, 15, e00780. https://doi.org/10.1016/j.cscm.2021.e00780</w:t>
      </w:r>
    </w:p>
    <w:p>
      <w:pPr>
        <w:spacing w:line="480" w:lineRule="auto" w:after="0"/>
        <w:ind w:left="720" w:hanging="720"/>
      </w:pPr>
      <w:r>
        <w:rPr>
          <w:rFonts w:ascii="Times New Roman" w:hAnsi="Times New Roman"/>
          <w:sz w:val="24"/>
        </w:rPr>
        <w:t>Baiden, B. K., &amp; Tuuli, M. M. (2004). Impact of quality control practices in sandcrete blocks production in Ghana. *Journal of Architectural Engineering*, 10(2), 53-60. https://doi.org/10.1061/(ASCE)1076-0431(2004)10:2(53)</w:t>
      </w:r>
    </w:p>
    <w:p>
      <w:pPr>
        <w:spacing w:line="480" w:lineRule="auto" w:after="0"/>
        <w:ind w:left="720" w:hanging="720"/>
      </w:pPr>
      <w:r>
        <w:rPr>
          <w:rFonts w:ascii="Times New Roman" w:hAnsi="Times New Roman"/>
          <w:sz w:val="24"/>
        </w:rPr>
        <w:t>Benham, H., Al-Shammari, M., &amp; Chileshe, N. (2025). Barriers to green supply chain management in the construction industry: A systematic review. *The Digital Edge: Transforming Business Systems*, 54, 712-730. https://doi.org/10.1007/978-3-031-85898-7_54</w:t>
      </w:r>
    </w:p>
    <w:p>
      <w:pPr>
        <w:spacing w:line="480" w:lineRule="auto" w:after="0"/>
        <w:ind w:left="720" w:hanging="720"/>
      </w:pPr>
      <w:r>
        <w:rPr>
          <w:rFonts w:ascii="Times New Roman" w:hAnsi="Times New Roman"/>
          <w:sz w:val="24"/>
        </w:rPr>
        <w:t>Bolaji, O. S., Omole, D. O., &amp; Babatunde, S. O. (2025). Correlation of socioeconomic characteristics and maintenance level of houses in mass housing scheme in Ilorin, Nigeria. *Architecture and Planning Journal*, 31(1), 1252. https://doi.org/10.54729/2789-8547.1252</w:t>
      </w:r>
    </w:p>
    <w:p>
      <w:pPr>
        <w:spacing w:line="480" w:lineRule="auto" w:after="0"/>
        <w:ind w:left="720" w:hanging="720"/>
      </w:pPr>
      <w:r>
        <w:rPr>
          <w:rFonts w:ascii="Times New Roman" w:hAnsi="Times New Roman"/>
          <w:sz w:val="24"/>
        </w:rPr>
        <w:t>Bolaji, R. A., Adeyemi, A., &amp; Oladipo, I. (2025). Assessment of reclaimed asphalt pavement as recycled aggregates for green roads. *Smart and Green Materials*, 2(2), 53-66. https://doi.org/10.70028/sgm.v2i2.53</w:t>
      </w:r>
    </w:p>
    <w:p>
      <w:pPr>
        <w:spacing w:line="480" w:lineRule="auto" w:after="0"/>
        <w:ind w:left="720" w:hanging="720"/>
      </w:pPr>
      <w:r>
        <w:rPr>
          <w:rFonts w:ascii="Times New Roman" w:hAnsi="Times New Roman"/>
          <w:sz w:val="24"/>
        </w:rPr>
        <w:t>British Standards Institution (BSI). (2011). *BS EN 197-1: Cement — Part 1: Composition, Specifications and Conformity Criteria for Common Cements*. BSI, London.</w:t>
      </w:r>
    </w:p>
    <w:p>
      <w:pPr>
        <w:spacing w:line="480" w:lineRule="auto" w:after="0"/>
        <w:ind w:left="720" w:hanging="720"/>
      </w:pPr>
      <w:r>
        <w:rPr>
          <w:rFonts w:ascii="Times New Roman" w:hAnsi="Times New Roman"/>
          <w:sz w:val="24"/>
        </w:rPr>
        <w:t>British Standards Institution (BSI). (2013). *BS EN 206: Concrete — Specification, Performance, Production and Conformity*. BSI, London.</w:t>
      </w:r>
    </w:p>
    <w:p>
      <w:pPr>
        <w:spacing w:line="480" w:lineRule="auto" w:after="0"/>
        <w:ind w:left="720" w:hanging="720"/>
      </w:pPr>
      <w:r>
        <w:rPr>
          <w:rFonts w:ascii="Times New Roman" w:hAnsi="Times New Roman"/>
          <w:sz w:val="24"/>
        </w:rPr>
        <w:t>Cabeza, L. F., Castell, A., Barreneche, C., de Gracia, A., &amp; Fernández, A. I. (2011). Materials used as PCM in building applications: A review. *Renewable and Sustainable Energy Reviews*, 15(3), 1675-1695. https://doi.org/10.1016/j.rser.2010.11.018</w:t>
      </w:r>
    </w:p>
    <w:p>
      <w:pPr>
        <w:spacing w:line="480" w:lineRule="auto" w:after="0"/>
        <w:ind w:left="720" w:hanging="720"/>
      </w:pPr>
      <w:r>
        <w:rPr>
          <w:rFonts w:ascii="Times New Roman" w:hAnsi="Times New Roman"/>
          <w:sz w:val="24"/>
        </w:rPr>
        <w:t>Cordeiro, G. C., Toledo Filho, R. D., &amp; Fairbairn, E. M. R. (2009). Use of ultrafine rice husk ash with high-carbon content as pozzolan in high performance concrete. *Materials and Structures*, 42(7), 983-992. https://doi.org/10.1617/s11527-008-9437-z</w:t>
      </w:r>
    </w:p>
    <w:p>
      <w:pPr>
        <w:spacing w:line="480" w:lineRule="auto" w:after="0"/>
        <w:ind w:left="720" w:hanging="720"/>
      </w:pPr>
      <w:r>
        <w:rPr>
          <w:rFonts w:ascii="Times New Roman" w:hAnsi="Times New Roman"/>
          <w:sz w:val="24"/>
        </w:rPr>
        <w:t>Dabaieh, M., Heinonen, J., El-Mahdy, D., &amp; Hassan, M. (2020). A carbon footprint approach for low-carbon residential buildings: Case study of a rammed earth passive house. *Journal of Cleaner Production*, 267, 121966. https://doi.org/10.1016/j.jclepro.2020.121966</w:t>
      </w:r>
    </w:p>
    <w:p>
      <w:pPr>
        <w:spacing w:line="480" w:lineRule="auto" w:after="0"/>
        <w:ind w:left="720" w:hanging="720"/>
      </w:pPr>
      <w:r>
        <w:rPr>
          <w:rFonts w:ascii="Times New Roman" w:hAnsi="Times New Roman"/>
          <w:sz w:val="24"/>
        </w:rPr>
        <w:t>Dahiru, D., Dania, A. A., &amp; Adejoh, A. O. (2014). An investigation into the issues of building collapse in Nigeria: A stakeholder's perspective. *Journal of Sustainable Development in Africa*, 16(6), 1-14.</w:t>
      </w:r>
    </w:p>
    <w:p>
      <w:pPr>
        <w:spacing w:line="480" w:lineRule="auto" w:after="0"/>
        <w:ind w:left="720" w:hanging="720"/>
      </w:pPr>
      <w:r>
        <w:rPr>
          <w:rFonts w:ascii="Times New Roman" w:hAnsi="Times New Roman"/>
          <w:sz w:val="24"/>
        </w:rPr>
        <w:t>Danso, H. (2018). Use of agricultural waste fibres as enhancement of soil blocks for low-cost housing in Ghana. *Journal of Building Engineering*, 18, 256-264. https://doi.org/10.1016/j.jobe.2018.03.017</w:t>
      </w:r>
    </w:p>
    <w:p>
      <w:pPr>
        <w:spacing w:line="480" w:lineRule="auto" w:after="0"/>
        <w:ind w:left="720" w:hanging="720"/>
      </w:pPr>
      <w:r>
        <w:rPr>
          <w:rFonts w:ascii="Times New Roman" w:hAnsi="Times New Roman"/>
          <w:sz w:val="24"/>
        </w:rPr>
        <w:t>Danso, H., Martinson, D. B., Ali, M., &amp; Mantey, J. (2015). Performance characteristics of enhanced soil blocks: A review. *Journal of Materials in Civil Engineering*, 27(8), 04014232. https://doi.org/10.1061/(ASCE)MT.1943-5533.0001206</w:t>
      </w:r>
    </w:p>
    <w:p>
      <w:pPr>
        <w:spacing w:line="480" w:lineRule="auto" w:after="0"/>
        <w:ind w:left="720" w:hanging="720"/>
      </w:pPr>
      <w:r>
        <w:rPr>
          <w:rFonts w:ascii="Times New Roman" w:hAnsi="Times New Roman"/>
          <w:sz w:val="24"/>
        </w:rPr>
        <w:t>Darko, A., &amp; Chan, A. P. (2017). Review of barriers to green building adoption. *Sustainable Development*, 25(3), 167-179. https://doi.org/10.1002/sd.1651</w:t>
      </w:r>
    </w:p>
    <w:p>
      <w:pPr>
        <w:spacing w:line="480" w:lineRule="auto" w:after="0"/>
        <w:ind w:left="720" w:hanging="720"/>
      </w:pPr>
      <w:r>
        <w:rPr>
          <w:rFonts w:ascii="Times New Roman" w:hAnsi="Times New Roman"/>
          <w:sz w:val="24"/>
        </w:rPr>
        <w:t>Davidovits, J. (2020). *Geopolymer Chemistry and Applications* (5th ed.). Institut Géopolymère, Saint-Quentin, France.</w:t>
      </w:r>
    </w:p>
    <w:p>
      <w:pPr>
        <w:spacing w:line="480" w:lineRule="auto" w:after="0"/>
        <w:ind w:left="720" w:hanging="720"/>
      </w:pPr>
      <w:r>
        <w:rPr>
          <w:rFonts w:ascii="Times New Roman" w:hAnsi="Times New Roman"/>
          <w:sz w:val="24"/>
        </w:rPr>
        <w:t>De Belie, N., Wang, J., &amp; Boon, N. (2018). Bio-based technologies for sustainable concrete: Self-healing and biodeposition. *Cement and Concrete Composites*, 90, 80-92. https://doi.org/10.1016/j.cemconcomp.2018.03.013</w:t>
      </w:r>
    </w:p>
    <w:p>
      <w:pPr>
        <w:spacing w:line="480" w:lineRule="auto" w:after="0"/>
        <w:ind w:left="720" w:hanging="720"/>
      </w:pPr>
      <w:r>
        <w:rPr>
          <w:rFonts w:ascii="Times New Roman" w:hAnsi="Times New Roman"/>
          <w:sz w:val="24"/>
        </w:rPr>
        <w:t>Dicha, H. M., Belay, A., &amp; Tadesse, M. (2025). Banana fibre-reinforced diatomaceous earth slurry treatment of recycled aggregate for enhanced structural concrete performance. *Scientific Reports*, 15, 8476. https://doi.org/10.1038/s41598-024-84762-w</w:t>
      </w:r>
    </w:p>
    <w:p>
      <w:pPr>
        <w:spacing w:line="480" w:lineRule="auto" w:after="0"/>
        <w:ind w:left="720" w:hanging="720"/>
      </w:pPr>
      <w:r>
        <w:rPr>
          <w:rFonts w:ascii="Times New Roman" w:hAnsi="Times New Roman"/>
          <w:sz w:val="24"/>
        </w:rPr>
        <w:t>Duxson, P., Fernández-Jiménez, A., Provis, J. L., Lukey, G. C., Palomo, A., &amp; van Deventer, J. S. (2007). Geopolymer technology: The current state of the art. *Journal of Materials Science*, 42(9), 2917-2933. https://doi.org/10.1007/s10853-006-0637-z</w:t>
      </w:r>
    </w:p>
    <w:p>
      <w:pPr>
        <w:spacing w:line="480" w:lineRule="auto" w:after="0"/>
        <w:ind w:left="720" w:hanging="720"/>
      </w:pPr>
      <w:r>
        <w:rPr>
          <w:rFonts w:ascii="Times New Roman" w:hAnsi="Times New Roman"/>
          <w:sz w:val="24"/>
        </w:rPr>
        <w:t>Ede, A. N., Olofinnade, O. M., &amp; Bamigboye, G. O. (2014). Mitigating the structural collapse of buildings in Nigeria through quality control of concrete materials. *International Journal of Civil and Environmental Engineering*, 8(8), 920-926.</w:t>
      </w:r>
    </w:p>
    <w:p>
      <w:pPr>
        <w:spacing w:line="480" w:lineRule="auto" w:after="0"/>
        <w:ind w:left="720" w:hanging="720"/>
      </w:pPr>
      <w:r>
        <w:rPr>
          <w:rFonts w:ascii="Times New Roman" w:hAnsi="Times New Roman"/>
          <w:sz w:val="24"/>
        </w:rPr>
        <w:t>Emmanuel, K., Okonkwo, C., &amp; Eze, P. (2025). A comparative analysis of Poland, Ukraine, and Nigeria construction and demolition waste management legislation. *Civil and Environmental Engineering Reports*, 35(1), 145-162.</w:t>
      </w:r>
    </w:p>
    <w:p>
      <w:pPr>
        <w:spacing w:line="480" w:lineRule="auto" w:after="0"/>
        <w:ind w:left="720" w:hanging="720"/>
      </w:pPr>
      <w:r>
        <w:rPr>
          <w:rFonts w:ascii="Times New Roman" w:hAnsi="Times New Roman"/>
          <w:sz w:val="24"/>
        </w:rPr>
        <w:t>Ghana Standards Authority (GSA). (2019). *GS 297: Specification for Sandcrete Blocks*. GSA Standards Council, Accra, Ghana.</w:t>
      </w:r>
    </w:p>
    <w:p>
      <w:pPr>
        <w:spacing w:line="480" w:lineRule="auto" w:after="0"/>
        <w:ind w:left="720" w:hanging="720"/>
      </w:pPr>
      <w:r>
        <w:rPr>
          <w:rFonts w:ascii="Times New Roman" w:hAnsi="Times New Roman"/>
          <w:sz w:val="24"/>
        </w:rPr>
        <w:t>Habert, G., Miller, S. A., John, V. M., Provis, J. L., Favier, A., Horvath, A., &amp; Scrivener, K. L. (2020). Environmental impacts and decarbonization strategies in the cement and concrete industries. *Nature Reviews Earth &amp; Environment*, 1(11), 559-573. https://doi.org/10.1038/s43017-020-0093-3</w:t>
      </w:r>
    </w:p>
    <w:p>
      <w:pPr>
        <w:spacing w:line="480" w:lineRule="auto" w:after="0"/>
        <w:ind w:left="720" w:hanging="720"/>
      </w:pPr>
      <w:r>
        <w:rPr>
          <w:rFonts w:ascii="Times New Roman" w:hAnsi="Times New Roman"/>
          <w:sz w:val="24"/>
        </w:rPr>
        <w:t>Higgins, J. P., Thomas, J., Chandler, J., Cumpston, M., Li, T., Page, M. J., &amp; Welch, V. A. (Eds.). (2019). *Cochrane Handbook for Systematic Reviews of Interventions* (2nd ed.). John Wiley &amp; Sons, Chichester, UK. https://doi.org/10.1002/9781119536604</w:t>
      </w:r>
    </w:p>
    <w:p>
      <w:pPr>
        <w:spacing w:line="480" w:lineRule="auto" w:after="0"/>
        <w:ind w:left="720" w:hanging="720"/>
      </w:pPr>
      <w:r>
        <w:rPr>
          <w:rFonts w:ascii="Times New Roman" w:hAnsi="Times New Roman"/>
          <w:sz w:val="24"/>
        </w:rPr>
        <w:t>Ikotun, J. O., Ekolu, S. O., &amp; Babafemi, A. J. (2025). A comprehensive review on the performance of low-carbon ceramic waste powder as cement replacement material in concrete. *Applied Sciences*, 15(11), 6037. https://doi.org/10.3390/app15116037</w:t>
      </w:r>
    </w:p>
    <w:p>
      <w:pPr>
        <w:spacing w:line="480" w:lineRule="auto" w:after="0"/>
        <w:ind w:left="720" w:hanging="720"/>
      </w:pPr>
      <w:r>
        <w:rPr>
          <w:rFonts w:ascii="Times New Roman" w:hAnsi="Times New Roman"/>
          <w:sz w:val="24"/>
        </w:rPr>
        <w:t>International Bamboo and Rattan Organisation (INBAR). (2020). *Bamboo and Rattan: A Nature-Based Solution to Sustainable Development in Africa*. INBAR Central Secretariat, Addis Ababa, Ethiopia.</w:t>
      </w:r>
    </w:p>
    <w:p>
      <w:pPr>
        <w:spacing w:line="480" w:lineRule="auto" w:after="0"/>
        <w:ind w:left="720" w:hanging="720"/>
      </w:pPr>
      <w:r>
        <w:rPr>
          <w:rFonts w:ascii="Times New Roman" w:hAnsi="Times New Roman"/>
          <w:sz w:val="24"/>
        </w:rPr>
        <w:t>Kibwage, J. K., Odondo, A. J., &amp; Momanyi, G. M. (2017). Commercialization of bamboo products in Kenya: Economic potential and livelihood impacts. *African Journal of Environmental Science and Technology*, 11(6), 312-324.</w:t>
      </w:r>
    </w:p>
    <w:p>
      <w:pPr>
        <w:spacing w:line="480" w:lineRule="auto" w:after="0"/>
        <w:ind w:left="720" w:hanging="720"/>
      </w:pPr>
      <w:r>
        <w:rPr>
          <w:rFonts w:ascii="Times New Roman" w:hAnsi="Times New Roman"/>
          <w:sz w:val="24"/>
        </w:rPr>
        <w:t>Kilani, A. J., Olonade, K. A., &amp; Ojedokun, O. Y. (2025). A review on the structural performance of sustainable composite construction materials incorporating locust bean and mango wastes. *Discover Applied Sciences*, 7(2), 7591. https://doi.org/10.1007/s42452-025-07591-0</w:t>
      </w:r>
    </w:p>
    <w:p>
      <w:pPr>
        <w:spacing w:line="480" w:lineRule="auto" w:after="0"/>
        <w:ind w:left="720" w:hanging="720"/>
      </w:pPr>
      <w:r>
        <w:rPr>
          <w:rFonts w:ascii="Times New Roman" w:hAnsi="Times New Roman"/>
          <w:sz w:val="24"/>
        </w:rPr>
        <w:t>Koutous, A., Hilali, E., &amp; Ezziane, K. (2025). Date palm fiber-reinforcement impact on rammed earth mechanical behavior. *Construction and Building Materials*, 412, 134789. https://doi.org/10.1016/j.conbuildmat.2024.134789</w:t>
      </w:r>
    </w:p>
    <w:p>
      <w:pPr>
        <w:spacing w:line="480" w:lineRule="auto" w:after="0"/>
        <w:ind w:left="720" w:hanging="720"/>
      </w:pPr>
      <w:r>
        <w:rPr>
          <w:rFonts w:ascii="Times New Roman" w:hAnsi="Times New Roman"/>
          <w:sz w:val="24"/>
        </w:rPr>
        <w:t>Lu, Y., Zhang, X., &amp; Wang, J. (2025). A literature review of sustainable building research: Bibliometric analysis from 2015–2025. *Buildings*, 15(19), 3609. https://doi.org/10.3390/buildings15193609</w:t>
      </w:r>
    </w:p>
    <w:p>
      <w:pPr>
        <w:spacing w:line="480" w:lineRule="auto" w:after="0"/>
        <w:ind w:left="720" w:hanging="720"/>
      </w:pPr>
      <w:r>
        <w:rPr>
          <w:rFonts w:ascii="Times New Roman" w:hAnsi="Times New Roman"/>
          <w:sz w:val="24"/>
        </w:rPr>
        <w:t>Mahame, C., Kavishe, N., &amp; Mwanaumo, E. (2025). Critical factors influencing the selection of sustainable materials for residential building projects: A literature review approach. *Journal of Engineering, Project, and Production Management*, 15(1), 45-59.</w:t>
      </w:r>
    </w:p>
    <w:p>
      <w:pPr>
        <w:spacing w:line="480" w:lineRule="auto" w:after="0"/>
        <w:ind w:left="720" w:hanging="720"/>
      </w:pPr>
      <w:r>
        <w:rPr>
          <w:rFonts w:ascii="Times New Roman" w:hAnsi="Times New Roman"/>
          <w:sz w:val="24"/>
        </w:rPr>
        <w:t>Mangoro, T., Simpeh, E. K., &amp; Ndihokubwayo, R. (2025). Assessment of literature on construction and demolition waste management barriers in Sub-Saharan Africa: Lessons and implications for sustainability in South Africa. *International Journal of Environment and Waste Management*, 35(2), 147-168. https://doi.org/10.1504/IJEWM.2025.147926</w:t>
      </w:r>
    </w:p>
    <w:p>
      <w:pPr>
        <w:spacing w:line="480" w:lineRule="auto" w:after="0"/>
        <w:ind w:left="720" w:hanging="720"/>
      </w:pPr>
      <w:r>
        <w:rPr>
          <w:rFonts w:ascii="Times New Roman" w:hAnsi="Times New Roman"/>
          <w:sz w:val="24"/>
        </w:rPr>
        <w:t>Messaoudene, I., Tahlaiti, M., &amp; Belachia, M. (2025). Assessment of the role of blast furnace slag in optimising the physico-mechanical properties of compressed earth blocks stabilised with cement and lime. *European Journal of Environmental and Civil Engineering*, 29(4), 589-608. https://doi.org/10.1080/19648189.2025.2504602</w:t>
      </w:r>
    </w:p>
    <w:p>
      <w:pPr>
        <w:spacing w:line="480" w:lineRule="auto" w:after="0"/>
        <w:ind w:left="720" w:hanging="720"/>
      </w:pPr>
      <w:r>
        <w:rPr>
          <w:rFonts w:ascii="Times New Roman" w:hAnsi="Times New Roman"/>
          <w:sz w:val="24"/>
        </w:rPr>
        <w:t>Miller, S. A., Horvath, A., &amp; Monteiro, P. J. (2016). Readily implementable techniques can cut annual CO2 emissions from the production of concrete by over 20%. *Environmental Research Letters*, 11(7), 074029. https://doi.org/10.1088/1748-9326/11/7/074029</w:t>
      </w:r>
    </w:p>
    <w:p>
      <w:pPr>
        <w:spacing w:line="480" w:lineRule="auto" w:after="0"/>
        <w:ind w:left="720" w:hanging="720"/>
      </w:pPr>
      <w:r>
        <w:rPr>
          <w:rFonts w:ascii="Times New Roman" w:hAnsi="Times New Roman"/>
          <w:sz w:val="24"/>
        </w:rPr>
        <w:t>Minke, G. (2021). *Building with Earth: Design and Technology of a Sustainable Architecture* (4th ed.). Birkhäuser, Basel. https://doi.org/10.1515/9783035622539</w:t>
      </w:r>
    </w:p>
    <w:p>
      <w:pPr>
        <w:spacing w:line="480" w:lineRule="auto" w:after="0"/>
        <w:ind w:left="720" w:hanging="720"/>
      </w:pPr>
      <w:r>
        <w:rPr>
          <w:rFonts w:ascii="Times New Roman" w:hAnsi="Times New Roman"/>
          <w:sz w:val="24"/>
        </w:rPr>
        <w:t>Moola, S., Munn, Z., Tufanaru, C., Aromataris, E., Sears, K., Sfetcu, R., ... &amp; Mu, P. (2020). Chapter 7: Systematic reviews of etiology and risk. In: Aromataris E, Munn Z (Editors). *JBI Manual for Evidence Synthesis*. JBI. https://doi.org/10.46658/JBIMES-20-08</w:t>
      </w:r>
    </w:p>
    <w:p>
      <w:pPr>
        <w:spacing w:line="480" w:lineRule="auto" w:after="0"/>
        <w:ind w:left="720" w:hanging="720"/>
      </w:pPr>
      <w:r>
        <w:rPr>
          <w:rFonts w:ascii="Times New Roman" w:hAnsi="Times New Roman"/>
          <w:sz w:val="24"/>
        </w:rPr>
        <w:t>Ndububa, E. E., &amp; Ndububa, O. I. (2018). Suitability of crushed palm kernel shells as coarse aggregates in structural lightweight concrete in Nigeria. *International Journal of Civil Engineering and Technology*, 9(7), 432-441.</w:t>
      </w:r>
    </w:p>
    <w:p>
      <w:pPr>
        <w:spacing w:line="480" w:lineRule="auto" w:after="0"/>
        <w:ind w:left="720" w:hanging="720"/>
      </w:pPr>
      <w:r>
        <w:rPr>
          <w:rFonts w:ascii="Times New Roman" w:hAnsi="Times New Roman"/>
          <w:sz w:val="24"/>
        </w:rPr>
        <w:t>Nshimiyimana, P., Mirrahimi, S., &amp; Messan, A. (2025). A feasibility assessment of low-carbon concrete containing calcined clay and granite powder or dolomitic limestone in Burkina Faso. *Clean Technologies and Environmental Policy*, 27(3), 812-828. https://doi.org/10.1007/s10098-024-03012-4</w:t>
      </w:r>
    </w:p>
    <w:p>
      <w:pPr>
        <w:spacing w:line="480" w:lineRule="auto" w:after="0"/>
        <w:ind w:left="720" w:hanging="720"/>
      </w:pPr>
      <w:r>
        <w:rPr>
          <w:rFonts w:ascii="Times New Roman" w:hAnsi="Times New Roman"/>
          <w:sz w:val="24"/>
        </w:rPr>
        <w:t>Ofori, G. (2015). Nature of the construction industry, its needs and its development: A review of four decades of research. *Journal of Construction in Developing Countries*, 20(2), 115-135.</w:t>
      </w:r>
    </w:p>
    <w:p>
      <w:pPr>
        <w:spacing w:line="480" w:lineRule="auto" w:after="0"/>
        <w:ind w:left="720" w:hanging="720"/>
      </w:pPr>
      <w:r>
        <w:rPr>
          <w:rFonts w:ascii="Times New Roman" w:hAnsi="Times New Roman"/>
          <w:sz w:val="24"/>
        </w:rPr>
        <w:t>Ogunro, A., Alake, O., &amp; Sanni, S. (2025). Applicability of some calcined clay and calcium carbide waste in cement mixes for development of pozzolanic binder. *Nigerian Journal of Technology*, 44(1), 78-89. https://doi.org/10.4314/njt.v44i1.8</w:t>
      </w:r>
    </w:p>
    <w:p>
      <w:pPr>
        <w:spacing w:line="480" w:lineRule="auto" w:after="0"/>
        <w:ind w:left="720" w:hanging="720"/>
      </w:pPr>
      <w:r>
        <w:rPr>
          <w:rFonts w:ascii="Times New Roman" w:hAnsi="Times New Roman"/>
          <w:sz w:val="24"/>
        </w:rPr>
        <w:t>Olofinnade, O. M., Ndambuki, J. M., &amp; Ede, A. N. (2018). Experimental data on the strength characteristics of concrete containing crushed waste glass as coarse aggregate. *Data in Brief*, 19, 874-880. https://doi.org/10.1016/j.dib.2018.05.132</w:t>
      </w:r>
    </w:p>
    <w:p>
      <w:pPr>
        <w:spacing w:line="480" w:lineRule="auto" w:after="0"/>
        <w:ind w:left="720" w:hanging="720"/>
      </w:pPr>
      <w:r>
        <w:rPr>
          <w:rFonts w:ascii="Times New Roman" w:hAnsi="Times New Roman"/>
          <w:sz w:val="24"/>
        </w:rPr>
        <w:t>Oppon, J. A., Mensah, F., &amp; Boateng, K. (2025). A bibliometric review of agricultural waste as coarse aggregates in sustainable concrete. *Discover Civil Engineering*, 2(1), 286. https://doi.org/10.1007/s44290-025-00286-w</w:t>
      </w:r>
    </w:p>
    <w:p>
      <w:pPr>
        <w:spacing w:line="480" w:lineRule="auto" w:after="0"/>
        <w:ind w:left="720" w:hanging="720"/>
      </w:pPr>
      <w:r>
        <w:rPr>
          <w:rFonts w:ascii="Times New Roman" w:hAnsi="Times New Roman"/>
          <w:sz w:val="24"/>
        </w:rPr>
        <w:t>Oti, M. N., Kinuthia, J. M., &amp; Bai, J. (2016). Engineering properties of unfired clay masonry bricks to satisfy BS 3921. *Materials &amp; Design*, 30(7), 2530-2537. https://doi.org/10.1016/j.matdes.2008.09.034</w:t>
      </w:r>
    </w:p>
    <w:p>
      <w:pPr>
        <w:spacing w:line="480" w:lineRule="auto" w:after="0"/>
        <w:ind w:left="720" w:hanging="720"/>
      </w:pPr>
      <w:r>
        <w:rPr>
          <w:rFonts w:ascii="Times New Roman" w:hAnsi="Times New Roman"/>
          <w:sz w:val="24"/>
        </w:rPr>
        <w:t>Oyetunji, A. K., Ede, A. N., &amp; Olofinnade, O. M. (2021). Assessing mechanical properties of concrete containing palm oil fuel ash and cassava peel ash. *Case Studies in Construction Materials*, 15, e00728. https://doi.org/10.1016/j.cscm.2021.e00728</w:t>
      </w:r>
    </w:p>
    <w:p>
      <w:pPr>
        <w:spacing w:line="480" w:lineRule="auto" w:after="0"/>
        <w:ind w:left="720" w:hanging="720"/>
      </w:pPr>
      <w:r>
        <w:rPr>
          <w:rFonts w:ascii="Times New Roman" w:hAnsi="Times New Roman"/>
          <w:sz w:val="24"/>
        </w:rPr>
        <w:t>Page, M. J., McKenzie, J. E., Bossuyt, P. M., Boutron, I., Hoffmann, T. C., Mulrow, C. D., ... &amp; Moher, D. (2021). The PRISMA 2020 statement: An updated guideline for reporting systematic reviews. *BMJ*, 372, n71. https://doi.org/10.1136/bmj.n71</w:t>
      </w:r>
    </w:p>
    <w:p>
      <w:pPr>
        <w:spacing w:line="480" w:lineRule="auto" w:after="0"/>
        <w:ind w:left="720" w:hanging="720"/>
      </w:pPr>
      <w:r>
        <w:rPr>
          <w:rFonts w:ascii="Times New Roman" w:hAnsi="Times New Roman"/>
          <w:sz w:val="24"/>
        </w:rPr>
        <w:t>Prasittisopin, L., &amp; Trejo, D. (2025). Concrete mix design of recycled concrete aggregate (RCA): Analysis of review papers, characteristics, research trends, and underexplored topics. *Resources*, 14(2), 21. https://doi.org/10.3390/resources14020021</w:t>
      </w:r>
    </w:p>
    <w:p>
      <w:pPr>
        <w:spacing w:line="480" w:lineRule="auto" w:after="0"/>
        <w:ind w:left="720" w:hanging="720"/>
      </w:pPr>
      <w:r>
        <w:rPr>
          <w:rFonts w:ascii="Times New Roman" w:hAnsi="Times New Roman"/>
          <w:sz w:val="24"/>
        </w:rPr>
        <w:t>Provis, J. L., &amp; van Deventer, J. S. (Eds.). (2014). *Alkali Activated Materials: State-of-the-Art Report, RILEM TC 224-AAM*. Springer, Dordrecht. https://doi.org/10.1007/978-94-007-7672-2</w:t>
      </w:r>
    </w:p>
    <w:p>
      <w:pPr>
        <w:spacing w:line="480" w:lineRule="auto" w:after="0"/>
        <w:ind w:left="720" w:hanging="720"/>
      </w:pPr>
      <w:r>
        <w:rPr>
          <w:rFonts w:ascii="Times New Roman" w:hAnsi="Times New Roman"/>
          <w:sz w:val="24"/>
        </w:rPr>
        <w:t>Puttamanjaiah, K., Ramachandran, K., &amp; Sundaram, V. (2025). Advancing sustainable engineering practices: An extension of MOA theory on consumer intentions to adopt sustainable and green building materials. *International Journal of Sustainable Engineering*, 18(1), 250-268. https://doi.org/10.1080/19397038.2025.2507915</w:t>
      </w:r>
    </w:p>
    <w:p>
      <w:pPr>
        <w:spacing w:line="480" w:lineRule="auto" w:after="0"/>
        <w:ind w:left="720" w:hanging="720"/>
      </w:pPr>
      <w:r>
        <w:rPr>
          <w:rFonts w:ascii="Times New Roman" w:hAnsi="Times New Roman"/>
          <w:sz w:val="24"/>
        </w:rPr>
        <w:t>Salzer, C., Wallbaum, H., &amp; Lopez, L. F. (2016). Sustainability assessment of bamboo-based construction in developing countries. *Sustainability*, 8(12), 1214. https://doi.org/10.3390/su8121214</w:t>
      </w:r>
    </w:p>
    <w:p>
      <w:pPr>
        <w:spacing w:line="480" w:lineRule="auto" w:after="0"/>
        <w:ind w:left="720" w:hanging="720"/>
      </w:pPr>
      <w:r>
        <w:rPr>
          <w:rFonts w:ascii="Times New Roman" w:hAnsi="Times New Roman"/>
          <w:sz w:val="24"/>
        </w:rPr>
        <w:t>Scrivener, K. L., &amp; Favier, A. (2015). Calcined clays for sustainable concrete. *RILEM Bookseries*, Vol. 10. Springer, Dordrecht. https://doi.org/10.1007/978-94-017-9939-3</w:t>
      </w:r>
    </w:p>
    <w:p>
      <w:pPr>
        <w:spacing w:line="480" w:lineRule="auto" w:after="0"/>
        <w:ind w:left="720" w:hanging="720"/>
      </w:pPr>
      <w:r>
        <w:rPr>
          <w:rFonts w:ascii="Times New Roman" w:hAnsi="Times New Roman"/>
          <w:sz w:val="24"/>
        </w:rPr>
        <w:t>Scrivener, K. L., John, V. M., &amp; Gartner, E. M. (2018). Eco-efficient cements: Potential economically viable solutions for a low-CO2 cement-based materials industry. *Cement and Concrete Research*, 114, 2-26. https://doi.org/10.1016/j.cemconres.2018.03.015</w:t>
      </w:r>
    </w:p>
    <w:p>
      <w:pPr>
        <w:spacing w:line="480" w:lineRule="auto" w:after="0"/>
        <w:ind w:left="720" w:hanging="720"/>
      </w:pPr>
      <w:r>
        <w:rPr>
          <w:rFonts w:ascii="Times New Roman" w:hAnsi="Times New Roman"/>
          <w:sz w:val="24"/>
        </w:rPr>
        <w:t>Scrivener, K., Martirena, F., Bishnoi, S., &amp; Maity, S. (2019). Calcined clay limestone cements (LC3). *Cement and Concrete Research*, 115, 1-7. https://doi.org/10.1016/j.cemconres.2018.09.011</w:t>
      </w:r>
    </w:p>
    <w:p>
      <w:pPr>
        <w:spacing w:line="480" w:lineRule="auto" w:after="0"/>
        <w:ind w:left="720" w:hanging="720"/>
      </w:pPr>
      <w:r>
        <w:rPr>
          <w:rFonts w:ascii="Times New Roman" w:hAnsi="Times New Roman"/>
          <w:sz w:val="24"/>
        </w:rPr>
        <w:t>Sesay, T., Kamara, A., &amp; Mansaray, K. (2025). Bio-based stabilization of natural soil for rammed earth construction: A review on mechanical and water durability performance. *Polymers*, 17(9), 1170. https://doi.org/10.3390/polym17091170</w:t>
      </w:r>
    </w:p>
    <w:p>
      <w:pPr>
        <w:spacing w:line="480" w:lineRule="auto" w:after="0"/>
        <w:ind w:left="720" w:hanging="720"/>
      </w:pPr>
      <w:r>
        <w:rPr>
          <w:rFonts w:ascii="Times New Roman" w:hAnsi="Times New Roman"/>
          <w:sz w:val="24"/>
        </w:rPr>
        <w:t>Shamseldein, A., Farghali, A., &amp; El-Kady, H. (2025). Bibliometric review and research evolution on the durability of LC3 cement. *The Scientific World Journal*, 2025, 4832631. https://doi.org/10.1155/tswj/4832631</w:t>
      </w:r>
    </w:p>
    <w:p>
      <w:pPr>
        <w:spacing w:line="480" w:lineRule="auto" w:after="0"/>
        <w:ind w:left="720" w:hanging="720"/>
      </w:pPr>
      <w:r>
        <w:rPr>
          <w:rFonts w:ascii="Times New Roman" w:hAnsi="Times New Roman"/>
          <w:sz w:val="24"/>
        </w:rPr>
        <w:t>Sinha, S., Sharma, R., &amp; Patel, M. (2025). Building a greener future: How earth blocks are reshaping sustainability and circular economy in construction. *Architecture*, 5(2), 345-368. https://doi.org/10.3390/architecture5020025</w:t>
      </w:r>
    </w:p>
    <w:p>
      <w:pPr>
        <w:spacing w:line="480" w:lineRule="auto" w:after="0"/>
        <w:ind w:left="720" w:hanging="720"/>
      </w:pPr>
      <w:r>
        <w:rPr>
          <w:rFonts w:ascii="Times New Roman" w:hAnsi="Times New Roman"/>
          <w:sz w:val="24"/>
        </w:rPr>
        <w:t>Sinkhonde, D., Onchiri, D. V., &amp; Oyawa, W. O. (2025). Applications of machine learning algorithms on the compressive strength of laterite blocks made with metakaolin-based geopolymer and sugarcane molasses. *Waste Management Bulletin*, 3(1), 100212. https://doi.org/10.1016/j.wmb.2025.100212</w:t>
      </w:r>
    </w:p>
    <w:p>
      <w:pPr>
        <w:spacing w:line="480" w:lineRule="auto" w:after="0"/>
        <w:ind w:left="720" w:hanging="720"/>
      </w:pPr>
      <w:r>
        <w:rPr>
          <w:rFonts w:ascii="Times New Roman" w:hAnsi="Times New Roman"/>
          <w:sz w:val="24"/>
        </w:rPr>
        <w:t>South African Bureau of Standards (SABS). (2011). *SANS 2001-CM1: Construction Works Part CM1: Masonry Walling*. SABS Standards Division, Pretoria, South Africa.</w:t>
      </w:r>
    </w:p>
    <w:p>
      <w:pPr>
        <w:spacing w:line="480" w:lineRule="auto" w:after="0"/>
        <w:ind w:left="720" w:hanging="720"/>
      </w:pPr>
      <w:r>
        <w:rPr>
          <w:rFonts w:ascii="Times New Roman" w:hAnsi="Times New Roman"/>
          <w:sz w:val="24"/>
        </w:rPr>
        <w:t>Standards Organisation of Nigeria (SON). (2007). *NIS 87: Standard for Sandcrete Blocks*. SON Standards Council, Abuja, Nigeria.</w:t>
      </w:r>
    </w:p>
    <w:p>
      <w:pPr>
        <w:spacing w:line="480" w:lineRule="auto" w:after="0"/>
        <w:ind w:left="720" w:hanging="720"/>
      </w:pPr>
      <w:r>
        <w:rPr>
          <w:rFonts w:ascii="Times New Roman" w:hAnsi="Times New Roman"/>
          <w:sz w:val="24"/>
        </w:rPr>
        <w:t>Tamoor, M., Tahir, M., &amp; Abbas, S. (2025). Balancing sustainability and cost in concrete production: LCA of foam, geopolymer, slag, and agricultural waste concretes. *ACS Sustainable Chemistry &amp; Engineering*, 13(8), 5321-5334. https://doi.org/10.1021/acssuschemeng.5c05321</w:t>
      </w:r>
    </w:p>
    <w:p>
      <w:pPr>
        <w:spacing w:line="480" w:lineRule="auto" w:after="0"/>
        <w:ind w:left="720" w:hanging="720"/>
      </w:pPr>
      <w:r>
        <w:rPr>
          <w:rFonts w:ascii="Times New Roman" w:hAnsi="Times New Roman"/>
          <w:sz w:val="24"/>
        </w:rPr>
        <w:t>Thomas, B. S., Yang, J., Bahurudeen, A., &amp; Chinnu, S. N. (2018). Sugarcane bagasse ash as supplementary cementitious material in concrete: A review. *Renewable and Sustainable Energy Reviews*, 82, 4349-4357. https://doi.org/10.1016/j.rser.2017.07.007</w:t>
      </w:r>
    </w:p>
    <w:p>
      <w:pPr>
        <w:spacing w:line="480" w:lineRule="auto" w:after="0"/>
        <w:ind w:left="720" w:hanging="720"/>
      </w:pPr>
      <w:r>
        <w:rPr>
          <w:rFonts w:ascii="Times New Roman" w:hAnsi="Times New Roman"/>
          <w:sz w:val="24"/>
        </w:rPr>
        <w:t>Trujillo, D., Jangra, S., &amp; Gibson, M. (2016). Bamboo material characterisation: An overview of testing methods. *Proceedings of the Institution of Civil Engineers - Construction Materials*, 170(4), 176-184. https://doi.org/10.1680/jcoma.15.00067</w:t>
      </w:r>
    </w:p>
    <w:p>
      <w:pPr>
        <w:spacing w:line="480" w:lineRule="auto" w:after="0"/>
        <w:ind w:left="720" w:hanging="720"/>
      </w:pPr>
      <w:r>
        <w:rPr>
          <w:rFonts w:ascii="Times New Roman" w:hAnsi="Times New Roman"/>
          <w:sz w:val="24"/>
        </w:rPr>
        <w:t>United Nations Environment Programme (UNEP). (2022). *Sand and Sustainability: 10 Strategic Recommendations to Avert a Crisis*. UNEP GRID-Geneva, Geneva, Switzerland.</w:t>
      </w:r>
    </w:p>
    <w:p>
      <w:pPr>
        <w:spacing w:line="480" w:lineRule="auto" w:after="0"/>
        <w:ind w:left="720" w:hanging="720"/>
      </w:pPr>
      <w:r>
        <w:rPr>
          <w:rFonts w:ascii="Times New Roman" w:hAnsi="Times New Roman"/>
          <w:sz w:val="24"/>
        </w:rPr>
        <w:t>United Nations Human Settlements Programme (UN-Habitat). (2022). *The State of African Cities 2022: Physical and Social Infrastructure in Urban Africa*. UN-Habitat, Nairobi, Kenya.</w:t>
      </w:r>
    </w:p>
    <w:p>
      <w:pPr>
        <w:spacing w:line="480" w:lineRule="auto" w:after="0"/>
        <w:ind w:left="720" w:hanging="720"/>
      </w:pPr>
      <w:r>
        <w:rPr>
          <w:rFonts w:ascii="Times New Roman" w:hAnsi="Times New Roman"/>
          <w:sz w:val="24"/>
        </w:rPr>
        <w:t>van der Lugt, P., van den Dobbelsteen, A. A., &amp; Janssen, J. J. (2006). An environmental, economic and practical assessment of bamboo as a building material for Western Europe. *Construction and Building Materials*, 20(9), 648-656. https://doi.org/10.1016/j.conbuildmat.2005.02.023</w:t>
      </w:r>
    </w:p>
    <w:p>
      <w:pPr>
        <w:spacing w:line="480" w:lineRule="auto" w:after="0"/>
        <w:ind w:left="720" w:hanging="720"/>
      </w:pPr>
      <w:r>
        <w:rPr>
          <w:rFonts w:ascii="Times New Roman" w:hAnsi="Times New Roman"/>
          <w:sz w:val="24"/>
        </w:rPr>
        <w:t>Windapo, A. O., &amp; Goulding, J. S. (2015). Understanding the green building movement in South Africa: Drivers, barriers and opportunities. *Smart and Sustainable Built Environment*, 4(2), 173-195. https://doi.org/10.1108/SASBE-04-2014-0021</w:t>
      </w:r>
    </w:p>
    <w:p>
      <w:pPr>
        <w:spacing w:line="480" w:lineRule="auto" w:after="0"/>
        <w:ind w:left="720" w:hanging="720"/>
      </w:pPr>
      <w:r>
        <w:rPr>
          <w:rFonts w:ascii="Times New Roman" w:hAnsi="Times New Roman"/>
          <w:sz w:val="24"/>
        </w:rPr>
        <w:t>World Bank. (2021). *Africa's Cities: Opening Doors to the World*. World Bank Group, Washington, DC.</w:t>
      </w:r>
    </w:p>
    <w:p>
      <w:pPr>
        <w:spacing w:line="480" w:lineRule="auto" w:after="0"/>
        <w:ind w:left="720" w:hanging="720"/>
      </w:pPr>
      <w:r>
        <w:rPr>
          <w:rFonts w:ascii="Times New Roman" w:hAnsi="Times New Roman"/>
          <w:sz w:val="24"/>
        </w:rPr>
        <w:t>Zea Escamilla, E., &amp; Habert, G. (2014). Environmental impacts of bamboo-based construction materials: An LCA approach. *Journal of Cleaner Production*, 82, 68-77. https://doi.org/10.1016/j.jclepro.2014.06.076</w:t>
      </w:r>
    </w:p>
    <w:p>
      <w:pPr>
        <w:spacing w:line="480" w:lineRule="auto" w:after="0"/>
        <w:ind w:left="720" w:hanging="720"/>
      </w:pPr>
      <w:r>
        <w:rPr>
          <w:rFonts w:ascii="Times New Roman" w:hAnsi="Times New Roman"/>
          <w:sz w:val="24"/>
        </w:rPr>
        <w:t>Zoma, F., Ouedraogo, A., &amp; Coulibaly, Y. (2025). Assessment of the embodied energy and carbon footprint of vibration-compacted adobe brick. *Journal of Building Engineering*, 92, 109780.</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color w:val="555555"/>
        <w:sz w:val="20"/>
      </w:rPr>
      <w:t>SUSTAINABLE BUILDING MATERIALS IN AFRICA</w:t>
      <w:tab/>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