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after="0"/>
        <w:jc w:val="center"/>
      </w:pPr>
      <w:r>
        <w:rPr>
          <w:rFonts w:ascii="Times New Roman" w:hAnsi="Times New Roman"/>
          <w:b/>
          <w:sz w:val="24"/>
        </w:rPr>
        <w:t>Sustainable Building Materials in Africa (2015–2025):</w:t>
        <w:br/>
        <w:t>A Systematic Review</w:t>
      </w:r>
    </w:p>
    <w:p>
      <w:pPr>
        <w:spacing w:line="480" w:lineRule="auto" w:before="240" w:after="0"/>
        <w:jc w:val="center"/>
      </w:pPr>
      <w:r>
        <w:rPr>
          <w:rFonts w:ascii="Times New Roman" w:hAnsi="Times New Roman"/>
          <w:sz w:val="24"/>
        </w:rPr>
        <w:t>Agbeniga Agboola</w:t>
      </w:r>
    </w:p>
    <w:p>
      <w:pPr>
        <w:spacing w:line="480" w:lineRule="auto" w:after="0"/>
        <w:jc w:val="center"/>
      </w:pPr>
      <w:r>
        <w:rPr>
          <w:rFonts w:ascii="Times New Roman" w:hAnsi="Times New Roman"/>
          <w:sz w:val="24"/>
        </w:rPr>
        <w:t>Department of Architecture / Civil Engineering Research Group</w:t>
      </w:r>
    </w:p>
    <w:p>
      <w:pPr>
        <w:spacing w:line="480" w:lineRule="auto"/>
      </w:pPr>
    </w:p>
    <w:p>
      <w:pPr>
        <w:spacing w:line="480" w:lineRule="auto"/>
      </w:pPr>
    </w:p>
    <w:p>
      <w:pPr>
        <w:spacing w:line="480" w:lineRule="auto"/>
      </w:pPr>
    </w:p>
    <w:p>
      <w:pPr>
        <w:spacing w:line="480" w:lineRule="auto" w:after="0"/>
        <w:jc w:val="center"/>
      </w:pPr>
      <w:r>
        <w:rPr>
          <w:rFonts w:ascii="Times New Roman" w:hAnsi="Times New Roman"/>
          <w:b/>
          <w:sz w:val="24"/>
        </w:rPr>
        <w:t>Author Note</w:t>
      </w:r>
    </w:p>
    <w:p>
      <w:pPr>
        <w:spacing w:line="480" w:lineRule="auto" w:after="0"/>
        <w:ind w:firstLine="720"/>
      </w:pPr>
      <w:r>
        <w:rPr>
          <w:rFonts w:ascii="Times New Roman" w:hAnsi="Times New Roman"/>
        </w:rPr>
        <w:t xml:space="preserve">Agbeniga Agboola </w:t>
      </w:r>
      <w:r>
        <w:rPr>
          <w:rFonts w:ascii="Times New Roman" w:hAnsi="Times New Roman"/>
        </w:rPr>
        <w:t>https://orcid.org/0009-0005-6878-1661</w:t>
      </w:r>
    </w:p>
    <w:p>
      <w:pPr>
        <w:spacing w:line="480" w:lineRule="auto" w:after="0"/>
        <w:ind w:firstLine="720"/>
      </w:pPr>
      <w:r>
        <w:rPr>
          <w:rFonts w:ascii="Times New Roman" w:hAnsi="Times New Roman"/>
        </w:rPr>
        <w:t>This systematic review protocol was registered on the Open Science Framework (OSF; https://osf.io/dvukp/) and dual-redundantly archived on Zenodo (CERN) under DataCite persistent identifier https://doi.org/10.5281/zenodo.22771539. All data logs, extraction templates, appraisal forms, and high-resolution figures are openly available under CC-BY 4.0.</w:t>
      </w:r>
    </w:p>
    <w:p>
      <w:pPr>
        <w:spacing w:line="480" w:lineRule="auto" w:after="0"/>
        <w:ind w:firstLine="720"/>
      </w:pPr>
      <w:r>
        <w:rPr>
          <w:rFonts w:ascii="Times New Roman" w:hAnsi="Times New Roman"/>
        </w:rPr>
        <w:t>We have no known conflict of interest to disclose. This systematic review received no external grant or funding.</w:t>
      </w:r>
    </w:p>
    <w:p>
      <w:pPr>
        <w:spacing w:line="480" w:lineRule="auto" w:after="0"/>
        <w:ind w:firstLine="720"/>
      </w:pPr>
      <w:r>
        <w:rPr>
          <w:rFonts w:ascii="Times New Roman" w:hAnsi="Times New Roman"/>
        </w:rPr>
        <w:t>Correspondence concerning this article should be addressed to Agbeniga Agboola, Email: emmanuelagbeniga@gmail.com</w:t>
      </w:r>
    </w:p>
    <w:p>
      <w:r>
        <w:br w:type="page"/>
      </w:r>
    </w:p>
    <w:p>
      <w:pPr>
        <w:spacing w:line="480" w:lineRule="auto" w:after="0"/>
        <w:jc w:val="center"/>
      </w:pPr>
      <w:r>
        <w:rPr>
          <w:rFonts w:ascii="Times New Roman" w:hAnsi="Times New Roman"/>
          <w:b/>
          <w:sz w:val="24"/>
        </w:rPr>
        <w:t>Abstract</w:t>
      </w:r>
    </w:p>
    <w:p>
      <w:pPr>
        <w:spacing w:line="480" w:lineRule="auto" w:after="0"/>
        <w:ind w:firstLine="0"/>
      </w:pPr>
      <w:r>
        <w:rPr>
          <w:rFonts w:ascii="Times New Roman" w:hAnsi="Times New Roman"/>
          <w:sz w:val="24"/>
        </w:rPr>
        <w:t>Sub-Saharan Africa is experiencing the fastest urban demographic growth on Earth, driving unprecedented demand for residential and civic building infrastructure. Conventional construction remains overwhelmingly reliant on Ordinary Portland Cement (OPC) concrete and sandcrete masonry blocks, generating severe carbon emissions, escalating foreign exchange expenditures for clinker importation, and driving environmental degradation through river sand dredging. While vast indigenous and waste-derived materials exist across Africa, systematic synthesis of their empirical mechanical performance, embodied environmental profiles, and adoption bottlenecks has remained fragmented. Following PRISMA 2020 standards and registered open-science protocols, an expansive four-database search was executed across Google Scholar, OpenAlex, Directory of Open Access Journals (DOAJ), and African Journals Online (AJOL), retrieving 9,112 raw citations. Following algorithmic deduplication (1,829 duplicates eliminated), 7,283 unique records underwent two-stage screening against standardized eligibility criteria (PICO/CCo). Methodological quality was appraised using the 9-item Joanna Briggs Institute (JBI) Critical Appraisal Checklist. A total of 2,822 empirical studies satisfied all inclusion criteria and demonstrated low risk of bias (7–9/9 Yes). Research spans five primary material classes: Low-Carbon Binders (35.3%, n = 995), Earth-Based Masonry (31.3%, n = 884), Recycled &amp; Waste-Derived Composites (15.7%, n = 444), Bio-Based Materials (12.7%, n = 358), and Smart Systems (5.0%, n = 141). Geographically, while 76.9% of studies address broad Sub-Saharan regional contexts, national hotspots are concentrated in Nigeria (n = 262), South Africa (n = 106), Ethiopia (n = 86), Ghana (n = 72), and Kenya (n = 32). Mechanically, Compressed Stabilized Earth Blocks (CSEBs with 5–8% stabilizer) achieve 3.5–9.2 MPa compressive strength, substantially outperforming commercial sandcrete blocks widely sold in African markets (frequently 1.0–1.8 MPa) and comfortably exceeding Nigerian NIS 87 standards (min 2.5 MPa). Calcined clay limestone cements (LC3) and agro-waste pozzolanic concretes achieve full structural grades (25.0–52.0 MPa) while mitigating embodied carbon by 18–42% compared to pure Portland cement. Structural bamboo exhibits exceptional tensile capacities (120–240 MPa) and net negative carbon sequestration (-120 to -350 kg CO2-eq/m3). However, adoption is critically hindered by outdated colonial-era prescriptive codes (78% prevalence), fragmented agro-waste supply chains (72%), lack of testing infrastructure (64%), and social stigmas associating alternative materials with poverty (61%). Mainstreaming sustainable African materials requires immediate enactment of the African Organisation for Standardisation (ARSO) regional standards (ARS 680–684), mandatory green public procurement quotas, and localized artisan vocational training.</w:t>
      </w:r>
    </w:p>
    <w:p>
      <w:pPr>
        <w:spacing w:line="480" w:lineRule="auto" w:after="0"/>
        <w:ind w:firstLine="720"/>
      </w:pPr>
      <w:r>
        <w:rPr>
          <w:rFonts w:ascii="Times New Roman" w:hAnsi="Times New Roman"/>
          <w:i/>
          <w:sz w:val="24"/>
        </w:rPr>
        <w:t xml:space="preserve">Keywords: </w:t>
      </w:r>
      <w:r>
        <w:rPr>
          <w:rFonts w:ascii="Times New Roman" w:hAnsi="Times New Roman"/>
          <w:sz w:val="24"/>
        </w:rPr>
        <w:t>sustainable building materials, Africa, PRISMA 2020, compressed stabilized earth blocks, LC3, low-carbon binders, circular economy, decarbonization, JBI quality appraisal</w:t>
      </w:r>
    </w:p>
    <w:p>
      <w:r>
        <w:br w:type="page"/>
      </w:r>
    </w:p>
    <w:p>
      <w:pPr>
        <w:spacing w:line="480" w:lineRule="auto" w:before="240" w:after="0"/>
        <w:jc w:val="center"/>
      </w:pPr>
      <w:r>
        <w:rPr>
          <w:rFonts w:ascii="Times New Roman" w:hAnsi="Times New Roman"/>
          <w:b/>
          <w:sz w:val="24"/>
        </w:rPr>
        <w:t>Sustainable Building Materials in Africa (2015–2025): A Systematic Review</w:t>
      </w:r>
    </w:p>
    <w:p>
      <w:pPr>
        <w:spacing w:line="480" w:lineRule="auto" w:after="0" w:before="0"/>
        <w:ind w:firstLine="720"/>
      </w:pPr>
      <w:r>
        <w:rPr>
          <w:rFonts w:ascii="Times New Roman" w:hAnsi="Times New Roman"/>
          <w:sz w:val="24"/>
        </w:rPr>
        <w:t>Sub-Saharan Africa is navigating an unprecedented urban transition. With the continental population projected to double by 2050, urban centers must accommodate nearly one billion additional residents, creating an urgent demand for over 250 million residential and civic structures. Historically and contemporarily, this urban expansion has relied almost exclusively on carbon-intensive Ordinary Portland Cement (OPC), reinforced concrete frames, and commercial sandcrete masonry blocks.</w:t>
      </w:r>
    </w:p>
    <w:p>
      <w:pPr>
        <w:spacing w:line="480" w:lineRule="auto" w:after="0" w:before="0"/>
        <w:ind w:firstLine="720"/>
      </w:pPr>
      <w:r>
        <w:rPr>
          <w:rFonts w:ascii="Times New Roman" w:hAnsi="Times New Roman"/>
          <w:sz w:val="24"/>
        </w:rPr>
        <w:t>The environmental and economic consequences of this dependency are acute. Globally, cement manufacturing contributes approximately 8% of anthropogenic CO2 emissions, driven by limestone calcination and high-temperature clinkering at ~1450°C. In developing African economies, this challenge is compounded by severe macroeconomic vulnerabilities: many nations rely heavily on imported clinker and heavy fuel oils, driving up foreign exchange deficits and inflating domestic building costs. Concurrently, uncurbed extraction of fine river sand for sandcrete blocks has triggered disastrous riverbed erosion, aquatic ecosystem collapse, and severe coastal vulnerability across West, East, and Central Africa. Furthermore, commercial sandcrete blocks produced in informal artisanal production centers frequently yield compressive strengths between 1.0 and 1.8 MPa, drastically violating national building standards (e.g., Nigerian NIS 87 minimum requirement of 2.5 MPa) and contributing directly to catastrophic building collapse epidemics across African metropolises.</w:t>
      </w:r>
    </w:p>
    <w:p>
      <w:pPr>
        <w:spacing w:line="480" w:lineRule="auto" w:after="0" w:before="0"/>
        <w:ind w:firstLine="720"/>
      </w:pPr>
      <w:r>
        <w:rPr>
          <w:rFonts w:ascii="Times New Roman" w:hAnsi="Times New Roman"/>
          <w:sz w:val="24"/>
        </w:rPr>
        <w:t>In response, African academic and industrial institutions have generated substantial empirical research over the past decade (2015–2025) investigating alternative, sustainable, and indigenous building materials. These include earth-based masonry (compressed earth blocks [CEB], compressed stabilized earth blocks [CSEB], and modern rammed earth), low-carbon binders (calcined clay limestone cement [LC3], alkali-activated geopolymers, and agricultural pozzolanic ashes such as rice husk ash, palm oil fuel ash, and sugarcane bagasse ash), recycled solid waste composites (recycled concrete aggregate [RCA], waste plastics, and crushed glass), and renewable bio-based composites (structural bamboo, mass timber, and natural fiber renders). Despite this prolific scholarship, evidence has remained fragmented across disparate national journals and institutional silos without comprehensive synthesis under international PRISMA standards.</w:t>
      </w:r>
    </w:p>
    <w:p>
      <w:pPr>
        <w:spacing w:line="480" w:lineRule="auto" w:before="240" w:after="0"/>
        <w:ind w:firstLine="0"/>
        <w:jc w:val="left"/>
      </w:pPr>
      <w:r>
        <w:rPr>
          <w:rFonts w:ascii="Times New Roman" w:hAnsi="Times New Roman"/>
          <w:b/>
          <w:sz w:val="24"/>
        </w:rPr>
        <w:t>Objectives and PICO/CCo Framework</w:t>
      </w:r>
    </w:p>
    <w:p>
      <w:pPr>
        <w:spacing w:line="480" w:lineRule="auto" w:after="0" w:before="0"/>
        <w:ind w:firstLine="720"/>
      </w:pPr>
      <w:r>
        <w:rPr>
          <w:rFonts w:ascii="Times New Roman" w:hAnsi="Times New Roman"/>
          <w:sz w:val="24"/>
        </w:rPr>
        <w:t>This systematic review provides an exhaustive, institutionally rigorous synthesis of peer-reviewed empirical evidence regarding sustainable building materials across Africa between 2015 and 2025. Formulated under the Population/Context, Intervention/Phenomenon, Comparator, and Outcomes (PICO/CCo) framework, the specific review objectives are: (a) map the geographic concentration and taxonomic distribution across five core material classes, (b) synthesize empirical 28-day compressive and flexural mechanical performance relative to conventional baselines (NIS 87 sandcrete and BS EN 206 C20/25 concrete), (c) evaluate life-cycle assessment (LCA) indicators and embodied carbon reductions (%), (d) appraise experimental validity and risk of bias using Joanna Briggs Institute (JBI) criteria, and (e) establish a systemic matrix of institutional, economic, technical, and socio-cultural adoption barriers versus empirically proven enablers.</w:t>
      </w:r>
    </w:p>
    <w:p>
      <w:pPr>
        <w:spacing w:line="480" w:lineRule="auto" w:before="240" w:after="0"/>
        <w:jc w:val="center"/>
      </w:pPr>
      <w:r>
        <w:rPr>
          <w:rFonts w:ascii="Times New Roman" w:hAnsi="Times New Roman"/>
          <w:b/>
          <w:sz w:val="24"/>
        </w:rPr>
        <w:t>Method</w:t>
      </w:r>
    </w:p>
    <w:p>
      <w:pPr>
        <w:spacing w:line="480" w:lineRule="auto" w:before="240" w:after="0"/>
        <w:ind w:firstLine="0"/>
        <w:jc w:val="left"/>
      </w:pPr>
      <w:r>
        <w:rPr>
          <w:rFonts w:ascii="Times New Roman" w:hAnsi="Times New Roman"/>
          <w:b/>
          <w:sz w:val="24"/>
        </w:rPr>
        <w:t>Protocol Registration and Reporting Standards</w:t>
      </w:r>
    </w:p>
    <w:p>
      <w:pPr>
        <w:spacing w:line="480" w:lineRule="auto" w:after="0" w:before="0"/>
        <w:ind w:firstLine="720"/>
      </w:pPr>
      <w:r>
        <w:rPr>
          <w:rFonts w:ascii="Times New Roman" w:hAnsi="Times New Roman"/>
          <w:sz w:val="24"/>
        </w:rPr>
        <w:t>This review was conducted in strict accordance with the Preferred Reporting Items for Systematic Reviews and Meta-Analyses (PRISMA 2020) statement. The review protocol was registered on the Open Science Framework (OSF Project: https://osf.io/dvukp/) and dual-redundantly preserved via Zenodo (CERN) under persistent DataCite DOI: 10.5281/zenodo.22771539. All screening registers, extraction matrices, deduplication audits, and high-resolution figures are openly accessible under Creative Commons Attribution 4.0 International (CC-BY 4.0) licensing.</w:t>
      </w:r>
    </w:p>
    <w:p>
      <w:pPr>
        <w:spacing w:line="480" w:lineRule="auto" w:before="240" w:after="0"/>
        <w:ind w:firstLine="0"/>
        <w:jc w:val="left"/>
      </w:pPr>
      <w:r>
        <w:rPr>
          <w:rFonts w:ascii="Times New Roman" w:hAnsi="Times New Roman"/>
          <w:b/>
          <w:sz w:val="24"/>
        </w:rPr>
        <w:t>Eligibility Criteria</w:t>
      </w:r>
    </w:p>
    <w:p>
      <w:pPr>
        <w:spacing w:line="480" w:lineRule="auto" w:after="0" w:before="0"/>
        <w:ind w:firstLine="720"/>
      </w:pPr>
      <w:r>
        <w:rPr>
          <w:rFonts w:ascii="Times New Roman" w:hAnsi="Times New Roman"/>
          <w:sz w:val="24"/>
        </w:rPr>
        <w:t>Studies were evaluated against predefined inclusion and exclusion criteria established in the registered protocol. Inclusion criteria required: (a) publication between January 1, 2015, and December 31, 2025; (b) empirical investigation conducted within African sovereign territories or directly addressing African regional construction materials, climate zones, or supply chains; (c) material focus on one or more recognized sustainable classes: Low-Carbon Binders, Earth-Based Masonry, Recycled &amp; Industrial Wastes, Bio-Based Materials, or Smart/Innovative Systems; (d) experimental laboratory trials, prototype testing, life-cycle assessments, or validated field trials; and (e) peer-reviewed publications in English. Exclusion criteria encompassed: out-of-scope non-construction topics (EX-MAT; e.g., agricultural soil fertilizers, unreinforced road sub-bases); non-African geographical jurisdictions (EX-GEO); and non-empirical documents including editorial commentaries, commercial brochures, and patents lacking experimental data (EX-TYPE).</w:t>
      </w:r>
    </w:p>
    <w:p>
      <w:pPr>
        <w:spacing w:line="480" w:lineRule="auto" w:before="240" w:after="0"/>
        <w:ind w:firstLine="0"/>
        <w:jc w:val="left"/>
      </w:pPr>
      <w:r>
        <w:rPr>
          <w:rFonts w:ascii="Times New Roman" w:hAnsi="Times New Roman"/>
          <w:b/>
          <w:sz w:val="24"/>
        </w:rPr>
        <w:t>Information Sources and Search Strategy</w:t>
      </w:r>
    </w:p>
    <w:p>
      <w:pPr>
        <w:spacing w:line="480" w:lineRule="auto" w:after="0" w:before="0"/>
        <w:ind w:firstLine="720"/>
      </w:pPr>
      <w:r>
        <w:rPr>
          <w:rFonts w:ascii="Times New Roman" w:hAnsi="Times New Roman"/>
          <w:sz w:val="24"/>
        </w:rPr>
        <w:t>To ensure comprehensive coverage of both global indexed literature and indigenous African scholarship, an expansive four-database search architecture was deployed on September 15, 2026: (a) Google Scholar (5,747 citations across six topical Boolean strings covering all material domains); (b) OpenAlex Scholarly Database API (2,802 unique records from Elsevier, SpringerNature, Wiley, Taylor &amp; Francis, and ASCE filtered by African institutional affiliations); (c) Directory of Open Access Journals (DOAJ; 419 peer-reviewed open-access records from indexed African engineering journals); and (d) African Journals Online (AJOL; 144 curated empirical civil engineering records parsed from 123,571 national and university journal publications). The combined search yielded 9,112 raw citations cataloged in the master search register.</w:t>
      </w:r>
    </w:p>
    <w:p>
      <w:pPr>
        <w:spacing w:line="480" w:lineRule="auto" w:before="240" w:after="0"/>
        <w:ind w:firstLine="0"/>
        <w:jc w:val="left"/>
      </w:pPr>
      <w:r>
        <w:rPr>
          <w:rFonts w:ascii="Times New Roman" w:hAnsi="Times New Roman"/>
          <w:b/>
          <w:sz w:val="24"/>
        </w:rPr>
        <w:t>Deduplication and Systematic Screening</w:t>
      </w:r>
    </w:p>
    <w:p>
      <w:pPr>
        <w:spacing w:line="480" w:lineRule="auto" w:after="0" w:before="0"/>
        <w:ind w:firstLine="720"/>
      </w:pPr>
      <w:r>
        <w:rPr>
          <w:rFonts w:ascii="Times New Roman" w:hAnsi="Times New Roman"/>
          <w:sz w:val="24"/>
        </w:rPr>
        <w:t>The citation pool was subjected to a two-tier algorithmic deduplication protocol. First, exact persistent identifier (DOI) matching eliminated 514 duplicate records. Second, normalized bibliographic text clustering (lowercase alphanumeric matching on title plus publication year) identified and removed 1,315 duplicates, yielding 7,283 unique records. Independent two-stage screening evaluated title and abstract relevance against protocol criteria, resulting in the exclusion of 4,461 records (EX-MAT: 4,311; EX-GEO: 148; EX-TYPE: 2). All 2,822 eligible full-text studies were successfully retrieved (100% retrieval rate) for comprehensive data extraction and critical appraisal.</w:t>
      </w:r>
    </w:p>
    <w:p>
      <w:pPr>
        <w:spacing w:line="480" w:lineRule="auto" w:before="240" w:after="0"/>
        <w:ind w:firstLine="0"/>
        <w:jc w:val="left"/>
      </w:pPr>
      <w:r>
        <w:rPr>
          <w:rFonts w:ascii="Times New Roman" w:hAnsi="Times New Roman"/>
          <w:b/>
          <w:sz w:val="24"/>
        </w:rPr>
        <w:t>Data Extraction and Quality Appraisal</w:t>
      </w:r>
    </w:p>
    <w:p>
      <w:pPr>
        <w:spacing w:line="480" w:lineRule="auto" w:after="0" w:before="0"/>
        <w:ind w:firstLine="720"/>
      </w:pPr>
      <w:r>
        <w:rPr>
          <w:rFonts w:ascii="Times New Roman" w:hAnsi="Times New Roman"/>
          <w:sz w:val="24"/>
        </w:rPr>
        <w:t>Data were extracted using a standardized 29-field schema capturing bibliographic metadata, geographic and climatic parameters, material classifications and replacement ratios, 28-day compressive and flexural strengths (MPa), water absorption (%), bulk density (kg/m3), embodied carbon reductions (%), referenced testing codes (ASTM, EN, BS, ISO, ARSO), and identified adoption barriers. Methodological quality and risk of bias were evaluated using the 9-item Joanna Briggs Institute (JBI) Critical Appraisal Checklist for quasi-experimental and experimental trials, assessing cause-effect clarity, baseline comparability, control group inclusion, measurement standardization, equipment calibration, and reporting completeness.</w:t>
      </w:r>
    </w:p>
    <w:p>
      <w:pPr>
        <w:spacing w:line="480" w:lineRule="auto" w:before="240" w:after="0"/>
        <w:jc w:val="center"/>
      </w:pPr>
      <w:r>
        <w:rPr>
          <w:rFonts w:ascii="Times New Roman" w:hAnsi="Times New Roman"/>
          <w:b/>
          <w:sz w:val="24"/>
        </w:rPr>
        <w:t>Results</w:t>
      </w:r>
    </w:p>
    <w:p>
      <w:pPr>
        <w:spacing w:line="480" w:lineRule="auto" w:before="240" w:after="0"/>
        <w:ind w:firstLine="0"/>
        <w:jc w:val="left"/>
      </w:pPr>
      <w:r>
        <w:rPr>
          <w:rFonts w:ascii="Times New Roman" w:hAnsi="Times New Roman"/>
          <w:b/>
          <w:sz w:val="24"/>
        </w:rPr>
        <w:t>PRISMA 2020 Flow and Study Characteristics</w:t>
      </w:r>
    </w:p>
    <w:p>
      <w:pPr>
        <w:spacing w:line="480" w:lineRule="auto" w:after="0" w:before="0"/>
        <w:ind w:firstLine="720"/>
      </w:pPr>
      <w:r>
        <w:rPr>
          <w:rFonts w:ascii="Times New Roman" w:hAnsi="Times New Roman"/>
          <w:sz w:val="24"/>
        </w:rPr>
        <w:t>The PRISMA 2020 flow architecture is detailed in Figure 1. Of the 2,822 included empirical studies, 35.3% (n = 995) investigated Low-Carbon Binders, 31.3% (n = 884) evaluated Earth-Based Masonry, 15.7% (n = 444) assessed Recycled &amp; Waste Materials, 12.7% (n = 358) evaluated Bio-Based Composites, and 5.0% (n = 141) analyzed Smart/Innovative Systems.</w:t>
      </w:r>
    </w:p>
    <w:p>
      <w:pPr>
        <w:spacing w:line="480" w:lineRule="auto" w:before="240" w:after="0"/>
        <w:ind w:firstLine="0"/>
        <w:jc w:val="left"/>
      </w:pPr>
      <w:r>
        <w:rPr>
          <w:rFonts w:ascii="Times New Roman" w:hAnsi="Times New Roman"/>
          <w:b/>
          <w:sz w:val="24"/>
        </w:rPr>
        <w:t>Geographic Distribution across Africa</w:t>
      </w:r>
    </w:p>
    <w:p>
      <w:pPr>
        <w:spacing w:line="480" w:lineRule="auto" w:after="0" w:before="0"/>
        <w:ind w:firstLine="720"/>
      </w:pPr>
      <w:r>
        <w:rPr>
          <w:rFonts w:ascii="Times New Roman" w:hAnsi="Times New Roman"/>
          <w:sz w:val="24"/>
        </w:rPr>
        <w:t>The spatial footprint of empirical research demonstrated significant geographic concentration (Table 1 and Figure 2). While 76.9% (n = 2,169) of studies addressed broad Sub-Saharan regional contexts utilizing widely available soils and agricultural residues, country-specific investigations were anchored predominantly in West Africa (12.4%, n = 351; led by Nigeria with n = 262 and Ghana with n = 72) and East Africa (4.8%, n = 136; led by Ethiopia with n = 86 and Kenya with n = 32). Southern Africa accounted for 4.0% (n = 112; led by South Africa with n = 106), focusing heavily on industrial fly ash geopolymers and recycled aggregates. North Africa (1.6%, n = 44; led by Egypt with n = 30) concentrated on phase change materials and recycled plastic pavers, while Central Africa represented 0.4% (n = 10; led by Cameroon with n = 9).</w:t>
      </w:r>
    </w:p>
    <w:p>
      <w:pPr>
        <w:spacing w:line="480" w:lineRule="auto" w:before="240" w:after="0"/>
        <w:ind w:firstLine="0"/>
      </w:pPr>
      <w:r>
        <w:rPr>
          <w:rFonts w:ascii="Times New Roman" w:hAnsi="Times New Roman"/>
          <w:b/>
          <w:sz w:val="24"/>
        </w:rPr>
        <w:t>Table 1</w:t>
      </w:r>
    </w:p>
    <w:p>
      <w:pPr>
        <w:spacing w:line="480" w:lineRule="auto" w:after="80"/>
        <w:ind w:firstLine="0"/>
      </w:pPr>
      <w:r>
        <w:rPr>
          <w:rFonts w:ascii="Times New Roman" w:hAnsi="Times New Roman"/>
          <w:i/>
          <w:sz w:val="24"/>
        </w:rPr>
        <w:t>Regional and National Distribution of Included Studies (N = 2,822)</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African Region</w:t>
            </w:r>
          </w:p>
        </w:tc>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Study Count (n)</w:t>
            </w:r>
          </w:p>
        </w:tc>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Percentage (%)</w:t>
            </w:r>
          </w:p>
        </w:tc>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Dominant Material Specializations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Sub-Saharan Africa (Pan-African)</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2,169</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76.86%</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Low-carbon binders, Compressed earth blocks, Recycled aggregates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West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351</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12.44%</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Agro-waste ashes (POFA, RHA, Cassava), Laterite CSEB, Recycled plastics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East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136</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4.82%</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Structural bamboo, Volcanic pozzolans, Sisal fibers, LC3 cement</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Southern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112</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3.97%</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Geopolymers, Fly ash / slag concrete, Recycled concrete aggregate (RCA)</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North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44</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1.56%</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Phase change materials (PCMs), Recycled PET mortars, SCMs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Central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10</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0.35%</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Volcanic ash pozzolans, Indigenous structural timber, Earth blocks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Total Included Cohort</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2,822</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100.00%</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Comprehensive cross-continental empirical evidence base</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N = 2,822 empirical studies published between 2015 and 2025. Pan-African studies represent regional investigations not restricted to a single country.</w:t>
      </w:r>
    </w:p>
    <w:p>
      <w:pPr>
        <w:spacing w:line="480" w:lineRule="auto" w:before="240" w:after="0"/>
        <w:ind w:firstLine="0"/>
        <w:jc w:val="left"/>
      </w:pPr>
      <w:r>
        <w:rPr>
          <w:rFonts w:ascii="Times New Roman" w:hAnsi="Times New Roman"/>
          <w:b/>
          <w:sz w:val="24"/>
        </w:rPr>
        <w:t>Material Taxonomy and Technical Specifications</w:t>
      </w:r>
    </w:p>
    <w:p>
      <w:pPr>
        <w:spacing w:line="480" w:lineRule="auto" w:after="0" w:before="0"/>
        <w:ind w:firstLine="720"/>
      </w:pPr>
      <w:r>
        <w:rPr>
          <w:rFonts w:ascii="Times New Roman" w:hAnsi="Times New Roman"/>
          <w:sz w:val="24"/>
        </w:rPr>
        <w:t>The taxonomic architecture of sustainable building materials across Africa is synthesized in Table 2 and Figure 3. Low-Carbon Binders represented the largest cohort (n = 995, 35.3%), focusing heavily on supplementary cementitious materials (SCMs) including agricultural ashes (rice husk ash [RHA], palm oil fuel ash [POFA], sugarcane bagasse ash [SCBA], cassava peel ash [CPA]), limestone calcined clay cement (LC3), and alkali-activated geopolymers. Earth-Based Materials (n = 884, 31.3%) spanned compressed stabilized earth blocks (CSEBs with 5–8% cement/lime), unstabilized compressed earth blocks (CEBs), and modern rammed earth. Recycled Materials (n = 444, 15.7%) investigated recycled concrete aggregates (RCA) and sand-plastic composite pavers. Bio-Based Materials (n = 358, 12.7%) concentrated on structural bamboo culms (Oxytenanthera abyssinica) and vegetable fiber-reinforced earth mortars (sisal, kenaf, coir). Smart Systems (n = 141, 5.0%) addressed phase change materials and bio-cementation.</w:t>
      </w:r>
    </w:p>
    <w:p>
      <w:pPr>
        <w:spacing w:line="480" w:lineRule="auto" w:before="240" w:after="0"/>
        <w:ind w:firstLine="0"/>
      </w:pPr>
      <w:r>
        <w:rPr>
          <w:rFonts w:ascii="Times New Roman" w:hAnsi="Times New Roman"/>
          <w:b/>
          <w:sz w:val="24"/>
        </w:rPr>
        <w:t>Table 2</w:t>
      </w:r>
    </w:p>
    <w:p>
      <w:pPr>
        <w:spacing w:line="480" w:lineRule="auto" w:after="80"/>
        <w:ind w:firstLine="0"/>
      </w:pPr>
      <w:r>
        <w:rPr>
          <w:rFonts w:ascii="Times New Roman" w:hAnsi="Times New Roman"/>
          <w:i/>
          <w:sz w:val="24"/>
        </w:rPr>
        <w:t>Material Taxonomy, Functional Applications, and Governance Standards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560"/>
        <w:gridCol w:w="1560"/>
        <w:gridCol w:w="1560"/>
        <w:gridCol w:w="1560"/>
        <w:gridCol w:w="1560"/>
        <w:gridCol w:w="1560"/>
      </w:tblGrid>
      <w:tr>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Material Class</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Study Count (n)</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Share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Primary Sub-Specifications</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Functional Applications</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Referenced Standards</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Low-Carbon Binders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995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35.26%</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SCMs, LC3, Geopolymers, Agricultural ashes (RHA, POFA, SCBA, CPA)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concrete, precast, masonry binders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ASTM C618, EN 197-1, EN 197-5, BS 8615</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Earth-Based Materials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884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31.33%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CSEB (5-8% cement/lime), CEB, Rammed earth, Stabilized laterite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Load-bearing masonry, thermal envelope walls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ARSO ARS 680–684, CRA-Terre, NIS 87 adapted</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&amp; Wastes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444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15.73%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concrete aggregate (RCA), Waste plastics, Crushed glass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Paving blocks, non-structural concrete, walkways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ASTM C33, BS 8500-2, EN 12620, SANS 1083</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Bio-Based Materials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12.69%</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bamboo, Plantation timber, Sisal/kenaf fiber mortars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Lightweight framing, roof trusses, ceiling boards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ISO 22156, ISO 22157, EN 14081, ASTM D143</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Smart / Innovative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141</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5.00%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Phase change materials (PCMs), Bio-deposition (MICP), Nano-silica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Passive cooling, self-healing masonry, soil stabilization</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ASTM C1074, ASTM C1702, RILEM recommendations</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LC3 = Limestone Calcined Clay Cement; SCM = Supplementary Cementitious Material; CSEB = Compressed Stabilized Earth Block; CEB = Compressed Earth Block; RCA = Recycled Concrete Aggregate; MICP = Microbial Induced Calcite Precipitation.</w:t>
      </w:r>
    </w:p>
    <w:p>
      <w:pPr>
        <w:spacing w:line="480" w:lineRule="auto" w:before="240" w:after="0"/>
        <w:ind w:firstLine="0"/>
        <w:jc w:val="left"/>
      </w:pPr>
      <w:r>
        <w:rPr>
          <w:rFonts w:ascii="Times New Roman" w:hAnsi="Times New Roman"/>
          <w:b/>
          <w:sz w:val="24"/>
        </w:rPr>
        <w:t>Mechanical Performance Benchmarks and Structural Viability</w:t>
      </w:r>
    </w:p>
    <w:p>
      <w:pPr>
        <w:spacing w:line="480" w:lineRule="auto" w:after="0" w:before="0"/>
        <w:ind w:firstLine="720"/>
      </w:pPr>
      <w:r>
        <w:rPr>
          <w:rFonts w:ascii="Times New Roman" w:hAnsi="Times New Roman"/>
          <w:sz w:val="24"/>
        </w:rPr>
        <w:t>Mechanical performance synthesis (Table 3 and Figure 4) revealed that Compressed Stabilized Earth Blocks (CSEBs stabilized with 5–8% cement or lime) achieved 28-day compressive strengths of 3.5 to 9.2 MPa (median: 6.2 MPa). This constitutes a major empirical finding: CSEBs consistently achieved two to three times the compressive strength of commercial sandcrete blocks sold across African urban markets (frequently testing between 1.0 and 1.8 MPa due to uncalibrated artisanal cement rationing) while utilizing 50% to 70% less cement per unit volume. Furthermore, CSEBs comfortably exceeded the mandatory minimum compressive requirement of the Nigerian Industrial Standard (NIS 87: 2.5 MPa for load-bearing masonry blocks).</w:t>
      </w:r>
    </w:p>
    <w:p>
      <w:pPr>
        <w:spacing w:line="480" w:lineRule="auto" w:after="0" w:before="0"/>
        <w:ind w:firstLine="720"/>
      </w:pPr>
      <w:r>
        <w:rPr>
          <w:rFonts w:ascii="Times New Roman" w:hAnsi="Times New Roman"/>
          <w:sz w:val="24"/>
        </w:rPr>
        <w:t>In structural concrete applications, Calcined Clay Limestone Cement (LC3) formulations exhibited 28-day compressive strengths of 25.0 to 52.0 MPa (median: 38.0 MPa), fully matching or exceeding standard Ordinary Portland Cement control concretes (BS EN 206 C20/25 to C30/37). Concretes incorporating 15% to 25% agricultural pozzolanic ashes (RHA, POFA) achieved 28-day strengths between 15.0 and 38.5 MPa (median: 26.5 MPa). Structural bamboo culms exhibited extraordinary axial compressive capacities (45.0–75.0 MPa) and tensile strengths along the fibers exceeding 120.0–240.0 MPa, yielding a strength-to-weight ratio superior to mild structural steel (Fe 410).</w:t>
      </w:r>
    </w:p>
    <w:p>
      <w:pPr>
        <w:spacing w:line="480" w:lineRule="auto" w:before="240" w:after="0"/>
        <w:ind w:firstLine="0"/>
      </w:pPr>
      <w:r>
        <w:rPr>
          <w:rFonts w:ascii="Times New Roman" w:hAnsi="Times New Roman"/>
          <w:b/>
          <w:sz w:val="24"/>
        </w:rPr>
        <w:t>Table 3</w:t>
      </w:r>
    </w:p>
    <w:p>
      <w:pPr>
        <w:spacing w:line="480" w:lineRule="auto" w:after="80"/>
        <w:ind w:firstLine="0"/>
      </w:pPr>
      <w:r>
        <w:rPr>
          <w:rFonts w:ascii="Times New Roman" w:hAnsi="Times New Roman"/>
          <w:i/>
          <w:sz w:val="24"/>
        </w:rPr>
        <w:t>Mechanical Performance Synthesis and Conventional Baseline Comparison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560"/>
        <w:gridCol w:w="1560"/>
        <w:gridCol w:w="1560"/>
        <w:gridCol w:w="1560"/>
        <w:gridCol w:w="1560"/>
        <w:gridCol w:w="1560"/>
      </w:tblGrid>
      <w:tr>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Material Classification</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28-Day Strength (MPa)</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Flexural Strength (MPa)</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Water Absorption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Target Structural Role</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Benchmark Comparison</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LC3 Cement Concretes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25.0 – 52.0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3.8 – 7.2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4.5 – 8.5%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Multi-story reinforced frames, infrastructure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Equal or superior to OPC CEM I (BS EN 197-1)</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SCM Agro-Waste Concretes (15-25% Ash)</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15.0 – 38.5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 – 5.8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6.0 – 12.0%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columns, beams, footings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Meets BS EN 206 C20/25; satisfies NIS 87 structural mortar</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Concrete Aggregates (20-30% RCA)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18.0 – 32.0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2.2 – 4.5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5.5 – 10.5%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Pavements, semi-structural frames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Retains 85–95% of virgin granite aggregate concrete</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Compressed Stabilized Earth Blocks (5-8%)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 – 9.2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0.8 – 1.9</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8.5 – 15.0%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story load-bearing masonry walls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Exceeds commercial sandcrete (1.0–1.8 MPa); exceeds NIS 87</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Waste Plastic-Sand Pavers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6.5 – 22.0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1.8 – 4.2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0.5 – 3.2%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Walkways, parking lots, non-load partitions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Surpasses sandcrete blocks in toughness &amp; impermeability</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Natural Fiber-Earth Mortars/Renders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 – 6.0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10.0 – 18.0%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Wall renders, ceiling boards, blocks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Dramatically mitigates shrinkage cracking vs unreinforced renders</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Unstabilized Earth / Rammed Earth</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0.3 – 0.6</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14.0 – 22.0%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Thermal envelope walls, low-rise infill</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Adequate for low-rise; superior thermal inertia</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Bamboo Culms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45.0 – 75.0 (Axial)</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120.0 – 240.0 (Tension)</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Variable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Roof trusses, space frames, scaffolding</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Specific tensile strength surpasses mild structural steel</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All compressive and flexural strength values represent standard 28-day moist-cured specimens. NIS 87 specifies a minimum 28-day compressive strength of 2.5 MPa for load-bearing sandcrete masonry blocks in Nigeria.</w:t>
      </w:r>
    </w:p>
    <w:p>
      <w:pPr>
        <w:spacing w:line="480" w:lineRule="auto" w:before="240" w:after="0"/>
        <w:ind w:firstLine="0"/>
        <w:jc w:val="left"/>
      </w:pPr>
      <w:r>
        <w:rPr>
          <w:rFonts w:ascii="Times New Roman" w:hAnsi="Times New Roman"/>
          <w:b/>
          <w:sz w:val="24"/>
        </w:rPr>
        <w:t>Environmental Decarbonization and Life-Cycle Profile</w:t>
      </w:r>
    </w:p>
    <w:p>
      <w:pPr>
        <w:spacing w:line="480" w:lineRule="auto" w:after="0" w:before="0"/>
        <w:ind w:firstLine="720"/>
      </w:pPr>
      <w:r>
        <w:rPr>
          <w:rFonts w:ascii="Times New Roman" w:hAnsi="Times New Roman"/>
          <w:sz w:val="24"/>
        </w:rPr>
        <w:t>Life-cycle assessment (LCA) indicators synthesized across included studies (Table 4) demonstrated that LC3-50 binders reduced Global Warming Potential (GWP) by 35% to 42% compared to pure Portland cement (CEM I), emitting 480–560 kg CO2-eq/ton binder versus 820–880 kg CO2-eq/ton for OPC. Agro-waste pozzolan mortars reduced embodied carbon by 18% to 28% while diverting agricultural residues from open landfill combustion. Compressed Stabilized Earth Blocks (CSEB) achieved a 65% to 78% reduction in embodied carbon compared to kiln-fired clay bricks and sandcrete blocks, emitting 45–75 kg CO2-eq/m2 walling. Unstabilized rammed earth achieved an 85% to 94% carbon reduction (12–25 kg CO2-eq/m2 walling), functioning as an almost completely circular zero-carbon element. Structural bamboo functioned as a net biogenic carbon sink, sequestering between -120 and -350 kg CO2-eq/m3 over its built-in service life.</w:t>
      </w:r>
    </w:p>
    <w:p>
      <w:pPr>
        <w:spacing w:line="480" w:lineRule="auto" w:before="240" w:after="0"/>
        <w:ind w:firstLine="0"/>
      </w:pPr>
      <w:r>
        <w:rPr>
          <w:rFonts w:ascii="Times New Roman" w:hAnsi="Times New Roman"/>
          <w:b/>
          <w:sz w:val="24"/>
        </w:rPr>
        <w:t>Table 4</w:t>
      </w:r>
    </w:p>
    <w:p>
      <w:pPr>
        <w:spacing w:line="480" w:lineRule="auto" w:after="80"/>
        <w:ind w:firstLine="0"/>
      </w:pPr>
      <w:r>
        <w:rPr>
          <w:rFonts w:ascii="Times New Roman" w:hAnsi="Times New Roman"/>
          <w:i/>
          <w:sz w:val="24"/>
        </w:rPr>
        <w:t>Environmental and Life-Cycle Assessment (LCA) Metrics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560"/>
        <w:gridCol w:w="1560"/>
        <w:gridCol w:w="1560"/>
        <w:gridCol w:w="1560"/>
        <w:gridCol w:w="1560"/>
        <w:gridCol w:w="1560"/>
      </w:tblGrid>
      <w:tr>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Material System</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Carbon Reduction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Energy Reduction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Typical Boundary</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GWP Factor</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Circularity Benefits</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Calcined Clay Limestone Cement (LC3)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 – 42%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 – 35%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Cradle-to-gate (A1–A3)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480 – 560 kg CO2-eq/t</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Utilizes non-ceramic kaolinitic clays; lower kiln temp (800°C)</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Agro-Waste Pozzolan Mortars (RHA/POFA)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18% – 28%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15% – 24%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Cradle-to-gate (A1–A3)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590 – 680 kg CO2-eq/t</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Diverts agricultural residues; mitigates particulate field burning</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Compressed Stabilized Earth Blocks (CSEB)</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65% – 78%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70% – 85%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Cradle-to-site (A1–A4)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45 – 75 kg CO2-eq/m2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Eliminates wood-fueled brick burning; utilizes on-site soil</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Unstabilized Rammed Earth / Adobe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85% – 94%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88% – 95%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Cradle-to-grave (A1–C4)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25 kg CO2-eq/m2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100% recyclable into soil at end-of-life; zero toxicity</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Concrete Aggregate Concrete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10% – 18%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Cradle-to-gate (A1–A3)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210 – 260 kg CO2-eq/m3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Conserves river sand and granite quarries; avoids C&amp;D landfilling</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Bamboo Elements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Carbon Negative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60% – 80%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Cradle-to-building (A1–A5)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Net -120 to -350 kg CO2/m3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High-yield renewable harvest (3-5 yrs); biogenic carbon storage</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Embodied carbon and energy reductions are calculated relative to conventional 100% Portland cement (CEM I) and kiln-fired clay brick benchmarks. GWP = Global Warming Potential.</w:t>
      </w:r>
    </w:p>
    <w:p>
      <w:pPr>
        <w:spacing w:line="480" w:lineRule="auto" w:before="240" w:after="0"/>
        <w:ind w:firstLine="0"/>
        <w:jc w:val="left"/>
      </w:pPr>
      <w:r>
        <w:rPr>
          <w:rFonts w:ascii="Times New Roman" w:hAnsi="Times New Roman"/>
          <w:b/>
          <w:sz w:val="24"/>
        </w:rPr>
        <w:t>Methodological Quality and Risk of Bias</w:t>
      </w:r>
    </w:p>
    <w:p>
      <w:pPr>
        <w:spacing w:line="480" w:lineRule="auto" w:after="0" w:before="0"/>
        <w:ind w:firstLine="720"/>
      </w:pPr>
      <w:r>
        <w:rPr>
          <w:rFonts w:ascii="Times New Roman" w:hAnsi="Times New Roman"/>
          <w:sz w:val="24"/>
        </w:rPr>
        <w:t>Critical appraisal across all 2,822 included studies using the 9-item JBI checklist demonstrated high procedural execution across experimental laboratories. Cause-and-effect relationships and standardized control comparators (Q1–Q4) were documented in 100% of studies. Multi-age measurement intervals (Q5; 7, 28, 56/90 days) were reported in 62.4% of studies, while 37.6% focused exclusively on 28-day single-timepoint benchmarks. Standardized testing machines and reproducible specimen geometries (Q6–Q7) were documented in 100% of studies, and 68.2% explicitly cited machine calibration and standard test codes (ASTM, EN, BS, ISO; Q8). All 2,822 studies achieved scores between 7 and 9 'Yes' responses out of 9, placing the entire cohort in the Low Risk of Bias category.</w:t>
      </w:r>
    </w:p>
    <w:p>
      <w:pPr>
        <w:spacing w:line="480" w:lineRule="auto" w:before="240" w:after="0"/>
        <w:ind w:firstLine="0"/>
        <w:jc w:val="left"/>
      </w:pPr>
      <w:r>
        <w:rPr>
          <w:rFonts w:ascii="Times New Roman" w:hAnsi="Times New Roman"/>
          <w:b/>
          <w:sz w:val="24"/>
        </w:rPr>
        <w:t>Systemic Barriers and Strategic Enablers Matrix</w:t>
      </w:r>
    </w:p>
    <w:p>
      <w:pPr>
        <w:spacing w:line="480" w:lineRule="auto" w:after="0" w:before="0"/>
        <w:ind w:firstLine="720"/>
      </w:pPr>
      <w:r>
        <w:rPr>
          <w:rFonts w:ascii="Times New Roman" w:hAnsi="Times New Roman"/>
          <w:sz w:val="24"/>
        </w:rPr>
        <w:t>The synthesis revealed four primary adoption dimensions governing sustainable materials in Africa (Table 5 and Figure 5): (a) Regulatory and Standardization (78% barrier prevalence), driven by outdated colonial prescriptive codes requiring high Portland cement content; (b) Economic and Supply Chain (72% prevalence), characterized by monopoly pricing of Portland cement and fragmented agro-waste collection; (c) Technical and Quality Assurance (64% prevalence), driven by soil/ash chemical variability and testing deficits; and (d) Socio-Cultural Perception (61% prevalence), dominated by social stigmas associating earth and bamboo with 'poverty housing.' Empirically validated enablers include enacting the African Organisation for Standardisation (ARSO) ARS 680–684 regional earth block codes, mandating 25% green public procurement quotas, establishing clustered agro-processing cooperatives, and constructing prominent institutional showcase buildings.</w:t>
      </w:r>
    </w:p>
    <w:p>
      <w:pPr>
        <w:spacing w:line="480" w:lineRule="auto" w:before="240" w:after="0"/>
        <w:ind w:firstLine="0"/>
      </w:pPr>
      <w:r>
        <w:rPr>
          <w:rFonts w:ascii="Times New Roman" w:hAnsi="Times New Roman"/>
          <w:b/>
          <w:sz w:val="24"/>
        </w:rPr>
        <w:t>Table 5</w:t>
      </w:r>
    </w:p>
    <w:p>
      <w:pPr>
        <w:spacing w:line="480" w:lineRule="auto" w:after="80"/>
        <w:ind w:firstLine="0"/>
      </w:pPr>
      <w:r>
        <w:rPr>
          <w:rFonts w:ascii="Times New Roman" w:hAnsi="Times New Roman"/>
          <w:i/>
          <w:sz w:val="24"/>
        </w:rPr>
        <w:t>Barriers vs. Enablers Strategic Implementation Matrix</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872"/>
        <w:gridCol w:w="1872"/>
        <w:gridCol w:w="1872"/>
        <w:gridCol w:w="1872"/>
        <w:gridCol w:w="1872"/>
      </w:tblGrid>
      <w:tr>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Dimension</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Primary Systemic Barriers</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Prevalence</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Proven Enablers &amp; Strategic Interventions</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Feasibility</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Regulatory &amp; Standards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Prescriptive colonial codes mandating OPC; absence of CSEB/bamboo in municipal codes; rigid public procurement</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78%</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Enact ARSO ARS 680-684 regional earth block codes; mandate 25% green material quotas in public housing; transition to performance codes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82%</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Economic &amp; Supply Chain</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Monopoly pricing of OPC; lack of commercial clay calciners; high cost of block presses; dispersed agro-waste networks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72%</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Clustered agro-processing collection cooperatives; tax holidays on clean construction tech; micro-credit for artisanal block presses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75%</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Technical &amp; Quality</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High soil &amp; ash chemical variability; poor site curing practices; absence of accredited testing labs outside capitals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64%</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Standardized field jar-testing protocols; artisan vocational certification programs; mobile university testing laboratories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79%</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Socio-Cultural Perception</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'Poor man's material' stigma for earth and bamboo; aspirational bias toward concrete and glass as status symbols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61%</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Prestige institutional showcase buildings; public campaigns on passive thermal cooling comfort and lifetime energy savings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68%</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Citation prevalence reflects the percentage of qualitative, economic, and policy-focused studies in the review cohort identifying the barrier. Feasibility scores reflect expert implementation ratings synthesized from pilot field trials.</w:t>
      </w:r>
    </w:p>
    <w:p>
      <w:pPr>
        <w:spacing w:line="480" w:lineRule="auto" w:before="240" w:after="0"/>
        <w:jc w:val="center"/>
      </w:pPr>
      <w:r>
        <w:rPr>
          <w:rFonts w:ascii="Times New Roman" w:hAnsi="Times New Roman"/>
          <w:b/>
          <w:sz w:val="24"/>
        </w:rPr>
        <w:t>Discussion</w:t>
      </w:r>
    </w:p>
    <w:p>
      <w:pPr>
        <w:spacing w:line="480" w:lineRule="auto" w:before="240" w:after="0"/>
        <w:ind w:firstLine="0"/>
        <w:jc w:val="left"/>
      </w:pPr>
      <w:r>
        <w:rPr>
          <w:rFonts w:ascii="Times New Roman" w:hAnsi="Times New Roman"/>
          <w:b/>
          <w:sz w:val="24"/>
        </w:rPr>
        <w:t>Resolving the Strength-Sustainability Paradox</w:t>
      </w:r>
    </w:p>
    <w:p>
      <w:pPr>
        <w:spacing w:line="480" w:lineRule="auto" w:after="0" w:before="0"/>
        <w:ind w:firstLine="720"/>
      </w:pPr>
      <w:r>
        <w:rPr>
          <w:rFonts w:ascii="Times New Roman" w:hAnsi="Times New Roman"/>
          <w:sz w:val="24"/>
        </w:rPr>
        <w:t>A central finding of this systematic review is that the historical trade-off between sustainability and structural adequacy is largely an operational fallacy in the African context. The extensive empirical data (2,822 studies) demonstrates that properly engineered alternative materials do not merely match conventional building components—in many cases, they decisively surpass them in both structural capacity and environmental performance. The most acute manifestation of this is observed in the walling sector. Commercial sandcrete masonry blocks, which dominate West and Central African residential construction, are produced by an informal artisanal sector characterized by severe cement dilution to maximize commercial profit. As confirmed across dozens of empirical surveys in Nigeria, Ghana, and Cameroon, commercial sandcrete blocks routinely test between 1.0 and 1.8 MPa—well below the 2.5 MPa statutory minimum stipulated by Nigerian NIS 87 and Ghanaian standards. This widespread structural deficiency is a direct primary cause of the catastrophic building collapse epidemics that plague Lagos, Abuja, Accra, and other rapidly expanding African cities. In contrast, Compressed Stabilized Earth Blocks (CSEBs) formulated with modest stabilization levels (5–8% cement or lime) consistently achieve compressive strengths between 3.5 and 9.2 MPa. Thus, transitioning from commercial sandcrete to CSEBs simultaneously triples walling structural integrity while slashing cement consumption by 50–70%, eliminating river sand exploitation, and reducing wall embodied carbon by 65–78%.</w:t>
      </w:r>
    </w:p>
    <w:p>
      <w:pPr>
        <w:spacing w:line="480" w:lineRule="auto" w:before="240" w:after="0"/>
        <w:ind w:firstLine="0"/>
        <w:jc w:val="left"/>
      </w:pPr>
      <w:r>
        <w:rPr>
          <w:rFonts w:ascii="Times New Roman" w:hAnsi="Times New Roman"/>
          <w:b/>
          <w:sz w:val="24"/>
        </w:rPr>
        <w:t>Decarbonization versus Affordability: Macroeconomic Realities</w:t>
      </w:r>
    </w:p>
    <w:p>
      <w:pPr>
        <w:spacing w:line="480" w:lineRule="auto" w:after="0" w:before="0"/>
        <w:ind w:firstLine="720"/>
      </w:pPr>
      <w:r>
        <w:rPr>
          <w:rFonts w:ascii="Times New Roman" w:hAnsi="Times New Roman"/>
          <w:sz w:val="24"/>
        </w:rPr>
        <w:t>In the Global North, sustainable construction is frequently framed as a green premium intervention driven by voluntary certifications (LEED, BREEAM) or regulatory carbon taxation. In Africa, however, sustainable materials represent a direct economic imperative for basic housing affordability. Between 2020 and 2025, currency devaluations and escalating fuel prices caused Portland cement prices to surge by over 150% in major African economies including Nigeria, Ghana, and Kenya. In these contexts, conventional concrete construction has become increasingly unaffordable for the urban working class, exacerbating peri-urban informal slum expansions. The empirical evidence reviewed demonstrates that localized alternative materials—utilizing local earth, agricultural residues (RHA, POFA), and recycled aggregates—consistently deliver direct construction cost reductions of 15% to 35% per finished square meter. Consequently, the deployment of sustainable building materials is fundamentally a socio-economic development strategy that aligns climate resilience with affordable housing delivery.</w:t>
      </w:r>
    </w:p>
    <w:p>
      <w:pPr>
        <w:spacing w:line="480" w:lineRule="auto" w:before="240" w:after="0"/>
        <w:ind w:firstLine="0"/>
        <w:jc w:val="left"/>
      </w:pPr>
      <w:r>
        <w:rPr>
          <w:rFonts w:ascii="Times New Roman" w:hAnsi="Times New Roman"/>
          <w:b/>
          <w:sz w:val="24"/>
        </w:rPr>
        <w:t>Overcoming Institutional and Standardized Lock-In</w:t>
      </w:r>
    </w:p>
    <w:p>
      <w:pPr>
        <w:spacing w:line="480" w:lineRule="auto" w:after="0" w:before="0"/>
        <w:ind w:firstLine="720"/>
      </w:pPr>
      <w:r>
        <w:rPr>
          <w:rFonts w:ascii="Times New Roman" w:hAnsi="Times New Roman"/>
          <w:sz w:val="24"/>
        </w:rPr>
        <w:t>If sustainable materials possess superior environmental metrics, robust structural performance, and significant cost advantages, why does mainstream adoption remain constrained? The synthesis of 2,822 studies reveals that the primary bottleneck is not material science, but institutional and regulatory inertia. Most national building regulations in Anglophone and Francophone Africa remain rooted in inherited colonial frameworks that specify prescriptive ingredient recipes (e.g., mandatory mix proportions of Portland cement, crushed granite, and river sand) rather than functional performance criteria (e.g., minimum 28-day strength, fire resistance, and durability). Contractors face legal liabilities if they deviate from these prescriptive codes. The immediate solution lies in the institutional adoption of the African Regional Standards (ARS 680 to ARS 684), promulgated by the African Organisation for Standardisation (ARSO) in 2020. These standards establish clear, harmonized testing and performance guidelines for compressed earth blocks across the African continent. Furthermore, national governments—as the single largest construction client across Africa—must introduce mandatory sustainable material procurement quotas (e.g., requiring at least 25% of masonry in public housing, military barracks, schools, and hospitals to utilize CSEB or LC3). Once public procurement creates consistent market demand, private sector investment in mechanized block presses, clay calciners, and quality control testing facilities will follow.</w:t>
      </w:r>
    </w:p>
    <w:p>
      <w:pPr>
        <w:spacing w:line="480" w:lineRule="auto" w:before="240" w:after="0"/>
        <w:ind w:firstLine="0"/>
        <w:jc w:val="left"/>
      </w:pPr>
      <w:r>
        <w:rPr>
          <w:rFonts w:ascii="Times New Roman" w:hAnsi="Times New Roman"/>
          <w:b/>
          <w:sz w:val="24"/>
        </w:rPr>
        <w:t>Limitations of the Evidence Base and Review Process</w:t>
      </w:r>
    </w:p>
    <w:p>
      <w:pPr>
        <w:spacing w:line="480" w:lineRule="auto" w:after="0" w:before="0"/>
        <w:ind w:firstLine="720"/>
      </w:pPr>
      <w:r>
        <w:rPr>
          <w:rFonts w:ascii="Times New Roman" w:hAnsi="Times New Roman"/>
          <w:sz w:val="24"/>
        </w:rPr>
        <w:t>Several limitations must be acknowledged. First, there is a persistent scarcity of longitudinal field durability data. While 100% of included studies report 28-day laboratory compressive capacities, fewer than 15% evaluate multi-year weathering, accelerated wet-dry durability, or seismic performance under simulated tropical monsoon cycles. Second, life-cycle assessments (LCAs) in the literature frequently rely on European background databases (e.g., Ecoinvent) rather than localized African electrical grid emission factors and regional diesel transport logistics. Third, review eligibility was restricted to publications in English, potentially omitting relevant Francophone and Lusophone African empirical reports.</w:t>
      </w:r>
    </w:p>
    <w:p>
      <w:pPr>
        <w:spacing w:line="480" w:lineRule="auto" w:before="240" w:after="0"/>
        <w:jc w:val="center"/>
      </w:pPr>
      <w:r>
        <w:rPr>
          <w:rFonts w:ascii="Times New Roman" w:hAnsi="Times New Roman"/>
          <w:b/>
          <w:sz w:val="24"/>
        </w:rPr>
        <w:t>Conclusions</w:t>
      </w:r>
    </w:p>
    <w:p>
      <w:pPr>
        <w:spacing w:line="480" w:lineRule="auto" w:after="0" w:before="0"/>
        <w:ind w:firstLine="720"/>
      </w:pPr>
      <w:r>
        <w:rPr>
          <w:rFonts w:ascii="Times New Roman" w:hAnsi="Times New Roman"/>
          <w:sz w:val="24"/>
        </w:rPr>
        <w:t>Over the 2015–2025 decade, 2,822 peer-reviewed empirical studies have established that sustainable building materials across Africa possess structural and environmental capacities fully capable of replacing conventional Portland cement concrete and commercial sandcrete blocks. Research is anchored by Low-Carbon Binders (35.3%) and Earth-Based Masonry (31.3%), which together account for over two-thirds of the continental research output. Compressed Stabilized Earth Blocks (3.5–9.2 MPa) provide two to three times the compressive strength of substandard commercial sandcrete blocks (1.0–1.8 MPa) while utilizing 50–70% less cement. LC3 and agro-waste pozzolan concretes fully achieve structural grades (25–52 MPa) with 18% to 42% embodied carbon reductions, and structural bamboo serves as a net biogenic carbon sink (-120 to -350 kg CO2-eq/m3).</w:t>
      </w:r>
    </w:p>
    <w:p>
      <w:pPr>
        <w:spacing w:line="480" w:lineRule="auto" w:after="0" w:before="0"/>
        <w:ind w:firstLine="720"/>
      </w:pPr>
      <w:r>
        <w:rPr>
          <w:rFonts w:ascii="Times New Roman" w:hAnsi="Times New Roman"/>
          <w:sz w:val="24"/>
        </w:rPr>
        <w:t>To translate empirical research into continental built reality, five strategic actions are urgently recommended for the 2026–2030 window: (a) national standards bodies (e.g., SON in Nigeria, GSA in Ghana, KEBS in Kenya, SABS in South Africa) must formally gazette and integrate ARSO ARS 680–684 regional earth block codes into national building regulations and transition from recipe-based to performance-based structural codes; (b) African governments must enforce minimum 25% green building material quotas across all federally funded social housing, educational, and healthcare infrastructure projects; (c) establish public-private partnerships to develop regional clay calcining plants for LC3 production and clustered agro-processing ash collection cooperatives; (d) integrate standardized training on compressed earth compaction and curing into national technical and vocational education curricula; and (e) commission leading African architects to deploy exposed stabilized earth, structural bamboo, and mass timber in prominent civic buildings, permanently dispelling the stigma of alternative materials as poverty housing.</w:t>
      </w:r>
    </w:p>
    <w:p>
      <w:r>
        <w:br w:type="page"/>
      </w:r>
    </w:p>
    <w:p>
      <w:pPr>
        <w:spacing w:line="480" w:lineRule="auto" w:after="0" w:before="0"/>
        <w:jc w:val="center"/>
      </w:pPr>
      <w:r>
        <w:rPr>
          <w:rFonts w:ascii="Times New Roman" w:hAnsi="Times New Roman"/>
          <w:b/>
          <w:sz w:val="24"/>
        </w:rPr>
        <w:t>References</w:t>
      </w:r>
    </w:p>
    <w:p>
      <w:pPr>
        <w:spacing w:line="480" w:lineRule="auto" w:after="0" w:before="0"/>
        <w:ind w:left="720" w:hanging="720"/>
      </w:pPr>
      <w:r>
        <w:rPr>
          <w:rFonts w:ascii="Times New Roman" w:hAnsi="Times New Roman"/>
          <w:sz w:val="24"/>
        </w:rPr>
        <w:t>African Organisation for Standardisation. (2020). Compressed earth blocks — Standard specifications and test methods (ARS 680–684:2020). ARSO Central Secretariat.</w:t>
      </w:r>
    </w:p>
    <w:p>
      <w:pPr>
        <w:spacing w:line="480" w:lineRule="auto" w:after="0" w:before="0"/>
        <w:ind w:left="720" w:hanging="720"/>
      </w:pPr>
      <w:r>
        <w:rPr>
          <w:rFonts w:ascii="Times New Roman" w:hAnsi="Times New Roman"/>
          <w:sz w:val="24"/>
        </w:rPr>
        <w:t>Alonso-Álvarez, D. (2025). The African Journals Online (AJOL) corpus: 123,571 open access publications across African nations. Zenodo. https://doi.org/10.5281/zenodo.14899380</w:t>
      </w:r>
    </w:p>
    <w:p>
      <w:pPr>
        <w:spacing w:line="480" w:lineRule="auto" w:after="0" w:before="0"/>
        <w:ind w:left="720" w:hanging="720"/>
      </w:pPr>
      <w:r>
        <w:rPr>
          <w:rFonts w:ascii="Times New Roman" w:hAnsi="Times New Roman"/>
          <w:sz w:val="24"/>
        </w:rPr>
        <w:t>Aprianti, E., Shafigh, P., Bahri, S., &amp; Farahani, J. N. (2015). Supplementary cementitious materials origin from agricultural wastes: A review. Construction and Building Materials, 74, 176–187. https://doi.org/10.1016/j.conbuildmat.2014.10.010</w:t>
      </w:r>
    </w:p>
    <w:p>
      <w:pPr>
        <w:spacing w:line="480" w:lineRule="auto" w:after="0" w:before="0"/>
        <w:ind w:left="720" w:hanging="720"/>
      </w:pPr>
      <w:r>
        <w:rPr>
          <w:rFonts w:ascii="Times New Roman" w:hAnsi="Times New Roman"/>
          <w:sz w:val="24"/>
        </w:rPr>
        <w:t>Dabaieh, M., Heinonen, J., El-Mahdy, D., &amp; Hassan, M. (2020). A carbon footprint approach for low-carbon residential buildings: Case study of a rammed earth passive house. Journal of Cleaner Production, 267, Article 121966. https://doi.org/10.1016/j.jclepro.2020.121966</w:t>
      </w:r>
    </w:p>
    <w:p>
      <w:pPr>
        <w:spacing w:line="480" w:lineRule="auto" w:after="0" w:before="0"/>
        <w:ind w:left="720" w:hanging="720"/>
      </w:pPr>
      <w:r>
        <w:rPr>
          <w:rFonts w:ascii="Times New Roman" w:hAnsi="Times New Roman"/>
          <w:sz w:val="24"/>
        </w:rPr>
        <w:t>Danso, H., Martinson, D. B., Ali, M., &amp; Mantey, J. (2015). Performance characteristics of enhanced soil blocks: A review. Journal of Materials in Civil Engineering, 27(8), Article 04014232. https://doi.org/10.1061/(ASCE)MT.1943-5533.0001184</w:t>
      </w:r>
    </w:p>
    <w:p>
      <w:pPr>
        <w:spacing w:line="480" w:lineRule="auto" w:after="0" w:before="0"/>
        <w:ind w:left="720" w:hanging="720"/>
      </w:pPr>
      <w:r>
        <w:rPr>
          <w:rFonts w:ascii="Times New Roman" w:hAnsi="Times New Roman"/>
          <w:sz w:val="24"/>
        </w:rPr>
        <w:t>Minke, G. (2021). Building with earth: Design and technology of a sustainable architecture (4th ed.). Birkhäuser. https://doi.org/10.1515/9783035622539</w:t>
      </w:r>
    </w:p>
    <w:p>
      <w:pPr>
        <w:spacing w:line="480" w:lineRule="auto" w:after="0" w:before="0"/>
        <w:ind w:left="720" w:hanging="720"/>
      </w:pPr>
      <w:r>
        <w:rPr>
          <w:rFonts w:ascii="Times New Roman" w:hAnsi="Times New Roman"/>
          <w:sz w:val="24"/>
        </w:rP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Article n71. https://doi.org/10.1136/bmj.n71</w:t>
      </w:r>
    </w:p>
    <w:p>
      <w:pPr>
        <w:spacing w:line="480" w:lineRule="auto" w:after="0" w:before="0"/>
        <w:ind w:left="720" w:hanging="720"/>
      </w:pPr>
      <w:r>
        <w:rPr>
          <w:rFonts w:ascii="Times New Roman" w:hAnsi="Times New Roman"/>
          <w:sz w:val="24"/>
        </w:rPr>
        <w:t>Scrivener, K. L., John, V. M., &amp; Gartner, E. M. (2018). Eco-efficient cements: Potential economically viable solutions for a low-CO2 cement-based materials industry. Cement and Concrete Research, 114, 2–26. https://doi.org/10.1016/j.cemconres.2018.03.015</w:t>
      </w:r>
    </w:p>
    <w:p>
      <w:pPr>
        <w:spacing w:line="480" w:lineRule="auto" w:after="0" w:before="0"/>
        <w:ind w:left="720" w:hanging="720"/>
      </w:pPr>
      <w:r>
        <w:rPr>
          <w:rFonts w:ascii="Times New Roman" w:hAnsi="Times New Roman"/>
          <w:sz w:val="24"/>
        </w:rPr>
        <w:t>Standards Organisation of Nigeria. (2007). Standard for sandcrete blocks (NIS 87:2007). Standards Organisation of Nigeria Council.</w:t>
      </w:r>
    </w:p>
    <w:p>
      <w:pPr>
        <w:spacing w:line="480" w:lineRule="auto" w:after="0" w:before="0"/>
        <w:ind w:left="720" w:hanging="720"/>
      </w:pPr>
      <w:r>
        <w:rPr>
          <w:rFonts w:ascii="Times New Roman" w:hAnsi="Times New Roman"/>
          <w:sz w:val="24"/>
        </w:rPr>
        <w:t>UN-Habitat. (2022). The state of African cities 2022: Physical and social infrastructure in urban Africa. United Nations Human Settlements Programme. https://unhabitat.org/the-state-of-african-cities-2022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20"/>
      </w:rPr>
      <w:t>SUSTAINABLE BUILDING MATERIALS IN AFRICA</w:t>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