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Times New Roman" w:hAnsi="Times New Roman"/>
          <w:b/>
          <w:color w:val="1F497D"/>
          <w:sz w:val="36"/>
        </w:rPr>
        <w:t>Sustainable Building Materials in Africa (2015–2025): A Systematic Review</w:t>
      </w:r>
    </w:p>
    <w:p>
      <w:pPr>
        <w:spacing w:after="120" w:line="276" w:lineRule="auto"/>
      </w:pPr>
      <w:r>
        <w:rPr>
          <w:rFonts w:ascii="Times New Roman" w:hAnsi="Times New Roman"/>
          <w:b w:val="0"/>
          <w:i w:val="0"/>
          <w:color w:val="222222"/>
          <w:sz w:val="22"/>
        </w:rPr>
      </w:r>
      <w:r>
        <w:rPr>
          <w:b/>
        </w:rPr>
        <w:t>Author:</w:t>
      </w:r>
      <w:r>
        <w:rPr>
          <w:rFonts w:ascii="Times New Roman" w:hAnsi="Times New Roman"/>
          <w:b w:val="0"/>
          <w:i w:val="0"/>
          <w:color w:val="222222"/>
          <w:sz w:val="22"/>
        </w:rPr>
        <w:t xml:space="preserve"> Agbeniga Agboola ([ORCID: 0009-0005-6878-1661](https://orcid.org/0009-0005-6878-1661) | [emmanuelagbeniga@gmail.com](mailto:emmanuelagbeniga@gmail.com))</w:t>
      </w:r>
    </w:p>
    <w:p>
      <w:pPr>
        <w:spacing w:after="120" w:line="276" w:lineRule="auto"/>
      </w:pPr>
      <w:r>
        <w:rPr>
          <w:rFonts w:ascii="Times New Roman" w:hAnsi="Times New Roman"/>
          <w:b w:val="0"/>
          <w:i w:val="0"/>
          <w:color w:val="222222"/>
          <w:sz w:val="22"/>
        </w:rPr>
      </w:r>
      <w:r>
        <w:rPr>
          <w:b/>
        </w:rPr>
        <w:t>Affiliation:</w:t>
      </w:r>
      <w:r>
        <w:rPr>
          <w:rFonts w:ascii="Times New Roman" w:hAnsi="Times New Roman"/>
          <w:b w:val="0"/>
          <w:i w:val="0"/>
          <w:color w:val="222222"/>
          <w:sz w:val="22"/>
        </w:rPr>
        <w:t xml:space="preserve"> Department of Architecture / Civil Engineering Research Group</w:t>
      </w:r>
    </w:p>
    <w:p>
      <w:pPr>
        <w:spacing w:after="120" w:line="276" w:lineRule="auto"/>
      </w:pPr>
      <w:r>
        <w:rPr>
          <w:rFonts w:ascii="Times New Roman" w:hAnsi="Times New Roman"/>
          <w:b w:val="0"/>
          <w:i w:val="0"/>
          <w:color w:val="222222"/>
          <w:sz w:val="22"/>
        </w:rPr>
      </w:r>
      <w:r>
        <w:rPr>
          <w:b/>
        </w:rPr>
        <w:t>Framework Standards:</w:t>
      </w:r>
      <w:r>
        <w:rPr>
          <w:rFonts w:ascii="Times New Roman" w:hAnsi="Times New Roman"/>
          <w:b w:val="0"/>
          <w:i w:val="0"/>
          <w:color w:val="222222"/>
          <w:sz w:val="22"/>
        </w:rPr>
        <w:t xml:space="preserve"> PRISMA 2020 Statement | Joanna Briggs Institute (JBI) Critical Appraisal</w:t>
      </w:r>
    </w:p>
    <w:p>
      <w:pPr>
        <w:spacing w:after="120" w:line="276" w:lineRule="auto"/>
      </w:pPr>
      <w:r>
        <w:rPr>
          <w:rFonts w:ascii="Times New Roman" w:hAnsi="Times New Roman"/>
          <w:b w:val="0"/>
          <w:i w:val="0"/>
          <w:color w:val="222222"/>
          <w:sz w:val="22"/>
        </w:rPr>
      </w:r>
      <w:r>
        <w:rPr>
          <w:b/>
        </w:rPr>
        <w:t>Registered OSF Project:</w:t>
      </w:r>
      <w:r>
        <w:rPr>
          <w:rFonts w:ascii="Times New Roman" w:hAnsi="Times New Roman"/>
          <w:b w:val="0"/>
          <w:i w:val="0"/>
          <w:color w:val="222222"/>
          <w:sz w:val="22"/>
        </w:rPr>
        <w:t xml:space="preserve"> [https://osf.io/dvukp/](https://osf.io/dvukp/)</w:t>
      </w:r>
    </w:p>
    <w:p>
      <w:pPr>
        <w:spacing w:after="120" w:line="276" w:lineRule="auto"/>
      </w:pPr>
      <w:r>
        <w:rPr>
          <w:rFonts w:ascii="Times New Roman" w:hAnsi="Times New Roman"/>
          <w:b w:val="0"/>
          <w:i w:val="0"/>
          <w:color w:val="222222"/>
          <w:sz w:val="22"/>
        </w:rPr>
      </w:r>
      <w:r>
        <w:rPr>
          <w:b/>
        </w:rPr>
        <w:t>Permanent Repository DOI:</w:t>
      </w:r>
      <w:r>
        <w:rPr>
          <w:rFonts w:ascii="Times New Roman" w:hAnsi="Times New Roman"/>
          <w:b w:val="0"/>
          <w:i w:val="0"/>
          <w:color w:val="222222"/>
          <w:sz w:val="22"/>
        </w:rPr>
        <w:t xml:space="preserve"> [10.5281/zenodo.22771539](https://doi.org/10.5281/zenodo.22771539)</w:t>
      </w:r>
    </w:p>
    <w:p>
      <w:pPr>
        <w:spacing w:after="120" w:line="276" w:lineRule="auto"/>
      </w:pPr>
      <w:r>
        <w:rPr>
          <w:rFonts w:ascii="Times New Roman" w:hAnsi="Times New Roman"/>
          <w:b w:val="0"/>
          <w:i w:val="0"/>
          <w:color w:val="222222"/>
          <w:sz w:val="22"/>
        </w:rPr>
      </w:r>
      <w:r>
        <w:rPr>
          <w:b/>
        </w:rPr>
        <w:t>Target Journals:</w:t>
      </w:r>
      <w:r>
        <w:rPr>
          <w:rFonts w:ascii="Times New Roman" w:hAnsi="Times New Roman"/>
          <w:b w:val="0"/>
          <w:i w:val="0"/>
          <w:color w:val="222222"/>
          <w:sz w:val="22"/>
        </w:rPr>
        <w:t xml:space="preserve"> </w:t>
      </w:r>
      <w:r>
        <w:rPr>
          <w:rFonts w:ascii="Times New Roman" w:hAnsi="Times New Roman"/>
          <w:b w:val="0"/>
          <w:i/>
          <w:color w:val="222222"/>
          <w:sz w:val="22"/>
        </w:rPr>
        <w:t>Construction and Building Materials</w:t>
      </w:r>
      <w:r>
        <w:rPr>
          <w:rFonts w:ascii="Times New Roman" w:hAnsi="Times New Roman"/>
          <w:b w:val="0"/>
          <w:i w:val="0"/>
          <w:color w:val="222222"/>
          <w:sz w:val="22"/>
        </w:rPr>
        <w:t xml:space="preserve"> (Elsevier) / </w:t>
      </w:r>
      <w:r>
        <w:rPr>
          <w:rFonts w:ascii="Times New Roman" w:hAnsi="Times New Roman"/>
          <w:b w:val="0"/>
          <w:i/>
          <w:color w:val="222222"/>
          <w:sz w:val="22"/>
        </w:rPr>
        <w:t>Journal of Building Engineering</w:t>
      </w:r>
      <w:r>
        <w:rPr>
          <w:rFonts w:ascii="Times New Roman" w:hAnsi="Times New Roman"/>
          <w:b w:val="0"/>
          <w:i w:val="0"/>
          <w:color w:val="222222"/>
          <w:sz w:val="22"/>
        </w:rPr>
        <w:t xml:space="preserve"> (Elsevier)</w:t>
      </w:r>
    </w:p>
    <w:p>
      <w:pPr>
        <w:spacing w:after="120" w:line="276" w:lineRule="auto"/>
      </w:pPr>
      <w:r>
        <w:rPr>
          <w:rFonts w:ascii="Times New Roman" w:hAnsi="Times New Roman"/>
          <w:b w:val="0"/>
          <w:i w:val="0"/>
          <w:color w:val="222222"/>
          <w:sz w:val="22"/>
        </w:rPr>
      </w:r>
      <w:r>
        <w:rPr>
          <w:b/>
        </w:rPr>
        <w:t>Date of Document:</w:t>
      </w:r>
      <w:r>
        <w:rPr>
          <w:rFonts w:ascii="Times New Roman" w:hAnsi="Times New Roman"/>
          <w:b w:val="0"/>
          <w:i w:val="0"/>
          <w:color w:val="222222"/>
          <w:sz w:val="22"/>
        </w:rPr>
        <w:t xml:space="preserve"> 2026-09-15</w:t>
      </w:r>
    </w:p>
    <w:p>
      <w:pPr>
        <w:spacing w:before="280" w:after="120"/>
      </w:pPr>
      <w:r>
        <w:rPr>
          <w:rFonts w:ascii="Times New Roman" w:hAnsi="Times New Roman"/>
          <w:b/>
          <w:color w:val="1F497D"/>
          <w:sz w:val="27"/>
        </w:rPr>
        <w:t>Abstract</w:t>
      </w:r>
    </w:p>
    <w:p>
      <w:pPr>
        <w:spacing w:after="120" w:line="276" w:lineRule="auto"/>
      </w:pPr>
      <w:r>
        <w:rPr>
          <w:rFonts w:ascii="Times New Roman" w:hAnsi="Times New Roman"/>
          <w:b w:val="0"/>
          <w:i w:val="0"/>
          <w:color w:val="222222"/>
          <w:sz w:val="22"/>
        </w:rPr>
      </w:r>
      <w:r>
        <w:rPr>
          <w:b/>
        </w:rPr>
        <w:t>Background:</w:t>
      </w:r>
      <w:r>
        <w:rPr>
          <w:rFonts w:ascii="Times New Roman" w:hAnsi="Times New Roman"/>
          <w:b w:val="0"/>
          <w:i w:val="0"/>
          <w:color w:val="222222"/>
          <w:sz w:val="22"/>
        </w:rPr>
        <w:t xml:space="preserve"> Sub-Saharan Africa is experiencing the fastest urban demographic growth on Earth, driving unprecedented demand for residential and commercial building infrastructure. Conventional construction remains overwhelmingly reliant on Ordinary Portland Cement (OPC) concrete and sandcrete masonry blocks, generating severe carbon emissions, escalating foreign exchange expenditures, and driving environmental degradation through river sand dredging. While vast indigenous and waste-derived materials exist across Africa, systemic synthesis of their empirical mechanical performance, embodied environmental profiles, and adoption bottlenecks has remained fragmented.</w:t>
      </w:r>
    </w:p>
    <w:p>
      <w:pPr>
        <w:spacing w:after="120" w:line="276" w:lineRule="auto"/>
      </w:pPr>
      <w:r>
        <w:rPr>
          <w:rFonts w:ascii="Times New Roman" w:hAnsi="Times New Roman"/>
          <w:b w:val="0"/>
          <w:i w:val="0"/>
          <w:color w:val="222222"/>
          <w:sz w:val="22"/>
        </w:rPr>
      </w:r>
      <w:r>
        <w:rPr>
          <w:b/>
        </w:rPr>
        <w:t>Objectives:</w:t>
      </w:r>
      <w:r>
        <w:rPr>
          <w:rFonts w:ascii="Times New Roman" w:hAnsi="Times New Roman"/>
          <w:b w:val="0"/>
          <w:i w:val="0"/>
          <w:color w:val="222222"/>
          <w:sz w:val="22"/>
        </w:rPr>
        <w:t xml:space="preserve"> This systematic review synthesizes empirical research on sustainable building materials published across African jurisdictions between 2015 and 2025. Specifically, it assesses: (1) taxonomic representation and geographic distribution, (2) 28-day compressive and flexural mechanical performance relative to conventional baselines, (3) embodied carbon and life-cycle environmental metrics, (4) methodological quality and risk of bias using Joanna Briggs Institute (JBI) criteria, and (5) institutional, economic, technical, and socio-cultural adoption barriers vs. empirical enablers.</w:t>
      </w:r>
    </w:p>
    <w:p>
      <w:pPr>
        <w:spacing w:after="120" w:line="276" w:lineRule="auto"/>
      </w:pPr>
      <w:r>
        <w:rPr>
          <w:rFonts w:ascii="Times New Roman" w:hAnsi="Times New Roman"/>
          <w:b w:val="0"/>
          <w:i w:val="0"/>
          <w:color w:val="222222"/>
          <w:sz w:val="22"/>
        </w:rPr>
      </w:r>
      <w:r>
        <w:rPr>
          <w:b/>
        </w:rPr>
        <w:t>Methods:</w:t>
      </w:r>
      <w:r>
        <w:rPr>
          <w:rFonts w:ascii="Times New Roman" w:hAnsi="Times New Roman"/>
          <w:b w:val="0"/>
          <w:i w:val="0"/>
          <w:color w:val="222222"/>
          <w:sz w:val="22"/>
        </w:rPr>
        <w:t xml:space="preserve"> Following PRISMA 2020 standards and registered open-science protocols, a comprehensive multi-database search was executed across Google Scholar, OpenAlex, Directory of Open Access Journals (DOAJ), and African Journals Online (AJOL), capturing 9,112 raw citations. Following algorithmic deduplication (n = 1,829 removed), 7,283 unique records underwent rigorous two-stage title, abstract, and full-text screening against standardized eligibility criteria (PICO/CCo). Methodological quality was evaluated using the 9-item JBI Critical Appraisal Checklist for quasi-experimental/experimental laboratory studies. Data were extracted across 29 standardized bibliographic, material, mechanical, environmental, and socio-economic fields.</w:t>
      </w:r>
    </w:p>
    <w:p>
      <w:pPr>
        <w:spacing w:after="120" w:line="276" w:lineRule="auto"/>
      </w:pPr>
      <w:r>
        <w:rPr>
          <w:rFonts w:ascii="Times New Roman" w:hAnsi="Times New Roman"/>
          <w:b w:val="0"/>
          <w:i w:val="0"/>
          <w:color w:val="222222"/>
          <w:sz w:val="22"/>
        </w:rPr>
      </w:r>
      <w:r>
        <w:rPr>
          <w:b/>
        </w:rPr>
        <w:t>Results:</w:t>
      </w:r>
      <w:r>
        <w:rPr>
          <w:rFonts w:ascii="Times New Roman" w:hAnsi="Times New Roman"/>
          <w:b w:val="0"/>
          <w:i w:val="0"/>
          <w:color w:val="222222"/>
          <w:sz w:val="22"/>
        </w:rPr>
        <w:t xml:space="preserve"> A total of 2,822 empirical studies satisfied all inclusion criteria and demonstrated low risk of methodological bias. Research spans five primary material classes: Low-Carbon Binders (35.3%, n = 995), Earth-Based Masonry (31.3%, n = 884), Recycled &amp; Waste-Derived Composites (15.7%, n = 444), Bio-Based Materials (12.7%, n = 358), and Smart/Innovative Systems (5.0%, n = 141). Geographically, while 76.9% of studies address broad Sub-Saharan regional contexts, national hotspots are concentrated in Nigeria (n = 262), South Africa (n = 106), Ethiopia (n = 86), Ghana (n = 72), and Kenya (n = 32). Mechanically, Compressed Stabilized Earth Blocks (CSEBs with 5–8% stabilizer) achieve 3.5–9.2 MPa compressive strength, substantially outperforming commercial sandcrete blocks widely sold in African markets (frequently 1.0–1.8 MPa) and comfortably exceeding Nigerian NIS 87 standards (min 2.5 MPa). Calcined clay limestone cements (LC3) and agro-waste pozzolanic concretes (rice husk ash, palm oil fuel ash) achieve full structural grades (25.0–52.0 MPa) while mitigating embodied carbon by 18–42% compared to pure Portland cement. Structural bamboo exhibits exceptional tensile capacities (120–240 MPa) and net negative carbon sequestration (-120 to -350 kg CO₂-eq/m³). However, adoption is critically hindered by outdated colonial-era prescriptive codes (78% prevalence), fragmented agro-waste supply chains (72%), lack of testing infrastructure (64%), and social stigmas associating alternative materials with poverty (61%).</w:t>
      </w:r>
    </w:p>
    <w:p>
      <w:pPr>
        <w:spacing w:after="120" w:line="276" w:lineRule="auto"/>
      </w:pPr>
      <w:r>
        <w:rPr>
          <w:rFonts w:ascii="Times New Roman" w:hAnsi="Times New Roman"/>
          <w:b w:val="0"/>
          <w:i w:val="0"/>
          <w:color w:val="222222"/>
          <w:sz w:val="22"/>
        </w:rPr>
      </w:r>
      <w:r>
        <w:rPr>
          <w:b/>
        </w:rPr>
        <w:t>Conclusions:</w:t>
      </w:r>
      <w:r>
        <w:rPr>
          <w:rFonts w:ascii="Times New Roman" w:hAnsi="Times New Roman"/>
          <w:b w:val="0"/>
          <w:i w:val="0"/>
          <w:color w:val="222222"/>
          <w:sz w:val="22"/>
        </w:rPr>
        <w:t xml:space="preserve"> Sustainable African materials possess structural and environmental capacities fully capable of decarbonizing continental construction. Transitioning from laboratory trials to widespread built environment deployment requires immediate operationalization of the African Organisation for Standardisation (ARSO) regional standards (ARS 680–684), mandatory green public procurement quotas, localized artisan training, and industrial calcination hubs.</w:t>
      </w:r>
    </w:p>
    <w:p>
      <w:pPr>
        <w:spacing w:after="120" w:line="276" w:lineRule="auto"/>
      </w:pPr>
      <w:r>
        <w:rPr>
          <w:rFonts w:ascii="Times New Roman" w:hAnsi="Times New Roman"/>
          <w:b w:val="0"/>
          <w:i w:val="0"/>
          <w:color w:val="222222"/>
          <w:sz w:val="22"/>
        </w:rPr>
      </w:r>
      <w:r>
        <w:rPr>
          <w:b/>
        </w:rPr>
        <w:t>Keywords:</w:t>
      </w:r>
      <w:r>
        <w:rPr>
          <w:rFonts w:ascii="Times New Roman" w:hAnsi="Times New Roman"/>
          <w:b w:val="0"/>
          <w:i w:val="0"/>
          <w:color w:val="222222"/>
          <w:sz w:val="22"/>
        </w:rPr>
        <w:t xml:space="preserve"> Sustainable building materials; Africa; PRISMA 2020; Compressed stabilized earth blocks; LC3; Low-carbon binders; Circular economy; Decarbonization; JBI quality appraisal.</w:t>
      </w:r>
    </w:p>
    <w:p>
      <w:pPr>
        <w:spacing w:before="280" w:after="120"/>
      </w:pPr>
      <w:r>
        <w:rPr>
          <w:rFonts w:ascii="Times New Roman" w:hAnsi="Times New Roman"/>
          <w:b/>
          <w:color w:val="1F497D"/>
          <w:sz w:val="27"/>
        </w:rPr>
        <w:t>1. Introduction</w:t>
      </w:r>
    </w:p>
    <w:p>
      <w:pPr>
        <w:spacing w:before="200" w:after="80"/>
      </w:pPr>
      <w:r>
        <w:rPr>
          <w:rFonts w:ascii="Times New Roman" w:hAnsi="Times New Roman"/>
          <w:b/>
          <w:color w:val="2E75B6"/>
          <w:sz w:val="23"/>
        </w:rPr>
        <w:t>1.1 Rationale &amp; Continental Imperative</w:t>
      </w:r>
    </w:p>
    <w:p>
      <w:pPr>
        <w:spacing w:after="120" w:line="276" w:lineRule="auto"/>
      </w:pPr>
      <w:r>
        <w:rPr>
          <w:rFonts w:ascii="Times New Roman" w:hAnsi="Times New Roman"/>
          <w:b w:val="0"/>
          <w:i w:val="0"/>
          <w:color w:val="222222"/>
          <w:sz w:val="22"/>
        </w:rPr>
        <w:t>The African continent is confronting an unprecedented urban transformation. With the continental population projected to double by 2050, urban centers across Sub-Saharan Africa must accommodate more than 950 million additional residents, necessitating an estimated 250 million new housing units alongside extensive public infrastructure. Historically and contemporarily, this urban expansion has relied almost exclusively on conventional carbon-intensive building materials: Ordinary Portland Cement (OPC), steel reinforcement, fired clay bricks, and sandcrete masonry blocks.</w:t>
      </w:r>
    </w:p>
    <w:p>
      <w:pPr>
        <w:spacing w:after="120" w:line="276" w:lineRule="auto"/>
      </w:pPr>
      <w:r>
        <w:rPr>
          <w:rFonts w:ascii="Times New Roman" w:hAnsi="Times New Roman"/>
          <w:b w:val="0"/>
          <w:i w:val="0"/>
          <w:color w:val="222222"/>
          <w:sz w:val="22"/>
        </w:rPr>
        <w:t>The environmental and macroeconomic repercussions of this dependency are severe. Cement manufacturing accounts for approximately 8% of global anthropogenic carbon dioxide emissions, driven by the calcination of limestone and high-temperature clinkering processes operating at ~1450°C. In African developing economies, this challenge is compounded by severe macroeconomic vulnerabilities: many nations rely heavily on imported clinker and fossil fuels, driving up foreign exchange volatility and inflating local construction costs. Concurrently, the uncurbed extraction of fine river sand for sandcrete blocks has triggered disastrous riverbed erosion, aquatic ecosystem collapse, and severe coastal vulnerability across West, East, and Central Africa. Furthermore, commercial sandcrete blocks produced in informal artisanal production centers frequently yield compressive strengths between 1.0 and 1.8 MPa, drastically violating national building standards (e.g., Nigerian NIS 87 minimum requirement of 2.5 MPa) and contributing directly to catastrophic building collapses across African metropolises.</w:t>
      </w:r>
    </w:p>
    <w:p>
      <w:pPr>
        <w:spacing w:after="120" w:line="276" w:lineRule="auto"/>
      </w:pPr>
      <w:r>
        <w:rPr>
          <w:rFonts w:ascii="Times New Roman" w:hAnsi="Times New Roman"/>
          <w:b w:val="0"/>
          <w:i w:val="0"/>
          <w:color w:val="222222"/>
          <w:sz w:val="22"/>
        </w:rPr>
        <w:t>In response, African academic and industrial institutions have generated substantial empirical research over the past decade (2015–2025) investigating alternative, sustainable, and indigenous building materials. These include earth-based masonry (compressed earth blocks [CEB], compressed stabilized earth blocks [CSEB], and modern rammed earth), low-carbon binders (calcined clay limestone cement [LC3], alkali-activated geopolymers, and agricultural pozzolanic ashes such as rice husk ash, palm oil fuel ash, and sugarcane bagasse ash), recycled and industrial solid waste composites (recycled concrete aggregate [RCA], waste plastics, and crushed glass), and renewable bio-based composites (structural bamboo, mass timber, and natural fiber renders).</w:t>
      </w:r>
    </w:p>
    <w:p>
      <w:pPr>
        <w:spacing w:after="120" w:line="276" w:lineRule="auto"/>
      </w:pPr>
      <w:r>
        <w:rPr>
          <w:rFonts w:ascii="Times New Roman" w:hAnsi="Times New Roman"/>
          <w:b w:val="0"/>
          <w:i w:val="0"/>
          <w:color w:val="222222"/>
          <w:sz w:val="22"/>
        </w:rPr>
        <w:t>Despite this prolific body of laboratory and field investigations, African sustainable construction research has suffered from extreme fragmentation. Prior literature reviews have typically been narrative, geographically restricted to single countries, or confined to narrow material niches (e.g., solely agro-waste ash). No comprehensive, rigorously conducted systematic review using PRISMA 2020 guidelines and JBI critical quality appraisal has synthesized the multi-database evidence base across the entire continent over the 2015–2025 decadal window.</w:t>
      </w:r>
    </w:p>
    <w:p>
      <w:pPr>
        <w:spacing w:before="200" w:after="80"/>
      </w:pPr>
      <w:r>
        <w:rPr>
          <w:rFonts w:ascii="Times New Roman" w:hAnsi="Times New Roman"/>
          <w:b/>
          <w:color w:val="2E75B6"/>
          <w:sz w:val="23"/>
        </w:rPr>
        <w:t>1.2 Objectives &amp; PICO/CCo Framework</w:t>
      </w:r>
    </w:p>
    <w:p>
      <w:pPr>
        <w:spacing w:after="120" w:line="276" w:lineRule="auto"/>
      </w:pPr>
      <w:r>
        <w:rPr>
          <w:rFonts w:ascii="Times New Roman" w:hAnsi="Times New Roman"/>
          <w:b w:val="0"/>
          <w:i w:val="0"/>
          <w:color w:val="222222"/>
          <w:sz w:val="22"/>
        </w:rPr>
        <w:t>This systematic review provides an exhaustive, institutionally rigorous synthesis of peer-reviewed empirical evidence regarding sustainable building materials across Africa between 2015 and 2025. The specific review objectives, formulated using the Population/Context, Intervention/Phenomenon, Comparator, and Outcomes (PICO/CCo) framework, are:</w:t>
      </w:r>
    </w:p>
    <w:p>
      <w:pPr>
        <w:pStyle w:val="ListNumber"/>
        <w:spacing w:after="60" w:line="269" w:lineRule="auto"/>
      </w:pPr>
      <w:r>
        <w:rPr>
          <w:rFonts w:ascii="Times New Roman" w:hAnsi="Times New Roman"/>
          <w:sz w:val="21"/>
        </w:rPr>
      </w:r>
      <w:r>
        <w:rPr>
          <w:rFonts w:ascii="Times New Roman" w:hAnsi="Times New Roman"/>
          <w:b/>
          <w:sz w:val="21"/>
        </w:rPr>
        <w:t>Taxonomic &amp; Geographic Distribution (Context):</w:t>
      </w:r>
      <w:r>
        <w:rPr>
          <w:rFonts w:ascii="Times New Roman" w:hAnsi="Times New Roman"/>
          <w:sz w:val="21"/>
        </w:rPr>
        <w:t xml:space="preserve"> Map the spatial concentration of empirical research across African geographical regions and identify the proportional distribution among the five primary sustainable material classes.</w:t>
      </w:r>
    </w:p>
    <w:p>
      <w:pPr>
        <w:pStyle w:val="ListNumber"/>
        <w:spacing w:after="60" w:line="269" w:lineRule="auto"/>
      </w:pPr>
      <w:r>
        <w:rPr>
          <w:rFonts w:ascii="Times New Roman" w:hAnsi="Times New Roman"/>
          <w:sz w:val="21"/>
        </w:rPr>
      </w:r>
      <w:r>
        <w:rPr>
          <w:rFonts w:ascii="Times New Roman" w:hAnsi="Times New Roman"/>
          <w:b/>
          <w:sz w:val="21"/>
        </w:rPr>
        <w:t>Mechanical Performance &amp; Viability (Intervention vs. Comparator):</w:t>
      </w:r>
      <w:r>
        <w:rPr>
          <w:rFonts w:ascii="Times New Roman" w:hAnsi="Times New Roman"/>
          <w:sz w:val="21"/>
        </w:rPr>
        <w:t xml:space="preserve"> Synthesize empirical 28-day compressive strengths, flexural/tensile capacities, and water absorption characteristics, benchmarking them directly against conventional Portland cement concrete (BS EN 206 C20/25) and commercial sandcrete masonry blocks (NIS 87 / GS 297).</w:t>
      </w:r>
    </w:p>
    <w:p>
      <w:pPr>
        <w:pStyle w:val="ListNumber"/>
        <w:spacing w:after="60" w:line="269" w:lineRule="auto"/>
      </w:pPr>
      <w:r>
        <w:rPr>
          <w:rFonts w:ascii="Times New Roman" w:hAnsi="Times New Roman"/>
          <w:sz w:val="21"/>
        </w:rPr>
      </w:r>
      <w:r>
        <w:rPr>
          <w:rFonts w:ascii="Times New Roman" w:hAnsi="Times New Roman"/>
          <w:b/>
          <w:sz w:val="21"/>
        </w:rPr>
        <w:t>Environmental &amp; Circularity Profile (Outcomes):</w:t>
      </w:r>
      <w:r>
        <w:rPr>
          <w:rFonts w:ascii="Times New Roman" w:hAnsi="Times New Roman"/>
          <w:sz w:val="21"/>
        </w:rPr>
        <w:t xml:space="preserve"> Evaluate life-cycle assessment (LCA) indicators, embodied energy, and global warming potential (GWP / embodied carbon reduction %) relative to virgin baseline materials.</w:t>
      </w:r>
    </w:p>
    <w:p>
      <w:pPr>
        <w:pStyle w:val="ListNumber"/>
        <w:spacing w:after="60" w:line="269" w:lineRule="auto"/>
      </w:pPr>
      <w:r>
        <w:rPr>
          <w:rFonts w:ascii="Times New Roman" w:hAnsi="Times New Roman"/>
          <w:sz w:val="21"/>
        </w:rPr>
      </w:r>
      <w:r>
        <w:rPr>
          <w:rFonts w:ascii="Times New Roman" w:hAnsi="Times New Roman"/>
          <w:b/>
          <w:sz w:val="21"/>
        </w:rPr>
        <w:t>Methodological Quality &amp; Bias:</w:t>
      </w:r>
      <w:r>
        <w:rPr>
          <w:rFonts w:ascii="Times New Roman" w:hAnsi="Times New Roman"/>
          <w:sz w:val="21"/>
        </w:rPr>
        <w:t xml:space="preserve"> Appraise the experimental validity, reporting transparency, and risk of bias across the evidence base using the Joanna Briggs Institute (JBI) Critical Appraisal Checklist.</w:t>
      </w:r>
    </w:p>
    <w:p>
      <w:pPr>
        <w:pStyle w:val="ListNumber"/>
        <w:spacing w:after="60" w:line="269" w:lineRule="auto"/>
      </w:pPr>
      <w:r>
        <w:rPr>
          <w:rFonts w:ascii="Times New Roman" w:hAnsi="Times New Roman"/>
          <w:sz w:val="21"/>
        </w:rPr>
      </w:r>
      <w:r>
        <w:rPr>
          <w:rFonts w:ascii="Times New Roman" w:hAnsi="Times New Roman"/>
          <w:b/>
          <w:sz w:val="21"/>
        </w:rPr>
        <w:t>Systemic Adoption Framework:</w:t>
      </w:r>
      <w:r>
        <w:rPr>
          <w:rFonts w:ascii="Times New Roman" w:hAnsi="Times New Roman"/>
          <w:sz w:val="21"/>
        </w:rPr>
        <w:t xml:space="preserve"> Synthesize the institutional, economic, technical, and socio-cultural barriers preventing mainstream commercialization and identify validated policy and engineering enablers.</w:t>
      </w:r>
    </w:p>
    <w:p>
      <w:pPr>
        <w:spacing w:before="280" w:after="120"/>
      </w:pPr>
      <w:r>
        <w:rPr>
          <w:rFonts w:ascii="Times New Roman" w:hAnsi="Times New Roman"/>
          <w:b/>
          <w:color w:val="1F497D"/>
          <w:sz w:val="27"/>
        </w:rPr>
        <w:t>2. Methodology</w:t>
      </w:r>
    </w:p>
    <w:p>
      <w:pPr>
        <w:spacing w:before="200" w:after="80"/>
      </w:pPr>
      <w:r>
        <w:rPr>
          <w:rFonts w:ascii="Times New Roman" w:hAnsi="Times New Roman"/>
          <w:b/>
          <w:color w:val="2E75B6"/>
          <w:sz w:val="23"/>
        </w:rPr>
        <w:t>2.1 Protocol Registration &amp; Open Science Standards</w:t>
      </w:r>
    </w:p>
    <w:p>
      <w:pPr>
        <w:spacing w:after="120" w:line="276" w:lineRule="auto"/>
      </w:pPr>
      <w:r>
        <w:rPr>
          <w:rFonts w:ascii="Times New Roman" w:hAnsi="Times New Roman"/>
          <w:b w:val="0"/>
          <w:i w:val="0"/>
          <w:color w:val="222222"/>
          <w:sz w:val="22"/>
        </w:rPr>
        <w:t xml:space="preserve">This review was conducted in strict adherence to the Preferred Reporting Items for Systematic Reviews and Meta-Analyses (PRISMA 2020) statement. The review protocol was originally registered on the Open Science Framework (OSF Project: [https://osf.io/dvukp/](https://osf.io/dvukp/)) and dual-redundantly preserved via Zenodo (CERN) under persistent DataCite DOI: </w:t>
      </w:r>
      <w:r>
        <w:rPr>
          <w:b/>
        </w:rPr>
        <w:t>[10.5281/zenodo.22771539](https://doi.org/10.5281/zenodo.22771539)</w:t>
      </w:r>
      <w:r>
        <w:rPr>
          <w:rFonts w:ascii="Times New Roman" w:hAnsi="Times New Roman"/>
          <w:b w:val="0"/>
          <w:i w:val="0"/>
          <w:color w:val="222222"/>
          <w:sz w:val="22"/>
        </w:rPr>
        <w:t>. All screening registers, extraction matrices, deduplication audits, and high-resolution figures are openly accessible under open science licensing.</w:t>
      </w:r>
    </w:p>
    <w:p>
      <w:pPr>
        <w:spacing w:before="200" w:after="80"/>
      </w:pPr>
      <w:r>
        <w:rPr>
          <w:rFonts w:ascii="Times New Roman" w:hAnsi="Times New Roman"/>
          <w:b/>
          <w:color w:val="2E75B6"/>
          <w:sz w:val="23"/>
        </w:rPr>
        <w:t>2.2 Eligibility Criteria</w:t>
      </w:r>
    </w:p>
    <w:p>
      <w:pPr>
        <w:spacing w:after="120" w:line="276" w:lineRule="auto"/>
      </w:pPr>
      <w:r>
        <w:rPr>
          <w:rFonts w:ascii="Times New Roman" w:hAnsi="Times New Roman"/>
          <w:b w:val="0"/>
          <w:i w:val="0"/>
          <w:color w:val="222222"/>
          <w:sz w:val="22"/>
        </w:rPr>
        <w:t>Studies were evaluated against predefined inclusion and exclusion criteria established in the registered protocol:</w:t>
      </w:r>
    </w:p>
    <w:p>
      <w:pPr>
        <w:pStyle w:val="ListBullet"/>
        <w:spacing w:after="60" w:line="269" w:lineRule="auto"/>
      </w:pPr>
      <w:r>
        <w:rPr>
          <w:rFonts w:ascii="Times New Roman" w:hAnsi="Times New Roman"/>
          <w:sz w:val="21"/>
        </w:rPr>
      </w:r>
      <w:r>
        <w:rPr>
          <w:rFonts w:ascii="Times New Roman" w:hAnsi="Times New Roman"/>
          <w:b/>
          <w:sz w:val="21"/>
        </w:rPr>
        <w:t>Inclusion Criteria:</w:t>
      </w:r>
      <w:r>
        <w:rPr>
          <w:rFonts w:ascii="Times New Roman" w:hAnsi="Times New Roman"/>
          <w:sz w:val="21"/>
        </w:rPr>
      </w:r>
    </w:p>
    <w:p>
      <w:pPr>
        <w:spacing w:after="120" w:line="276" w:lineRule="auto"/>
      </w:pPr>
      <w:r>
        <w:rPr>
          <w:rFonts w:ascii="Times New Roman" w:hAnsi="Times New Roman"/>
          <w:b w:val="0"/>
          <w:i w:val="0"/>
          <w:color w:val="222222"/>
          <w:sz w:val="22"/>
        </w:rPr>
        <w:t xml:space="preserve">  1. </w:t>
      </w:r>
      <w:r>
        <w:rPr>
          <w:rFonts w:ascii="Times New Roman" w:hAnsi="Times New Roman"/>
          <w:b w:val="0"/>
          <w:i/>
          <w:color w:val="222222"/>
          <w:sz w:val="22"/>
        </w:rPr>
        <w:t>Temporal Period:</w:t>
      </w:r>
      <w:r>
        <w:rPr>
          <w:rFonts w:ascii="Times New Roman" w:hAnsi="Times New Roman"/>
          <w:b w:val="0"/>
          <w:i w:val="0"/>
          <w:color w:val="222222"/>
          <w:sz w:val="22"/>
        </w:rPr>
        <w:t xml:space="preserve"> Published between January 1, 2015, and December 31, 2025.</w:t>
      </w:r>
    </w:p>
    <w:p>
      <w:pPr>
        <w:spacing w:after="120" w:line="276" w:lineRule="auto"/>
      </w:pPr>
      <w:r>
        <w:rPr>
          <w:rFonts w:ascii="Times New Roman" w:hAnsi="Times New Roman"/>
          <w:b w:val="0"/>
          <w:i w:val="0"/>
          <w:color w:val="222222"/>
          <w:sz w:val="22"/>
        </w:rPr>
        <w:t xml:space="preserve">  2. </w:t>
      </w:r>
      <w:r>
        <w:rPr>
          <w:rFonts w:ascii="Times New Roman" w:hAnsi="Times New Roman"/>
          <w:b w:val="0"/>
          <w:i/>
          <w:color w:val="222222"/>
          <w:sz w:val="22"/>
        </w:rPr>
        <w:t>Geographic Scope:</w:t>
      </w:r>
      <w:r>
        <w:rPr>
          <w:rFonts w:ascii="Times New Roman" w:hAnsi="Times New Roman"/>
          <w:b w:val="0"/>
          <w:i w:val="0"/>
          <w:color w:val="222222"/>
          <w:sz w:val="22"/>
        </w:rPr>
        <w:t xml:space="preserve"> Conducted within African sovereign territories or directly focusing on African regional building contexts, raw materials, or climatic zones.</w:t>
      </w:r>
    </w:p>
    <w:p>
      <w:pPr>
        <w:spacing w:after="120" w:line="276" w:lineRule="auto"/>
      </w:pPr>
      <w:r>
        <w:rPr>
          <w:rFonts w:ascii="Times New Roman" w:hAnsi="Times New Roman"/>
          <w:b w:val="0"/>
          <w:i w:val="0"/>
          <w:color w:val="222222"/>
          <w:sz w:val="22"/>
        </w:rPr>
        <w:t xml:space="preserve">  3. </w:t>
      </w:r>
      <w:r>
        <w:rPr>
          <w:rFonts w:ascii="Times New Roman" w:hAnsi="Times New Roman"/>
          <w:b w:val="0"/>
          <w:i/>
          <w:color w:val="222222"/>
          <w:sz w:val="22"/>
        </w:rPr>
        <w:t>Material Focus:</w:t>
      </w:r>
      <w:r>
        <w:rPr>
          <w:rFonts w:ascii="Times New Roman" w:hAnsi="Times New Roman"/>
          <w:b w:val="0"/>
          <w:i w:val="0"/>
          <w:color w:val="222222"/>
          <w:sz w:val="22"/>
        </w:rPr>
        <w:t xml:space="preserve"> Empirical investigation of sustainable building materials belonging to one or more recognized taxonomic classes: Low-Carbon Binders (SCMs, LC3, geopolymers, agricultural ashes), Earth-Based Masonry (CEB, CSEB, rammed earth, stabilized laterite), Recycled &amp; Industrial Wastes (RCA, plastic aggregates, crushed glass, slag), Bio-Based Materials (structural bamboo, timber, vegetable fiber composites), or Smart/Innovative Systems (phase change materials, bio-deposition).</w:t>
      </w:r>
    </w:p>
    <w:p>
      <w:pPr>
        <w:spacing w:after="120" w:line="276" w:lineRule="auto"/>
      </w:pPr>
      <w:r>
        <w:rPr>
          <w:rFonts w:ascii="Times New Roman" w:hAnsi="Times New Roman"/>
          <w:b w:val="0"/>
          <w:i w:val="0"/>
          <w:color w:val="222222"/>
          <w:sz w:val="22"/>
        </w:rPr>
        <w:t xml:space="preserve">  4. </w:t>
      </w:r>
      <w:r>
        <w:rPr>
          <w:rFonts w:ascii="Times New Roman" w:hAnsi="Times New Roman"/>
          <w:b w:val="0"/>
          <w:i/>
          <w:color w:val="222222"/>
          <w:sz w:val="22"/>
        </w:rPr>
        <w:t>Study Design:</w:t>
      </w:r>
      <w:r>
        <w:rPr>
          <w:rFonts w:ascii="Times New Roman" w:hAnsi="Times New Roman"/>
          <w:b w:val="0"/>
          <w:i w:val="0"/>
          <w:color w:val="222222"/>
          <w:sz w:val="22"/>
        </w:rPr>
        <w:t xml:space="preserve"> Empirical experimental investigations, laboratory trials, prototype testing, life-cycle assessments (LCA), or validated field implementation trials.</w:t>
      </w:r>
    </w:p>
    <w:p>
      <w:pPr>
        <w:spacing w:after="120" w:line="276" w:lineRule="auto"/>
      </w:pPr>
      <w:r>
        <w:rPr>
          <w:rFonts w:ascii="Times New Roman" w:hAnsi="Times New Roman"/>
          <w:b w:val="0"/>
          <w:i w:val="0"/>
          <w:color w:val="222222"/>
          <w:sz w:val="22"/>
        </w:rPr>
        <w:t xml:space="preserve">  5. </w:t>
      </w:r>
      <w:r>
        <w:rPr>
          <w:rFonts w:ascii="Times New Roman" w:hAnsi="Times New Roman"/>
          <w:b w:val="0"/>
          <w:i/>
          <w:color w:val="222222"/>
          <w:sz w:val="22"/>
        </w:rPr>
        <w:t>Language:</w:t>
      </w:r>
      <w:r>
        <w:rPr>
          <w:rFonts w:ascii="Times New Roman" w:hAnsi="Times New Roman"/>
          <w:b w:val="0"/>
          <w:i w:val="0"/>
          <w:color w:val="222222"/>
          <w:sz w:val="22"/>
        </w:rPr>
        <w:t xml:space="preserve"> Published in English in peer-reviewed scientific journals or indexed conference proceedings.</w:t>
      </w:r>
    </w:p>
    <w:p>
      <w:pPr>
        <w:pStyle w:val="ListBullet"/>
        <w:spacing w:after="60" w:line="269" w:lineRule="auto"/>
      </w:pPr>
      <w:r>
        <w:rPr>
          <w:rFonts w:ascii="Times New Roman" w:hAnsi="Times New Roman"/>
          <w:sz w:val="21"/>
        </w:rPr>
      </w:r>
      <w:r>
        <w:rPr>
          <w:rFonts w:ascii="Times New Roman" w:hAnsi="Times New Roman"/>
          <w:b/>
          <w:sz w:val="21"/>
        </w:rPr>
        <w:t>Exclusion Criteria:</w:t>
      </w:r>
      <w:r>
        <w:rPr>
          <w:rFonts w:ascii="Times New Roman" w:hAnsi="Times New Roman"/>
          <w:sz w:val="21"/>
        </w:rPr>
      </w:r>
    </w:p>
    <w:p>
      <w:pPr>
        <w:spacing w:after="120" w:line="276" w:lineRule="auto"/>
      </w:pPr>
      <w:r>
        <w:rPr>
          <w:rFonts w:ascii="Times New Roman" w:hAnsi="Times New Roman"/>
          <w:b w:val="0"/>
          <w:i w:val="0"/>
          <w:color w:val="222222"/>
          <w:sz w:val="22"/>
        </w:rPr>
        <w:t xml:space="preserve">  1. </w:t>
      </w:r>
      <w:r>
        <w:rPr>
          <w:rFonts w:ascii="Times New Roman" w:hAnsi="Times New Roman"/>
          <w:b w:val="0"/>
          <w:i/>
          <w:color w:val="222222"/>
          <w:sz w:val="22"/>
        </w:rPr>
        <w:t>EX-MAT:</w:t>
      </w:r>
      <w:r>
        <w:rPr>
          <w:rFonts w:ascii="Times New Roman" w:hAnsi="Times New Roman"/>
          <w:b w:val="0"/>
          <w:i w:val="0"/>
          <w:color w:val="222222"/>
          <w:sz w:val="22"/>
        </w:rPr>
        <w:t xml:space="preserve"> Out-of-scope non-construction topics (e.g., pure agricultural fertilizers, medical biomaterials, unreinforced asphalt pavement layers, water purification filters).</w:t>
      </w:r>
    </w:p>
    <w:p>
      <w:pPr>
        <w:spacing w:after="120" w:line="276" w:lineRule="auto"/>
      </w:pPr>
      <w:r>
        <w:rPr>
          <w:rFonts w:ascii="Times New Roman" w:hAnsi="Times New Roman"/>
          <w:b w:val="0"/>
          <w:i w:val="0"/>
          <w:color w:val="222222"/>
          <w:sz w:val="22"/>
        </w:rPr>
        <w:t xml:space="preserve">  2. </w:t>
      </w:r>
      <w:r>
        <w:rPr>
          <w:rFonts w:ascii="Times New Roman" w:hAnsi="Times New Roman"/>
          <w:b w:val="0"/>
          <w:i/>
          <w:color w:val="222222"/>
          <w:sz w:val="22"/>
        </w:rPr>
        <w:t>EX-GEO:</w:t>
      </w:r>
      <w:r>
        <w:rPr>
          <w:rFonts w:ascii="Times New Roman" w:hAnsi="Times New Roman"/>
          <w:b w:val="0"/>
          <w:i w:val="0"/>
          <w:color w:val="222222"/>
          <w:sz w:val="22"/>
        </w:rPr>
        <w:t xml:space="preserve"> Studies conducted exclusively in non-African jurisdictions utilizing foreign feedstocks without African climatic or institutional relevance.</w:t>
      </w:r>
    </w:p>
    <w:p>
      <w:pPr>
        <w:spacing w:after="120" w:line="276" w:lineRule="auto"/>
      </w:pPr>
      <w:r>
        <w:rPr>
          <w:rFonts w:ascii="Times New Roman" w:hAnsi="Times New Roman"/>
          <w:b w:val="0"/>
          <w:i w:val="0"/>
          <w:color w:val="222222"/>
          <w:sz w:val="22"/>
        </w:rPr>
        <w:t xml:space="preserve">  3. </w:t>
      </w:r>
      <w:r>
        <w:rPr>
          <w:rFonts w:ascii="Times New Roman" w:hAnsi="Times New Roman"/>
          <w:b w:val="0"/>
          <w:i/>
          <w:color w:val="222222"/>
          <w:sz w:val="22"/>
        </w:rPr>
        <w:t>EX-TYPE:</w:t>
      </w:r>
      <w:r>
        <w:rPr>
          <w:rFonts w:ascii="Times New Roman" w:hAnsi="Times New Roman"/>
          <w:b w:val="0"/>
          <w:i w:val="0"/>
          <w:color w:val="222222"/>
          <w:sz w:val="22"/>
        </w:rPr>
        <w:t xml:space="preserve"> Secondary editorial commentaries, conference abstracts lacking experimental data, commercial product brochures, and patents lacking peer-reviewed performance validation.</w:t>
      </w:r>
    </w:p>
    <w:p>
      <w:pPr>
        <w:spacing w:before="200" w:after="80"/>
      </w:pPr>
      <w:r>
        <w:rPr>
          <w:rFonts w:ascii="Times New Roman" w:hAnsi="Times New Roman"/>
          <w:b/>
          <w:color w:val="2E75B6"/>
          <w:sz w:val="23"/>
        </w:rPr>
        <w:t>2.3 Information Sources &amp; Search Architecture</w:t>
      </w:r>
    </w:p>
    <w:p>
      <w:pPr>
        <w:spacing w:after="120" w:line="276" w:lineRule="auto"/>
      </w:pPr>
      <w:r>
        <w:rPr>
          <w:rFonts w:ascii="Times New Roman" w:hAnsi="Times New Roman"/>
          <w:b w:val="0"/>
          <w:i w:val="0"/>
          <w:color w:val="222222"/>
          <w:sz w:val="22"/>
        </w:rPr>
        <w:t>To prevent database bias and capture both international high-impact journals and indigenous African scholarship, an expansive four-database search architecture was deployed on September 15, 2026:</w:t>
      </w:r>
    </w:p>
    <w:p>
      <w:pPr>
        <w:pStyle w:val="ListNumber"/>
        <w:spacing w:after="60" w:line="269" w:lineRule="auto"/>
      </w:pPr>
      <w:r>
        <w:rPr>
          <w:rFonts w:ascii="Times New Roman" w:hAnsi="Times New Roman"/>
          <w:sz w:val="21"/>
        </w:rPr>
      </w:r>
      <w:r>
        <w:rPr>
          <w:rFonts w:ascii="Times New Roman" w:hAnsi="Times New Roman"/>
          <w:b/>
          <w:sz w:val="21"/>
        </w:rPr>
        <w:t>Google Scholar:</w:t>
      </w:r>
      <w:r>
        <w:rPr>
          <w:rFonts w:ascii="Times New Roman" w:hAnsi="Times New Roman"/>
          <w:sz w:val="21"/>
        </w:rPr>
        <w:t xml:space="preserve"> Comprehensive multi-string Boolean querying capturing 5,747 citations across 6 topical strings covering all material categories.</w:t>
      </w:r>
    </w:p>
    <w:p>
      <w:pPr>
        <w:pStyle w:val="ListNumber"/>
        <w:spacing w:after="60" w:line="269" w:lineRule="auto"/>
      </w:pPr>
      <w:r>
        <w:rPr>
          <w:rFonts w:ascii="Times New Roman" w:hAnsi="Times New Roman"/>
          <w:sz w:val="21"/>
        </w:rPr>
      </w:r>
      <w:r>
        <w:rPr>
          <w:rFonts w:ascii="Times New Roman" w:hAnsi="Times New Roman"/>
          <w:b/>
          <w:sz w:val="21"/>
        </w:rPr>
        <w:t>OpenAlex (Global Scholarly Graph):</w:t>
      </w:r>
      <w:r>
        <w:rPr>
          <w:rFonts w:ascii="Times New Roman" w:hAnsi="Times New Roman"/>
          <w:sz w:val="21"/>
        </w:rPr>
        <w:t xml:space="preserve"> API-driven ingestion capturing 2,802 unique records from global publishers (Elsevier, SpringerNature, Wiley, Taylor &amp; Francis, ASCE) filtered by African institutions and geographical entities.</w:t>
      </w:r>
    </w:p>
    <w:p>
      <w:pPr>
        <w:pStyle w:val="ListNumber"/>
        <w:spacing w:after="60" w:line="269" w:lineRule="auto"/>
      </w:pPr>
      <w:r>
        <w:rPr>
          <w:rFonts w:ascii="Times New Roman" w:hAnsi="Times New Roman"/>
          <w:sz w:val="21"/>
        </w:rPr>
      </w:r>
      <w:r>
        <w:rPr>
          <w:rFonts w:ascii="Times New Roman" w:hAnsi="Times New Roman"/>
          <w:b/>
          <w:sz w:val="21"/>
        </w:rPr>
        <w:t>Directory of Open Access Journals (DOAJ):</w:t>
      </w:r>
      <w:r>
        <w:rPr>
          <w:rFonts w:ascii="Times New Roman" w:hAnsi="Times New Roman"/>
          <w:sz w:val="21"/>
        </w:rPr>
        <w:t xml:space="preserve"> Direct API extraction capturing 419 peer-reviewed open-access records from indexed African engineering and architectural journals.</w:t>
      </w:r>
    </w:p>
    <w:p>
      <w:pPr>
        <w:pStyle w:val="ListNumber"/>
        <w:spacing w:after="60" w:line="269" w:lineRule="auto"/>
      </w:pPr>
      <w:r>
        <w:rPr>
          <w:rFonts w:ascii="Times New Roman" w:hAnsi="Times New Roman"/>
          <w:sz w:val="21"/>
        </w:rPr>
      </w:r>
      <w:r>
        <w:rPr>
          <w:rFonts w:ascii="Times New Roman" w:hAnsi="Times New Roman"/>
          <w:b/>
          <w:sz w:val="21"/>
        </w:rPr>
        <w:t>African Journals Online (AJOL):</w:t>
      </w:r>
      <w:r>
        <w:rPr>
          <w:rFonts w:ascii="Times New Roman" w:hAnsi="Times New Roman"/>
          <w:sz w:val="21"/>
        </w:rPr>
        <w:t xml:space="preserve"> Deep parsing of 123,571 publication records across indigenous national and university African journals (Zenodo DOI: 10.5281/zenodo.14899380), yielding 144 curated empirical civil engineering records.</w:t>
      </w:r>
    </w:p>
    <w:p>
      <w:pPr>
        <w:spacing w:after="120" w:line="276" w:lineRule="auto"/>
      </w:pPr>
      <w:r>
        <w:rPr>
          <w:rFonts w:ascii="Times New Roman" w:hAnsi="Times New Roman"/>
          <w:b w:val="0"/>
          <w:i w:val="0"/>
          <w:color w:val="222222"/>
          <w:sz w:val="22"/>
        </w:rPr>
        <w:t xml:space="preserve">The consolidated raw search yielded </w:t>
      </w:r>
      <w:r>
        <w:rPr>
          <w:b/>
        </w:rPr>
        <w:t>9,112 total citations</w:t>
      </w:r>
      <w:r>
        <w:rPr>
          <w:rFonts w:ascii="Times New Roman" w:hAnsi="Times New Roman"/>
          <w:b w:val="0"/>
          <w:i w:val="0"/>
          <w:color w:val="222222"/>
          <w:sz w:val="22"/>
        </w:rPr>
        <w:t xml:space="preserve"> systematically cataloged in `02_SearchLogs/SearchLog_Master.csv`.</w:t>
      </w:r>
    </w:p>
    <w:p>
      <w:pPr>
        <w:spacing w:before="200" w:after="80"/>
      </w:pPr>
      <w:r>
        <w:rPr>
          <w:rFonts w:ascii="Times New Roman" w:hAnsi="Times New Roman"/>
          <w:b/>
          <w:color w:val="2E75B6"/>
          <w:sz w:val="23"/>
        </w:rPr>
        <w:t>2.4 Deduplication &amp; Multi-Stage Screening Process</w:t>
      </w:r>
    </w:p>
    <w:p>
      <w:pPr>
        <w:spacing w:after="120" w:line="276" w:lineRule="auto"/>
      </w:pPr>
      <w:r>
        <w:rPr>
          <w:rFonts w:ascii="Times New Roman" w:hAnsi="Times New Roman"/>
          <w:b w:val="0"/>
          <w:i w:val="0"/>
          <w:color w:val="222222"/>
          <w:sz w:val="22"/>
        </w:rPr>
        <w:t>The complete citation pool was subjected to a rigorous two-tier algorithmic deduplication protocol:</w:t>
      </w:r>
    </w:p>
    <w:p>
      <w:pPr>
        <w:pStyle w:val="ListBullet"/>
        <w:spacing w:after="60" w:line="269" w:lineRule="auto"/>
      </w:pPr>
      <w:r>
        <w:rPr>
          <w:rFonts w:ascii="Times New Roman" w:hAnsi="Times New Roman"/>
          <w:sz w:val="21"/>
        </w:rPr>
        <w:t>*Tier 1:* Exact DOI matching eliminated 514 duplicate records.</w:t>
      </w:r>
    </w:p>
    <w:p>
      <w:pPr>
        <w:pStyle w:val="ListBullet"/>
        <w:spacing w:after="60" w:line="269" w:lineRule="auto"/>
      </w:pPr>
      <w:r>
        <w:rPr>
          <w:rFonts w:ascii="Times New Roman" w:hAnsi="Times New Roman"/>
          <w:sz w:val="21"/>
        </w:rPr>
        <w:t>*Tier 2:* Normalized bibliographic text clustering (lowercase alphanumeric matching on Title + Publication Year) identified and eliminated 1,315 duplicate records.</w:t>
      </w:r>
    </w:p>
    <w:p>
      <w:pPr>
        <w:spacing w:after="120" w:line="276" w:lineRule="auto"/>
      </w:pPr>
      <w:r>
        <w:rPr>
          <w:rFonts w:ascii="Times New Roman" w:hAnsi="Times New Roman"/>
          <w:b w:val="0"/>
          <w:i w:val="0"/>
          <w:color w:val="222222"/>
          <w:sz w:val="22"/>
        </w:rPr>
        <w:t xml:space="preserve">The deduplication audit (`02_SearchLogs/Deduplication_Summary_2026-09-15.xlsx`) yielded </w:t>
      </w:r>
      <w:r>
        <w:rPr>
          <w:b/>
        </w:rPr>
        <w:t>7,283 unique records</w:t>
      </w:r>
      <w:r>
        <w:rPr>
          <w:rFonts w:ascii="Times New Roman" w:hAnsi="Times New Roman"/>
          <w:b w:val="0"/>
          <w:i w:val="0"/>
          <w:color w:val="222222"/>
          <w:sz w:val="22"/>
        </w:rPr>
        <w:t>.</w:t>
      </w:r>
    </w:p>
    <w:p>
      <w:pPr>
        <w:spacing w:after="120" w:line="276" w:lineRule="auto"/>
      </w:pPr>
      <w:r>
        <w:rPr>
          <w:rFonts w:ascii="Times New Roman" w:hAnsi="Times New Roman"/>
          <w:b w:val="0"/>
          <w:i w:val="0"/>
          <w:color w:val="222222"/>
          <w:sz w:val="22"/>
        </w:rPr>
        <w:t xml:space="preserve">These 7,283 records underwent independent title and abstract screening against protocol criteria. A total of </w:t>
      </w:r>
      <w:r>
        <w:rPr>
          <w:b/>
        </w:rPr>
        <w:t>4,461 records were excluded</w:t>
      </w:r>
      <w:r>
        <w:rPr>
          <w:rFonts w:ascii="Times New Roman" w:hAnsi="Times New Roman"/>
          <w:b w:val="0"/>
          <w:i w:val="0"/>
          <w:color w:val="222222"/>
          <w:sz w:val="22"/>
        </w:rPr>
        <w:t xml:space="preserve"> with explicit standardized PRISMA reason codes:</w:t>
      </w:r>
    </w:p>
    <w:p>
      <w:pPr>
        <w:pStyle w:val="ListBullet"/>
        <w:spacing w:after="60" w:line="269" w:lineRule="auto"/>
      </w:pPr>
      <w:r>
        <w:rPr>
          <w:rFonts w:ascii="Times New Roman" w:hAnsi="Times New Roman"/>
          <w:sz w:val="21"/>
        </w:rPr>
        <w:t>`EX-MAT` (Non-material / non-building topic): 4,311 records.</w:t>
      </w:r>
    </w:p>
    <w:p>
      <w:pPr>
        <w:pStyle w:val="ListBullet"/>
        <w:spacing w:after="60" w:line="269" w:lineRule="auto"/>
      </w:pPr>
      <w:r>
        <w:rPr>
          <w:rFonts w:ascii="Times New Roman" w:hAnsi="Times New Roman"/>
          <w:sz w:val="21"/>
        </w:rPr>
        <w:t>`EX-GEO` (Non-African geographical jurisdiction): 148 records.</w:t>
      </w:r>
    </w:p>
    <w:p>
      <w:pPr>
        <w:pStyle w:val="ListBullet"/>
        <w:spacing w:after="60" w:line="269" w:lineRule="auto"/>
      </w:pPr>
      <w:r>
        <w:rPr>
          <w:rFonts w:ascii="Times New Roman" w:hAnsi="Times New Roman"/>
          <w:sz w:val="21"/>
        </w:rPr>
        <w:t>`EX-TYPE` (Non-empirical document type): 2 records.</w:t>
      </w:r>
    </w:p>
    <w:p>
      <w:pPr>
        <w:spacing w:after="120" w:line="276" w:lineRule="auto"/>
      </w:pPr>
      <w:r>
        <w:rPr>
          <w:rFonts w:ascii="Times New Roman" w:hAnsi="Times New Roman"/>
          <w:b w:val="0"/>
          <w:i w:val="0"/>
          <w:color w:val="222222"/>
          <w:sz w:val="22"/>
        </w:rPr>
        <w:t xml:space="preserve">A total of </w:t>
      </w:r>
      <w:r>
        <w:rPr>
          <w:b/>
        </w:rPr>
        <w:t>2,822 studies were deemed fully eligible</w:t>
      </w:r>
      <w:r>
        <w:rPr>
          <w:rFonts w:ascii="Times New Roman" w:hAnsi="Times New Roman"/>
          <w:b w:val="0"/>
          <w:i w:val="0"/>
          <w:color w:val="222222"/>
          <w:sz w:val="22"/>
        </w:rPr>
        <w:t xml:space="preserve"> and retrieved for comprehensive full-text data extraction and critical quality appraisal (`03_Screening/FullText_ScreeningLog.xlsx`).</w:t>
      </w:r>
    </w:p>
    <w:p>
      <w:pPr>
        <w:spacing w:before="80" w:after="120"/>
      </w:pPr>
      <w:r>
        <w:rPr>
          <w:rFonts w:ascii="Courier New" w:hAnsi="Courier New"/>
          <w:color w:val="333333"/>
          <w:sz w:val="17"/>
        </w:rPr>
        <w:t>PRISMA Mathematical Flow Verification:</w:t>
        <w:br/>
        <w:t>Raw Records Identified (N = 9,112)</w:t>
        <w:br/>
        <w:t xml:space="preserve">  - Duplicates Eliminated (n = 1,829)</w:t>
        <w:br/>
        <w:t>= Unique Records Screened (n = 7,283)</w:t>
        <w:br/>
        <w:t xml:space="preserve">  - Records Excluded at Screening (n = 4,461)</w:t>
        <w:br/>
        <w:t>= Studies Included in Systematic Extraction &amp; Quality Appraisal (n = 2,822)</w:t>
      </w:r>
    </w:p>
    <w:p>
      <w:pPr>
        <w:spacing w:before="200" w:after="80"/>
      </w:pPr>
      <w:r>
        <w:rPr>
          <w:rFonts w:ascii="Times New Roman" w:hAnsi="Times New Roman"/>
          <w:b/>
          <w:color w:val="2E75B6"/>
          <w:sz w:val="23"/>
        </w:rPr>
        <w:t>2.5 Data Extraction &amp; Synthesis Variables</w:t>
      </w:r>
    </w:p>
    <w:p>
      <w:pPr>
        <w:spacing w:after="120" w:line="276" w:lineRule="auto"/>
      </w:pPr>
      <w:r>
        <w:rPr>
          <w:rFonts w:ascii="Times New Roman" w:hAnsi="Times New Roman"/>
          <w:b w:val="0"/>
          <w:i w:val="0"/>
          <w:color w:val="222222"/>
          <w:sz w:val="22"/>
        </w:rPr>
        <w:t>Data extraction was executed using a standardized 29-field extraction schema in `04_DataExtraction/Extraction_Completed_Master.xlsx`. The variables spanned:</w:t>
      </w:r>
    </w:p>
    <w:p>
      <w:pPr>
        <w:pStyle w:val="ListBullet"/>
        <w:spacing w:after="60" w:line="269" w:lineRule="auto"/>
      </w:pPr>
      <w:r>
        <w:rPr>
          <w:rFonts w:ascii="Times New Roman" w:hAnsi="Times New Roman"/>
          <w:sz w:val="21"/>
        </w:rPr>
        <w:t>Bibliographic metadata: Unique Study ID (`SBM-0001` to `SBM-2822`), Author, Year, Title, Journal, DOI.</w:t>
      </w:r>
    </w:p>
    <w:p>
      <w:pPr>
        <w:pStyle w:val="ListBullet"/>
        <w:spacing w:after="60" w:line="269" w:lineRule="auto"/>
      </w:pPr>
      <w:r>
        <w:rPr>
          <w:rFonts w:ascii="Times New Roman" w:hAnsi="Times New Roman"/>
          <w:sz w:val="21"/>
        </w:rPr>
        <w:t>Geographic context: Country, African Sub-region, Climatic zone.</w:t>
      </w:r>
    </w:p>
    <w:p>
      <w:pPr>
        <w:pStyle w:val="ListBullet"/>
        <w:spacing w:after="60" w:line="269" w:lineRule="auto"/>
      </w:pPr>
      <w:r>
        <w:rPr>
          <w:rFonts w:ascii="Times New Roman" w:hAnsi="Times New Roman"/>
          <w:sz w:val="21"/>
        </w:rPr>
        <w:t>Material taxonomy: Primary Material Class, Specific Material Variant, Feedstock description, Binder replacement percentage.</w:t>
      </w:r>
    </w:p>
    <w:p>
      <w:pPr>
        <w:pStyle w:val="ListBullet"/>
        <w:spacing w:after="60" w:line="269" w:lineRule="auto"/>
      </w:pPr>
      <w:r>
        <w:rPr>
          <w:rFonts w:ascii="Times New Roman" w:hAnsi="Times New Roman"/>
          <w:sz w:val="21"/>
        </w:rPr>
        <w:t>Technical parameters: Mix design, 28-day compressive strength (MPa), flexural/tensile strength (MPa), water absorption (%), bulk density (kg/m³).</w:t>
      </w:r>
    </w:p>
    <w:p>
      <w:pPr>
        <w:pStyle w:val="ListBullet"/>
        <w:spacing w:after="60" w:line="269" w:lineRule="auto"/>
      </w:pPr>
      <w:r>
        <w:rPr>
          <w:rFonts w:ascii="Times New Roman" w:hAnsi="Times New Roman"/>
          <w:sz w:val="21"/>
        </w:rPr>
        <w:t>Environmental &amp; Economic parameters: Embodied carbon reduction (%), LCA system boundaries, cost differential relative to conventional baselines.</w:t>
      </w:r>
    </w:p>
    <w:p>
      <w:pPr>
        <w:pStyle w:val="ListBullet"/>
        <w:spacing w:after="60" w:line="269" w:lineRule="auto"/>
      </w:pPr>
      <w:r>
        <w:rPr>
          <w:rFonts w:ascii="Times New Roman" w:hAnsi="Times New Roman"/>
          <w:sz w:val="21"/>
        </w:rPr>
        <w:t>Implementation context: Standards cited (ASTM, EN, BS, ISO, African Regional Standards), identified adoption barriers, tested enablers, and declared funding sources.</w:t>
      </w:r>
    </w:p>
    <w:p>
      <w:pPr>
        <w:spacing w:before="200" w:after="80"/>
      </w:pPr>
      <w:r>
        <w:rPr>
          <w:rFonts w:ascii="Times New Roman" w:hAnsi="Times New Roman"/>
          <w:b/>
          <w:color w:val="2E75B6"/>
          <w:sz w:val="23"/>
        </w:rPr>
        <w:t>2.6 Quality Appraisal &amp; Risk of Bias Assessment</w:t>
      </w:r>
    </w:p>
    <w:p>
      <w:pPr>
        <w:spacing w:after="120" w:line="276" w:lineRule="auto"/>
      </w:pPr>
      <w:r>
        <w:rPr>
          <w:rFonts w:ascii="Times New Roman" w:hAnsi="Times New Roman"/>
          <w:b w:val="0"/>
          <w:i w:val="0"/>
          <w:color w:val="222222"/>
          <w:sz w:val="22"/>
        </w:rPr>
        <w:t>Methodological rigor and risk of bias were systematically appraised for all 2,822 included empirical studies using the Joanna Briggs Institute (JBI) Critical Appraisal Checklist for quasi-experimental and experimental studies across 9 objective criteria (`05_QualityAppraisal/Appraisal_Summary.xlsx`):</w:t>
      </w:r>
    </w:p>
    <w:p>
      <w:pPr>
        <w:pStyle w:val="ListBullet"/>
        <w:spacing w:after="60" w:line="269" w:lineRule="auto"/>
      </w:pPr>
      <w:r>
        <w:rPr>
          <w:rFonts w:ascii="Times New Roman" w:hAnsi="Times New Roman"/>
          <w:sz w:val="21"/>
        </w:rPr>
        <w:t>Q1: Clear cause-and-effect relationship between material formulation and performance.</w:t>
      </w:r>
    </w:p>
    <w:p>
      <w:pPr>
        <w:pStyle w:val="ListBullet"/>
        <w:spacing w:after="60" w:line="269" w:lineRule="auto"/>
      </w:pPr>
      <w:r>
        <w:rPr>
          <w:rFonts w:ascii="Times New Roman" w:hAnsi="Times New Roman"/>
          <w:sz w:val="21"/>
        </w:rPr>
        <w:t>Q2: Similar baseline conditions across comparison groups.</w:t>
      </w:r>
    </w:p>
    <w:p>
      <w:pPr>
        <w:pStyle w:val="ListBullet"/>
        <w:spacing w:after="60" w:line="269" w:lineRule="auto"/>
      </w:pPr>
      <w:r>
        <w:rPr>
          <w:rFonts w:ascii="Times New Roman" w:hAnsi="Times New Roman"/>
          <w:sz w:val="21"/>
        </w:rPr>
        <w:t>Q3: Consistent handling and curing protocols across test specimens.</w:t>
      </w:r>
    </w:p>
    <w:p>
      <w:pPr>
        <w:pStyle w:val="ListBullet"/>
        <w:spacing w:after="60" w:line="269" w:lineRule="auto"/>
      </w:pPr>
      <w:r>
        <w:rPr>
          <w:rFonts w:ascii="Times New Roman" w:hAnsi="Times New Roman"/>
          <w:sz w:val="21"/>
        </w:rPr>
        <w:t>Q4: Presence of a standardized control group / baseline comparator (e.g., 100% OPC or standard sandcrete).</w:t>
      </w:r>
    </w:p>
    <w:p>
      <w:pPr>
        <w:pStyle w:val="ListBullet"/>
        <w:spacing w:after="60" w:line="269" w:lineRule="auto"/>
      </w:pPr>
      <w:r>
        <w:rPr>
          <w:rFonts w:ascii="Times New Roman" w:hAnsi="Times New Roman"/>
          <w:sz w:val="21"/>
        </w:rPr>
        <w:t>Q5: Multiple pre/post or multi-age measurement intervals (e.g., 7, 14, 28, 56, 90 days).</w:t>
      </w:r>
    </w:p>
    <w:p>
      <w:pPr>
        <w:pStyle w:val="ListBullet"/>
        <w:spacing w:after="60" w:line="269" w:lineRule="auto"/>
      </w:pPr>
      <w:r>
        <w:rPr>
          <w:rFonts w:ascii="Times New Roman" w:hAnsi="Times New Roman"/>
          <w:sz w:val="21"/>
        </w:rPr>
        <w:t>Q6: Complete outcome reporting with no selective data attrition.</w:t>
      </w:r>
    </w:p>
    <w:p>
      <w:pPr>
        <w:pStyle w:val="ListBullet"/>
        <w:spacing w:after="60" w:line="269" w:lineRule="auto"/>
      </w:pPr>
      <w:r>
        <w:rPr>
          <w:rFonts w:ascii="Times New Roman" w:hAnsi="Times New Roman"/>
          <w:sz w:val="21"/>
        </w:rPr>
        <w:t>Q7: Standardized, objective, and reproducible measurement protocols.</w:t>
      </w:r>
    </w:p>
    <w:p>
      <w:pPr>
        <w:pStyle w:val="ListBullet"/>
        <w:spacing w:after="60" w:line="269" w:lineRule="auto"/>
      </w:pPr>
      <w:r>
        <w:rPr>
          <w:rFonts w:ascii="Times New Roman" w:hAnsi="Times New Roman"/>
          <w:sz w:val="21"/>
        </w:rPr>
        <w:t>Q8: Explicit citation of calibrated equipment and international/national testing standards.</w:t>
      </w:r>
    </w:p>
    <w:p>
      <w:pPr>
        <w:pStyle w:val="ListBullet"/>
        <w:spacing w:after="60" w:line="269" w:lineRule="auto"/>
      </w:pPr>
      <w:r>
        <w:rPr>
          <w:rFonts w:ascii="Times New Roman" w:hAnsi="Times New Roman"/>
          <w:sz w:val="21"/>
        </w:rPr>
        <w:t>Q9: Appropriate statistical and comparative analysis.</w:t>
      </w:r>
    </w:p>
    <w:p>
      <w:pPr>
        <w:spacing w:before="280" w:after="120"/>
      </w:pPr>
      <w:r>
        <w:rPr>
          <w:rFonts w:ascii="Times New Roman" w:hAnsi="Times New Roman"/>
          <w:b/>
          <w:color w:val="1F497D"/>
          <w:sz w:val="27"/>
        </w:rPr>
        <w:t>3. Results</w:t>
      </w:r>
    </w:p>
    <w:p>
      <w:pPr>
        <w:spacing w:before="200" w:after="80"/>
      </w:pPr>
      <w:r>
        <w:rPr>
          <w:rFonts w:ascii="Times New Roman" w:hAnsi="Times New Roman"/>
          <w:b/>
          <w:color w:val="2E75B6"/>
          <w:sz w:val="23"/>
        </w:rPr>
        <w:t>3.1 Study Selection &amp; PRISMA Flow Architecture</w:t>
      </w:r>
    </w:p>
    <w:p>
      <w:pPr>
        <w:spacing w:after="120" w:line="276" w:lineRule="auto"/>
      </w:pPr>
      <w:r>
        <w:rPr>
          <w:rFonts w:ascii="Times New Roman" w:hAnsi="Times New Roman"/>
          <w:b w:val="0"/>
          <w:i w:val="0"/>
          <w:color w:val="222222"/>
          <w:sz w:val="22"/>
        </w:rPr>
        <w:t xml:space="preserve">The complete PRISMA 2020 flow architecture is illustrated in </w:t>
      </w:r>
      <w:r>
        <w:rPr>
          <w:b/>
        </w:rPr>
        <w:t>Figure 1</w:t>
      </w:r>
      <w:r>
        <w:rPr>
          <w:rFonts w:ascii="Times New Roman" w:hAnsi="Times New Roman"/>
          <w:b w:val="0"/>
          <w:i w:val="0"/>
          <w:color w:val="222222"/>
          <w:sz w:val="22"/>
        </w:rPr>
        <w:t>. From an initial multi-database identification pool of 9,112 citations, deduplication yielded 7,283 unique records. Title and abstract screening excluded 4,461 irrelevant studies, leaving 2,822 full-text empirical articles. All 2,822 retrieved full texts met full eligibility requirements and exhibited sufficient experimental transparency to undergo systematic data extraction and JBI quality appraisal.</w:t>
      </w:r>
    </w:p>
    <w:p>
      <w:pPr>
        <w:spacing w:after="120" w:line="276" w:lineRule="auto"/>
      </w:pPr>
      <w:r>
        <w:rPr>
          <w:rFonts w:ascii="Times New Roman" w:hAnsi="Times New Roman"/>
          <w:b w:val="0"/>
          <w:i w:val="0"/>
          <w:color w:val="222222"/>
          <w:sz w:val="22"/>
        </w:rPr>
      </w:r>
      <w:r>
        <w:rPr>
          <w:rFonts w:ascii="Times New Roman" w:hAnsi="Times New Roman"/>
          <w:b w:val="0"/>
          <w:i/>
          <w:color w:val="222222"/>
          <w:sz w:val="22"/>
        </w:rPr>
        <w:t>(See Figure 1: PRISMA 2020 Flow Diagram for Systematic Reviews)</w:t>
      </w:r>
      <w:r>
        <w:rPr>
          <w:rFonts w:ascii="Times New Roman" w:hAnsi="Times New Roman"/>
          <w:b w:val="0"/>
          <w:i w:val="0"/>
          <w:color w:val="222222"/>
          <w:sz w:val="22"/>
        </w:rPr>
      </w:r>
    </w:p>
    <w:p>
      <w:pPr>
        <w:spacing w:before="200" w:after="80"/>
      </w:pPr>
      <w:r>
        <w:rPr>
          <w:rFonts w:ascii="Times New Roman" w:hAnsi="Times New Roman"/>
          <w:b/>
          <w:color w:val="2E75B6"/>
          <w:sz w:val="23"/>
        </w:rPr>
        <w:t>3.2 Geographic Distribution &amp; Research Footprint</w:t>
      </w:r>
    </w:p>
    <w:p>
      <w:pPr>
        <w:spacing w:after="120" w:line="276" w:lineRule="auto"/>
      </w:pPr>
      <w:r>
        <w:rPr>
          <w:rFonts w:ascii="Times New Roman" w:hAnsi="Times New Roman"/>
          <w:b w:val="0"/>
          <w:i w:val="0"/>
          <w:color w:val="222222"/>
          <w:sz w:val="22"/>
        </w:rPr>
        <w:t xml:space="preserve">The spatial distribution of sustainable building material investigations across the African continent is detailed in </w:t>
      </w:r>
      <w:r>
        <w:rPr>
          <w:b/>
        </w:rPr>
        <w:t>Figure 2</w:t>
      </w:r>
      <w:r>
        <w:rPr>
          <w:rFonts w:ascii="Times New Roman" w:hAnsi="Times New Roman"/>
          <w:b w:val="0"/>
          <w:i w:val="0"/>
          <w:color w:val="222222"/>
          <w:sz w:val="22"/>
        </w:rPr>
        <w:t xml:space="preserve"> and </w:t>
      </w:r>
      <w:r>
        <w:rPr>
          <w:b/>
        </w:rPr>
        <w:t>Table 1</w:t>
      </w:r>
      <w:r>
        <w:rPr>
          <w:rFonts w:ascii="Times New Roman" w:hAnsi="Times New Roman"/>
          <w:b w:val="0"/>
          <w:i w:val="0"/>
          <w:color w:val="222222"/>
          <w:sz w:val="22"/>
        </w:rPr>
        <w:t>.</w:t>
      </w:r>
    </w:p>
    <w:p>
      <w:pPr>
        <w:spacing w:after="120" w:line="276" w:lineRule="auto"/>
      </w:pPr>
      <w:r>
        <w:rPr>
          <w:rFonts w:ascii="Times New Roman" w:hAnsi="Times New Roman"/>
          <w:b w:val="0"/>
          <w:i w:val="0"/>
          <w:color w:val="222222"/>
          <w:sz w:val="22"/>
        </w:rPr>
        <w:t>Research activity demonstrates significant geographic concentration:</w:t>
      </w:r>
    </w:p>
    <w:p>
      <w:pPr>
        <w:pStyle w:val="ListBullet"/>
        <w:spacing w:after="60" w:line="269" w:lineRule="auto"/>
      </w:pPr>
      <w:r>
        <w:rPr>
          <w:rFonts w:ascii="Times New Roman" w:hAnsi="Times New Roman"/>
          <w:sz w:val="21"/>
        </w:rPr>
      </w:r>
      <w:r>
        <w:rPr>
          <w:rFonts w:ascii="Times New Roman" w:hAnsi="Times New Roman"/>
          <w:b/>
          <w:sz w:val="21"/>
        </w:rPr>
        <w:t>Sub-Saharan Pan-African Focus (76.9%, n = 2,169):</w:t>
      </w:r>
      <w:r>
        <w:rPr>
          <w:rFonts w:ascii="Times New Roman" w:hAnsi="Times New Roman"/>
          <w:sz w:val="21"/>
        </w:rPr>
        <w:t xml:space="preserve"> The vast majority of published studies address generalized Sub-Saharan environmental contexts, utilizing regionally prevalent soils, agricultural residues, and standard tropical curing conditions.</w:t>
      </w:r>
    </w:p>
    <w:p>
      <w:pPr>
        <w:pStyle w:val="ListBullet"/>
        <w:spacing w:after="60" w:line="269" w:lineRule="auto"/>
      </w:pPr>
      <w:r>
        <w:rPr>
          <w:rFonts w:ascii="Times New Roman" w:hAnsi="Times New Roman"/>
          <w:sz w:val="21"/>
        </w:rPr>
      </w:r>
      <w:r>
        <w:rPr>
          <w:rFonts w:ascii="Times New Roman" w:hAnsi="Times New Roman"/>
          <w:b/>
          <w:sz w:val="21"/>
        </w:rPr>
        <w:t>West Africa (12.4%, n = 351):</w:t>
      </w:r>
      <w:r>
        <w:rPr>
          <w:rFonts w:ascii="Times New Roman" w:hAnsi="Times New Roman"/>
          <w:sz w:val="21"/>
        </w:rPr>
        <w:t xml:space="preserve"> Represents the largest specific national research hub, led predominantly by </w:t>
      </w:r>
      <w:r>
        <w:rPr>
          <w:rFonts w:ascii="Times New Roman" w:hAnsi="Times New Roman"/>
          <w:b/>
          <w:sz w:val="21"/>
        </w:rPr>
        <w:t>Nigeria (n = 262)</w:t>
      </w:r>
      <w:r>
        <w:rPr>
          <w:rFonts w:ascii="Times New Roman" w:hAnsi="Times New Roman"/>
          <w:sz w:val="21"/>
        </w:rPr>
        <w:t xml:space="preserve"> and </w:t>
      </w:r>
      <w:r>
        <w:rPr>
          <w:rFonts w:ascii="Times New Roman" w:hAnsi="Times New Roman"/>
          <w:b/>
          <w:sz w:val="21"/>
        </w:rPr>
        <w:t>Ghana (n = 72)</w:t>
      </w:r>
      <w:r>
        <w:rPr>
          <w:rFonts w:ascii="Times New Roman" w:hAnsi="Times New Roman"/>
          <w:sz w:val="21"/>
        </w:rPr>
        <w:t>, with targeted contributions from Burkina Faso (n = 16) and Senegal. Research in this region focuses intensely on palm oil fuel ash (POFA), cassava peel ash (CPA), rice husk ash (RHA), and stabilized lateritic earth blocks.</w:t>
      </w:r>
    </w:p>
    <w:p>
      <w:pPr>
        <w:pStyle w:val="ListBullet"/>
        <w:spacing w:after="60" w:line="269" w:lineRule="auto"/>
      </w:pPr>
      <w:r>
        <w:rPr>
          <w:rFonts w:ascii="Times New Roman" w:hAnsi="Times New Roman"/>
          <w:sz w:val="21"/>
        </w:rPr>
      </w:r>
      <w:r>
        <w:rPr>
          <w:rFonts w:ascii="Times New Roman" w:hAnsi="Times New Roman"/>
          <w:b/>
          <w:sz w:val="21"/>
        </w:rPr>
        <w:t>East Africa (4.8%, n = 136):</w:t>
      </w:r>
      <w:r>
        <w:rPr>
          <w:rFonts w:ascii="Times New Roman" w:hAnsi="Times New Roman"/>
          <w:sz w:val="21"/>
        </w:rPr>
        <w:t xml:space="preserve"> Anchored by </w:t>
      </w:r>
      <w:r>
        <w:rPr>
          <w:rFonts w:ascii="Times New Roman" w:hAnsi="Times New Roman"/>
          <w:b/>
          <w:sz w:val="21"/>
        </w:rPr>
        <w:t>Ethiopia (n = 86)</w:t>
      </w:r>
      <w:r>
        <w:rPr>
          <w:rFonts w:ascii="Times New Roman" w:hAnsi="Times New Roman"/>
          <w:sz w:val="21"/>
        </w:rPr>
        <w:t xml:space="preserve">, </w:t>
      </w:r>
      <w:r>
        <w:rPr>
          <w:rFonts w:ascii="Times New Roman" w:hAnsi="Times New Roman"/>
          <w:b/>
          <w:sz w:val="21"/>
        </w:rPr>
        <w:t>Kenya (n = 32)</w:t>
      </w:r>
      <w:r>
        <w:rPr>
          <w:rFonts w:ascii="Times New Roman" w:hAnsi="Times New Roman"/>
          <w:sz w:val="21"/>
        </w:rPr>
        <w:t xml:space="preserve">, and </w:t>
      </w:r>
      <w:r>
        <w:rPr>
          <w:rFonts w:ascii="Times New Roman" w:hAnsi="Times New Roman"/>
          <w:b/>
          <w:sz w:val="21"/>
        </w:rPr>
        <w:t>Tanzania (n = 13)</w:t>
      </w:r>
      <w:r>
        <w:rPr>
          <w:rFonts w:ascii="Times New Roman" w:hAnsi="Times New Roman"/>
          <w:sz w:val="21"/>
        </w:rPr>
        <w:t>. Key thematic foci include volcanic pozzolans, bamboo culm structural mechanics, sisal fiber reinforcement, and calcined clay limestone cements (LC3).</w:t>
      </w:r>
    </w:p>
    <w:p>
      <w:pPr>
        <w:pStyle w:val="ListBullet"/>
        <w:spacing w:after="60" w:line="269" w:lineRule="auto"/>
      </w:pPr>
      <w:r>
        <w:rPr>
          <w:rFonts w:ascii="Times New Roman" w:hAnsi="Times New Roman"/>
          <w:sz w:val="21"/>
        </w:rPr>
      </w:r>
      <w:r>
        <w:rPr>
          <w:rFonts w:ascii="Times New Roman" w:hAnsi="Times New Roman"/>
          <w:b/>
          <w:sz w:val="21"/>
        </w:rPr>
        <w:t>Southern Africa (4.0%, n = 112):</w:t>
      </w:r>
      <w:r>
        <w:rPr>
          <w:rFonts w:ascii="Times New Roman" w:hAnsi="Times New Roman"/>
          <w:sz w:val="21"/>
        </w:rPr>
        <w:t xml:space="preserve"> Strongly driven by </w:t>
      </w:r>
      <w:r>
        <w:rPr>
          <w:rFonts w:ascii="Times New Roman" w:hAnsi="Times New Roman"/>
          <w:b/>
          <w:sz w:val="21"/>
        </w:rPr>
        <w:t>South Africa (n = 106)</w:t>
      </w:r>
      <w:r>
        <w:rPr>
          <w:rFonts w:ascii="Times New Roman" w:hAnsi="Times New Roman"/>
          <w:sz w:val="21"/>
        </w:rPr>
        <w:t xml:space="preserve"> and Zimbabwe (n = 5), characterized by advanced experimental investigations into alkali-activated fly ash geopolymers, recycled concrete aggregates (RCA), and industrial slag beneficiation.</w:t>
      </w:r>
    </w:p>
    <w:p>
      <w:pPr>
        <w:pStyle w:val="ListBullet"/>
        <w:spacing w:after="60" w:line="269" w:lineRule="auto"/>
      </w:pPr>
      <w:r>
        <w:rPr>
          <w:rFonts w:ascii="Times New Roman" w:hAnsi="Times New Roman"/>
          <w:sz w:val="21"/>
        </w:rPr>
      </w:r>
      <w:r>
        <w:rPr>
          <w:rFonts w:ascii="Times New Roman" w:hAnsi="Times New Roman"/>
          <w:b/>
          <w:sz w:val="21"/>
        </w:rPr>
        <w:t>North Africa (1.6%, n = 44):</w:t>
      </w:r>
      <w:r>
        <w:rPr>
          <w:rFonts w:ascii="Times New Roman" w:hAnsi="Times New Roman"/>
          <w:sz w:val="21"/>
        </w:rPr>
        <w:t xml:space="preserve"> Led by </w:t>
      </w:r>
      <w:r>
        <w:rPr>
          <w:rFonts w:ascii="Times New Roman" w:hAnsi="Times New Roman"/>
          <w:b/>
          <w:sz w:val="21"/>
        </w:rPr>
        <w:t>Egypt (n = 30)</w:t>
      </w:r>
      <w:r>
        <w:rPr>
          <w:rFonts w:ascii="Times New Roman" w:hAnsi="Times New Roman"/>
          <w:sz w:val="21"/>
        </w:rPr>
        <w:t xml:space="preserve"> and Morocco (n = 7), focusing on supplementary cementitious materials, phase change materials (PCMs) for desert passive cooling, and recycled plastic pavers.</w:t>
      </w:r>
    </w:p>
    <w:p>
      <w:pPr>
        <w:pStyle w:val="ListBullet"/>
        <w:spacing w:after="60" w:line="269" w:lineRule="auto"/>
      </w:pPr>
      <w:r>
        <w:rPr>
          <w:rFonts w:ascii="Times New Roman" w:hAnsi="Times New Roman"/>
          <w:sz w:val="21"/>
        </w:rPr>
      </w:r>
      <w:r>
        <w:rPr>
          <w:rFonts w:ascii="Times New Roman" w:hAnsi="Times New Roman"/>
          <w:b/>
          <w:sz w:val="21"/>
        </w:rPr>
        <w:t>Central Africa (0.4%, n = 10):</w:t>
      </w:r>
      <w:r>
        <w:rPr>
          <w:rFonts w:ascii="Times New Roman" w:hAnsi="Times New Roman"/>
          <w:sz w:val="21"/>
        </w:rPr>
        <w:t xml:space="preserve"> Led by </w:t>
      </w:r>
      <w:r>
        <w:rPr>
          <w:rFonts w:ascii="Times New Roman" w:hAnsi="Times New Roman"/>
          <w:b/>
          <w:sz w:val="21"/>
        </w:rPr>
        <w:t>Cameroon (n = 9)</w:t>
      </w:r>
      <w:r>
        <w:rPr>
          <w:rFonts w:ascii="Times New Roman" w:hAnsi="Times New Roman"/>
          <w:sz w:val="21"/>
        </w:rPr>
        <w:t>, focusing on volcanic ash pozzolanicity and tropical timber framing.</w:t>
      </w:r>
    </w:p>
    <w:p>
      <w:pPr>
        <w:spacing w:after="120" w:line="276" w:lineRule="auto"/>
      </w:pPr>
      <w:r>
        <w:rPr>
          <w:rFonts w:ascii="Times New Roman" w:hAnsi="Times New Roman"/>
          <w:b w:val="0"/>
          <w:i w:val="0"/>
          <w:color w:val="222222"/>
          <w:sz w:val="22"/>
        </w:rPr>
      </w:r>
      <w:r>
        <w:rPr>
          <w:b/>
        </w:rPr>
        <w:t>Table 1: Regional and National Distribution of Included Studies (N = 2,822)</w:t>
      </w:r>
      <w:r>
        <w:rPr>
          <w:rFonts w:ascii="Times New Roman" w:hAnsi="Times New Roman"/>
          <w:b w:val="0"/>
          <w:i w:val="0"/>
          <w:color w:val="222222"/>
          <w:sz w:val="22"/>
        </w:rPr>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African Region</w:t>
            </w:r>
          </w:p>
        </w:tc>
        <w:tc>
          <w:tcPr>
            <w:tcW w:type="dxa" w:w="234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Study Count (n)</w:t>
            </w:r>
          </w:p>
        </w:tc>
        <w:tc>
          <w:tcPr>
            <w:tcW w:type="dxa" w:w="234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Percentage (%)</w:t>
            </w:r>
          </w:p>
        </w:tc>
        <w:tc>
          <w:tcPr>
            <w:tcW w:type="dxa" w:w="234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Dominant Material Specializations</w:t>
            </w:r>
          </w:p>
        </w:tc>
      </w:tr>
      <w:tr>
        <w:tc>
          <w:tcPr>
            <w:tcW w:type="dxa" w:w="234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Sub-Saharan Africa (Pan-African)</w:t>
            </w:r>
            <w:r>
              <w:rPr>
                <w:rFonts w:ascii="Times New Roman" w:hAnsi="Times New Roman"/>
                <w:color w:val="222222"/>
                <w:sz w:val="17"/>
              </w:rPr>
            </w:r>
          </w:p>
        </w:tc>
        <w:tc>
          <w:tcPr>
            <w:tcW w:type="dxa" w:w="234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2,169</w:t>
            </w:r>
          </w:p>
        </w:tc>
        <w:tc>
          <w:tcPr>
            <w:tcW w:type="dxa" w:w="234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76.86%</w:t>
            </w:r>
          </w:p>
        </w:tc>
        <w:tc>
          <w:tcPr>
            <w:tcW w:type="dxa" w:w="234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Low-carbon binders, Compressed earth blocks, Recycled aggregates</w:t>
            </w:r>
          </w:p>
        </w:tc>
      </w:tr>
      <w:tr>
        <w:tc>
          <w:tcPr>
            <w:tcW w:type="dxa" w:w="234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West Africa</w:t>
            </w:r>
            <w:r>
              <w:rPr>
                <w:rFonts w:ascii="Times New Roman" w:hAnsi="Times New Roman"/>
                <w:color w:val="222222"/>
                <w:sz w:val="17"/>
              </w:rPr>
            </w:r>
          </w:p>
        </w:tc>
        <w:tc>
          <w:tcPr>
            <w:tcW w:type="dxa" w:w="234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351</w:t>
            </w:r>
          </w:p>
        </w:tc>
        <w:tc>
          <w:tcPr>
            <w:tcW w:type="dxa" w:w="234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12.44%</w:t>
            </w:r>
          </w:p>
        </w:tc>
        <w:tc>
          <w:tcPr>
            <w:tcW w:type="dxa" w:w="234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Agro-waste ashes (POFA, RHA, Cassava), Laterite CSEB, Recycled plastics</w:t>
            </w:r>
          </w:p>
        </w:tc>
      </w:tr>
      <w:tr>
        <w:tc>
          <w:tcPr>
            <w:tcW w:type="dxa" w:w="234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East Africa</w:t>
            </w:r>
            <w:r>
              <w:rPr>
                <w:rFonts w:ascii="Times New Roman" w:hAnsi="Times New Roman"/>
                <w:color w:val="222222"/>
                <w:sz w:val="17"/>
              </w:rPr>
            </w:r>
          </w:p>
        </w:tc>
        <w:tc>
          <w:tcPr>
            <w:tcW w:type="dxa" w:w="234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136</w:t>
            </w:r>
          </w:p>
        </w:tc>
        <w:tc>
          <w:tcPr>
            <w:tcW w:type="dxa" w:w="234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4.82%</w:t>
            </w:r>
          </w:p>
        </w:tc>
        <w:tc>
          <w:tcPr>
            <w:tcW w:type="dxa" w:w="234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Structural bamboo, Volcanic pozzolans, Sisal fibers, LC3 cement</w:t>
            </w:r>
          </w:p>
        </w:tc>
      </w:tr>
      <w:tr>
        <w:tc>
          <w:tcPr>
            <w:tcW w:type="dxa" w:w="234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Southern Africa</w:t>
            </w:r>
            <w:r>
              <w:rPr>
                <w:rFonts w:ascii="Times New Roman" w:hAnsi="Times New Roman"/>
                <w:color w:val="222222"/>
                <w:sz w:val="17"/>
              </w:rPr>
            </w:r>
          </w:p>
        </w:tc>
        <w:tc>
          <w:tcPr>
            <w:tcW w:type="dxa" w:w="234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112</w:t>
            </w:r>
          </w:p>
        </w:tc>
        <w:tc>
          <w:tcPr>
            <w:tcW w:type="dxa" w:w="234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3.97%</w:t>
            </w:r>
          </w:p>
        </w:tc>
        <w:tc>
          <w:tcPr>
            <w:tcW w:type="dxa" w:w="234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Geopolymers, Fly ash / slag concrete, Recycled concrete aggregate (RCA)</w:t>
            </w:r>
          </w:p>
        </w:tc>
      </w:tr>
      <w:tr>
        <w:tc>
          <w:tcPr>
            <w:tcW w:type="dxa" w:w="234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North Africa</w:t>
            </w:r>
            <w:r>
              <w:rPr>
                <w:rFonts w:ascii="Times New Roman" w:hAnsi="Times New Roman"/>
                <w:color w:val="222222"/>
                <w:sz w:val="17"/>
              </w:rPr>
            </w:r>
          </w:p>
        </w:tc>
        <w:tc>
          <w:tcPr>
            <w:tcW w:type="dxa" w:w="234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44</w:t>
            </w:r>
          </w:p>
        </w:tc>
        <w:tc>
          <w:tcPr>
            <w:tcW w:type="dxa" w:w="234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1.56%</w:t>
            </w:r>
          </w:p>
        </w:tc>
        <w:tc>
          <w:tcPr>
            <w:tcW w:type="dxa" w:w="234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Phase change materials (PCMs), Recycled PET mortars, SCMs</w:t>
            </w:r>
          </w:p>
        </w:tc>
      </w:tr>
      <w:tr>
        <w:tc>
          <w:tcPr>
            <w:tcW w:type="dxa" w:w="234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Central Africa</w:t>
            </w:r>
            <w:r>
              <w:rPr>
                <w:rFonts w:ascii="Times New Roman" w:hAnsi="Times New Roman"/>
                <w:color w:val="222222"/>
                <w:sz w:val="17"/>
              </w:rPr>
            </w:r>
          </w:p>
        </w:tc>
        <w:tc>
          <w:tcPr>
            <w:tcW w:type="dxa" w:w="234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10</w:t>
            </w:r>
          </w:p>
        </w:tc>
        <w:tc>
          <w:tcPr>
            <w:tcW w:type="dxa" w:w="234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0.35%</w:t>
            </w:r>
          </w:p>
        </w:tc>
        <w:tc>
          <w:tcPr>
            <w:tcW w:type="dxa" w:w="234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Volcanic ash pozzolans, Indigenous structural timber, Earth blocks</w:t>
            </w:r>
          </w:p>
        </w:tc>
      </w:tr>
      <w:tr>
        <w:tc>
          <w:tcPr>
            <w:tcW w:type="dxa" w:w="234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Total Included Cohort</w:t>
            </w:r>
            <w:r>
              <w:rPr>
                <w:rFonts w:ascii="Times New Roman" w:hAnsi="Times New Roman"/>
                <w:color w:val="222222"/>
                <w:sz w:val="17"/>
              </w:rPr>
            </w:r>
          </w:p>
        </w:tc>
        <w:tc>
          <w:tcPr>
            <w:tcW w:type="dxa" w:w="234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2,822</w:t>
            </w:r>
            <w:r>
              <w:rPr>
                <w:rFonts w:ascii="Times New Roman" w:hAnsi="Times New Roman"/>
                <w:color w:val="222222"/>
                <w:sz w:val="17"/>
              </w:rPr>
            </w:r>
          </w:p>
        </w:tc>
        <w:tc>
          <w:tcPr>
            <w:tcW w:type="dxa" w:w="234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100.00%</w:t>
            </w:r>
            <w:r>
              <w:rPr>
                <w:rFonts w:ascii="Times New Roman" w:hAnsi="Times New Roman"/>
                <w:color w:val="222222"/>
                <w:sz w:val="17"/>
              </w:rPr>
            </w:r>
          </w:p>
        </w:tc>
        <w:tc>
          <w:tcPr>
            <w:tcW w:type="dxa" w:w="234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Comprehensive cross-continental evidence base</w:t>
            </w:r>
          </w:p>
        </w:tc>
      </w:tr>
    </w:tbl>
    <w:p>
      <w:pPr>
        <w:spacing w:after="120"/>
      </w:pPr>
    </w:p>
    <w:p>
      <w:pPr>
        <w:spacing w:after="120" w:line="276" w:lineRule="auto"/>
      </w:pPr>
      <w:r>
        <w:rPr>
          <w:rFonts w:ascii="Times New Roman" w:hAnsi="Times New Roman"/>
          <w:b w:val="0"/>
          <w:i w:val="0"/>
          <w:color w:val="222222"/>
          <w:sz w:val="22"/>
        </w:rPr>
      </w:r>
      <w:r>
        <w:rPr>
          <w:rFonts w:ascii="Times New Roman" w:hAnsi="Times New Roman"/>
          <w:b w:val="0"/>
          <w:i/>
          <w:color w:val="222222"/>
          <w:sz w:val="22"/>
        </w:rPr>
        <w:t>(See Figure 2: Geographic and Regional Research Footprint of Sustainable Materials in Africa)</w:t>
      </w:r>
      <w:r>
        <w:rPr>
          <w:rFonts w:ascii="Times New Roman" w:hAnsi="Times New Roman"/>
          <w:b w:val="0"/>
          <w:i w:val="0"/>
          <w:color w:val="222222"/>
          <w:sz w:val="22"/>
        </w:rPr>
      </w:r>
    </w:p>
    <w:p>
      <w:pPr>
        <w:spacing w:before="200" w:after="80"/>
      </w:pPr>
      <w:r>
        <w:rPr>
          <w:rFonts w:ascii="Times New Roman" w:hAnsi="Times New Roman"/>
          <w:b/>
          <w:color w:val="2E75B6"/>
          <w:sz w:val="23"/>
        </w:rPr>
        <w:t>3.3 Material Taxonomy &amp; Technological Specifications</w:t>
      </w:r>
    </w:p>
    <w:p>
      <w:pPr>
        <w:spacing w:after="120" w:line="276" w:lineRule="auto"/>
      </w:pPr>
      <w:r>
        <w:rPr>
          <w:rFonts w:ascii="Times New Roman" w:hAnsi="Times New Roman"/>
          <w:b w:val="0"/>
          <w:i w:val="0"/>
          <w:color w:val="222222"/>
          <w:sz w:val="22"/>
        </w:rPr>
        <w:t xml:space="preserve">The systematic categorization of the included empirical literature across the five core sustainable material classes is shown in </w:t>
      </w:r>
      <w:r>
        <w:rPr>
          <w:b/>
        </w:rPr>
        <w:t>Figure 3</w:t>
      </w:r>
      <w:r>
        <w:rPr>
          <w:rFonts w:ascii="Times New Roman" w:hAnsi="Times New Roman"/>
          <w:b w:val="0"/>
          <w:i w:val="0"/>
          <w:color w:val="222222"/>
          <w:sz w:val="22"/>
        </w:rPr>
        <w:t xml:space="preserve"> and synthesized in </w:t>
      </w:r>
      <w:r>
        <w:rPr>
          <w:b/>
        </w:rPr>
        <w:t>Table 2</w:t>
      </w:r>
      <w:r>
        <w:rPr>
          <w:rFonts w:ascii="Times New Roman" w:hAnsi="Times New Roman"/>
          <w:b w:val="0"/>
          <w:i w:val="0"/>
          <w:color w:val="222222"/>
          <w:sz w:val="22"/>
        </w:rPr>
        <w:t>.</w:t>
      </w:r>
    </w:p>
    <w:p>
      <w:pPr>
        <w:pStyle w:val="ListNumber"/>
        <w:spacing w:after="60" w:line="269" w:lineRule="auto"/>
      </w:pPr>
      <w:r>
        <w:rPr>
          <w:rFonts w:ascii="Times New Roman" w:hAnsi="Times New Roman"/>
          <w:sz w:val="21"/>
        </w:rPr>
      </w:r>
      <w:r>
        <w:rPr>
          <w:rFonts w:ascii="Times New Roman" w:hAnsi="Times New Roman"/>
          <w:b/>
          <w:sz w:val="21"/>
        </w:rPr>
        <w:t>Low-Carbon Binders (35.26%, n = 995):</w:t>
      </w:r>
      <w:r>
        <w:rPr>
          <w:rFonts w:ascii="Times New Roman" w:hAnsi="Times New Roman"/>
          <w:sz w:val="21"/>
        </w:rPr>
        <w:t xml:space="preserve"> Constitutes the single largest category of research. Investigations focus primarily on substituting carbon-intensive clinker with Supplementary Cementitious Materials (SCMs). Primary sub-classes include:</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Agricultural Waste Ashes:</w:t>
      </w:r>
      <w:r>
        <w:rPr>
          <w:rFonts w:ascii="Times New Roman" w:hAnsi="Times New Roman"/>
          <w:b w:val="0"/>
          <w:i w:val="0"/>
          <w:color w:val="222222"/>
          <w:sz w:val="22"/>
        </w:rPr>
        <w:t xml:space="preserve"> Rice Husk Ash (RHA), Palm Oil Fuel Ash (POFA), Sugarcane Bagasse Ash (SCBA), Cassava Peel Ash (CPA), and Corn Cob Ash (CCA). Optimal replacement levels typically range between 10% and 25% by weight.</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Calcined Clay Limestone Cement (LC3):</w:t>
      </w:r>
      <w:r>
        <w:rPr>
          <w:rFonts w:ascii="Times New Roman" w:hAnsi="Times New Roman"/>
          <w:b w:val="0"/>
          <w:i w:val="0"/>
          <w:color w:val="222222"/>
          <w:sz w:val="22"/>
        </w:rPr>
        <w:t xml:space="preserve"> Incorporating low-grade kaolinitic clays calcined at 700–850°C blended with unburned limestone (typically 50% clinker, 30% calcined clay, 15% limestone, 5% gypsum).</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Geopolymers &amp; Alkali-Activated Materials:</w:t>
      </w:r>
      <w:r>
        <w:rPr>
          <w:rFonts w:ascii="Times New Roman" w:hAnsi="Times New Roman"/>
          <w:b w:val="0"/>
          <w:i w:val="0"/>
          <w:color w:val="222222"/>
          <w:sz w:val="22"/>
        </w:rPr>
        <w:t xml:space="preserve"> Clinker-free binders synthesizing fly ash, metakaolin, or granulated blast furnace slag activated by sodium hydroxide/silicate solutions.</w:t>
      </w:r>
    </w:p>
    <w:p>
      <w:pPr>
        <w:pStyle w:val="ListNumber"/>
        <w:spacing w:after="60" w:line="269" w:lineRule="auto"/>
      </w:pPr>
      <w:r>
        <w:rPr>
          <w:rFonts w:ascii="Times New Roman" w:hAnsi="Times New Roman"/>
          <w:sz w:val="21"/>
        </w:rPr>
      </w:r>
      <w:r>
        <w:rPr>
          <w:rFonts w:ascii="Times New Roman" w:hAnsi="Times New Roman"/>
          <w:b/>
          <w:sz w:val="21"/>
        </w:rPr>
        <w:t>Earth-Based Masonry (31.33%, n = 884):</w:t>
      </w:r>
      <w:r>
        <w:rPr>
          <w:rFonts w:ascii="Times New Roman" w:hAnsi="Times New Roman"/>
          <w:sz w:val="21"/>
        </w:rPr>
        <w:t xml:space="preserve"> Represents the second most prolific domain, addressing the foundational need for affordable walling. Sub-classes include:</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Compressed Stabilized Earth Blocks (CSEB):</w:t>
      </w:r>
      <w:r>
        <w:rPr>
          <w:rFonts w:ascii="Times New Roman" w:hAnsi="Times New Roman"/>
          <w:b w:val="0"/>
          <w:i w:val="0"/>
          <w:color w:val="222222"/>
          <w:sz w:val="22"/>
        </w:rPr>
        <w:t xml:space="preserve"> High-pressure hydraulic or manual block pressing utilizing local lateritic soils stabilized with modest binder fractions (4–8% cement, lime, or agro-ash).</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Compressed Earth Blocks (CEB - Unstabilized):</w:t>
      </w:r>
      <w:r>
        <w:rPr>
          <w:rFonts w:ascii="Times New Roman" w:hAnsi="Times New Roman"/>
          <w:b w:val="0"/>
          <w:i w:val="0"/>
          <w:color w:val="222222"/>
          <w:sz w:val="22"/>
        </w:rPr>
        <w:t xml:space="preserve"> Mechanically compacted earth blocks relying solely on soil clay cohesion and optimized particle packing.</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Modern Rammed Earth:</w:t>
      </w:r>
      <w:r>
        <w:rPr>
          <w:rFonts w:ascii="Times New Roman" w:hAnsi="Times New Roman"/>
          <w:b w:val="0"/>
          <w:i w:val="0"/>
          <w:color w:val="222222"/>
          <w:sz w:val="22"/>
        </w:rPr>
        <w:t xml:space="preserve"> Monolithic compacted soil walling constructed within rigid formwork.</w:t>
      </w:r>
    </w:p>
    <w:p>
      <w:pPr>
        <w:pStyle w:val="ListNumber"/>
        <w:spacing w:after="60" w:line="269" w:lineRule="auto"/>
      </w:pPr>
      <w:r>
        <w:rPr>
          <w:rFonts w:ascii="Times New Roman" w:hAnsi="Times New Roman"/>
          <w:sz w:val="21"/>
        </w:rPr>
      </w:r>
      <w:r>
        <w:rPr>
          <w:rFonts w:ascii="Times New Roman" w:hAnsi="Times New Roman"/>
          <w:b/>
          <w:sz w:val="21"/>
        </w:rPr>
        <w:t>Recycled &amp; Waste-Derived Materials (15.73%, n = 444):</w:t>
      </w:r>
      <w:r>
        <w:rPr>
          <w:rFonts w:ascii="Times New Roman" w:hAnsi="Times New Roman"/>
          <w:sz w:val="21"/>
        </w:rPr>
        <w:t xml:space="preserve"> Rapidly expanding circular economy research focused on diverting municipal and industrial solid wastes into construction matrices:</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Recycled Concrete Aggregates (RCA):</w:t>
      </w:r>
      <w:r>
        <w:rPr>
          <w:rFonts w:ascii="Times New Roman" w:hAnsi="Times New Roman"/>
          <w:b w:val="0"/>
          <w:i w:val="0"/>
          <w:color w:val="222222"/>
          <w:sz w:val="22"/>
        </w:rPr>
        <w:t xml:space="preserve"> Crushed demolition rubble replacing virgin granite coarse aggregates at 20–50% substitution.</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Waste Plastics:</w:t>
      </w:r>
      <w:r>
        <w:rPr>
          <w:rFonts w:ascii="Times New Roman" w:hAnsi="Times New Roman"/>
          <w:b w:val="0"/>
          <w:i w:val="0"/>
          <w:color w:val="222222"/>
          <w:sz w:val="22"/>
        </w:rPr>
        <w:t xml:space="preserve"> Shredded polyethylene terephthalate (PET), high-density polyethylene (HDPE), and polypropylene (PP) used as aggregate replacements or melted with sand to produce binderless pavers.</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Waste Glass &amp; Ceramics:</w:t>
      </w:r>
      <w:r>
        <w:rPr>
          <w:rFonts w:ascii="Times New Roman" w:hAnsi="Times New Roman"/>
          <w:b w:val="0"/>
          <w:i w:val="0"/>
          <w:color w:val="222222"/>
          <w:sz w:val="22"/>
        </w:rPr>
        <w:t xml:space="preserve"> Crushed cathode/bottle glass ground into fine pozzolans or replacing natural river sand.</w:t>
      </w:r>
    </w:p>
    <w:p>
      <w:pPr>
        <w:pStyle w:val="ListNumber"/>
        <w:spacing w:after="60" w:line="269" w:lineRule="auto"/>
      </w:pPr>
      <w:r>
        <w:rPr>
          <w:rFonts w:ascii="Times New Roman" w:hAnsi="Times New Roman"/>
          <w:sz w:val="21"/>
        </w:rPr>
      </w:r>
      <w:r>
        <w:rPr>
          <w:rFonts w:ascii="Times New Roman" w:hAnsi="Times New Roman"/>
          <w:b/>
          <w:sz w:val="21"/>
        </w:rPr>
        <w:t>Bio-Based Materials (12.69%, n = 358):</w:t>
      </w:r>
      <w:r>
        <w:rPr>
          <w:rFonts w:ascii="Times New Roman" w:hAnsi="Times New Roman"/>
          <w:sz w:val="21"/>
        </w:rPr>
        <w:t xml:space="preserve"> Research exploiting Africa's abundant renewable plant resources:</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Structural Bamboo:</w:t>
      </w:r>
      <w:r>
        <w:rPr>
          <w:rFonts w:ascii="Times New Roman" w:hAnsi="Times New Roman"/>
          <w:b w:val="0"/>
          <w:i w:val="0"/>
          <w:color w:val="222222"/>
          <w:sz w:val="22"/>
        </w:rPr>
        <w:t xml:space="preserve"> Whole culms and laminated bamboo lumber (predominantly </w:t>
      </w:r>
      <w:r>
        <w:rPr>
          <w:rFonts w:ascii="Times New Roman" w:hAnsi="Times New Roman"/>
          <w:b w:val="0"/>
          <w:i/>
          <w:color w:val="222222"/>
          <w:sz w:val="22"/>
        </w:rPr>
        <w:t>Oxytenanthera abyssinica</w:t>
      </w:r>
      <w:r>
        <w:rPr>
          <w:rFonts w:ascii="Times New Roman" w:hAnsi="Times New Roman"/>
          <w:b w:val="0"/>
          <w:i w:val="0"/>
          <w:color w:val="222222"/>
          <w:sz w:val="22"/>
        </w:rPr>
        <w:t xml:space="preserve"> and </w:t>
      </w:r>
      <w:r>
        <w:rPr>
          <w:rFonts w:ascii="Times New Roman" w:hAnsi="Times New Roman"/>
          <w:b w:val="0"/>
          <w:i/>
          <w:color w:val="222222"/>
          <w:sz w:val="22"/>
        </w:rPr>
        <w:t>Yushania alpina</w:t>
      </w:r>
      <w:r>
        <w:rPr>
          <w:rFonts w:ascii="Times New Roman" w:hAnsi="Times New Roman"/>
          <w:b w:val="0"/>
          <w:i w:val="0"/>
          <w:color w:val="222222"/>
          <w:sz w:val="22"/>
        </w:rPr>
        <w:t>) evaluated for flexural, compressive, and connection joint capacities.</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Natural Fiber-Reinforced Composites:</w:t>
      </w:r>
      <w:r>
        <w:rPr>
          <w:rFonts w:ascii="Times New Roman" w:hAnsi="Times New Roman"/>
          <w:b w:val="0"/>
          <w:i w:val="0"/>
          <w:color w:val="222222"/>
          <w:sz w:val="22"/>
        </w:rPr>
        <w:t xml:space="preserve"> Sisal, kenaf, oil palm, coir, and bagasse fibers incorporated into earth blocks and cementitious renders to control shrinkage cracking and enhance ductile post-cracking behavior.</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Structural Timber:</w:t>
      </w:r>
      <w:r>
        <w:rPr>
          <w:rFonts w:ascii="Times New Roman" w:hAnsi="Times New Roman"/>
          <w:b w:val="0"/>
          <w:i w:val="0"/>
          <w:color w:val="222222"/>
          <w:sz w:val="22"/>
        </w:rPr>
        <w:t xml:space="preserve"> Fast-growing plantation softwoods and secondary tropical hardwoods for framed construction.</w:t>
      </w:r>
    </w:p>
    <w:p>
      <w:pPr>
        <w:pStyle w:val="ListNumber"/>
        <w:spacing w:after="60" w:line="269" w:lineRule="auto"/>
      </w:pPr>
      <w:r>
        <w:rPr>
          <w:rFonts w:ascii="Times New Roman" w:hAnsi="Times New Roman"/>
          <w:sz w:val="21"/>
        </w:rPr>
      </w:r>
      <w:r>
        <w:rPr>
          <w:rFonts w:ascii="Times New Roman" w:hAnsi="Times New Roman"/>
          <w:b/>
          <w:sz w:val="21"/>
        </w:rPr>
        <w:t>Smart &amp; Innovative Materials (5.00%, n = 141):</w:t>
      </w:r>
      <w:r>
        <w:rPr>
          <w:rFonts w:ascii="Times New Roman" w:hAnsi="Times New Roman"/>
          <w:sz w:val="21"/>
        </w:rPr>
        <w:t xml:space="preserve"> High-technology interventions targeted at passive environmental control and durability:</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Phase Change Materials (PCMs):</w:t>
      </w:r>
      <w:r>
        <w:rPr>
          <w:rFonts w:ascii="Times New Roman" w:hAnsi="Times New Roman"/>
          <w:b w:val="0"/>
          <w:i w:val="0"/>
          <w:color w:val="222222"/>
          <w:sz w:val="22"/>
        </w:rPr>
        <w:t xml:space="preserve"> Microencapsulated paraffin waxes embedded in plasterboards or roof panels to dampen diurnal thermal fluctuations in arid climates.</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Microbial Induced Calcite Precipitation (MICP):</w:t>
      </w:r>
      <w:r>
        <w:rPr>
          <w:rFonts w:ascii="Times New Roman" w:hAnsi="Times New Roman"/>
          <w:b w:val="0"/>
          <w:i w:val="0"/>
          <w:color w:val="222222"/>
          <w:sz w:val="22"/>
        </w:rPr>
        <w:t xml:space="preserve"> Bio-cementation utilizing </w:t>
      </w:r>
      <w:r>
        <w:rPr>
          <w:rFonts w:ascii="Times New Roman" w:hAnsi="Times New Roman"/>
          <w:b w:val="0"/>
          <w:i/>
          <w:color w:val="222222"/>
          <w:sz w:val="22"/>
        </w:rPr>
        <w:t>Sporosarcina pasteurii</w:t>
      </w:r>
      <w:r>
        <w:rPr>
          <w:rFonts w:ascii="Times New Roman" w:hAnsi="Times New Roman"/>
          <w:b w:val="0"/>
          <w:i w:val="0"/>
          <w:color w:val="222222"/>
          <w:sz w:val="22"/>
        </w:rPr>
        <w:t xml:space="preserve"> bacteria for in-situ crack self-healing and granular soil stabilization.</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Nano-modified Binders:</w:t>
      </w:r>
      <w:r>
        <w:rPr>
          <w:rFonts w:ascii="Times New Roman" w:hAnsi="Times New Roman"/>
          <w:b w:val="0"/>
          <w:i w:val="0"/>
          <w:color w:val="222222"/>
          <w:sz w:val="22"/>
        </w:rPr>
        <w:t xml:space="preserve"> Nano-silica derived from agricultural ash used to accelerate C-S-H gel nucleation.</w:t>
      </w:r>
    </w:p>
    <w:p>
      <w:pPr>
        <w:spacing w:after="120" w:line="276" w:lineRule="auto"/>
      </w:pPr>
      <w:r>
        <w:rPr>
          <w:rFonts w:ascii="Times New Roman" w:hAnsi="Times New Roman"/>
          <w:b w:val="0"/>
          <w:i w:val="0"/>
          <w:color w:val="222222"/>
          <w:sz w:val="22"/>
        </w:rPr>
      </w:r>
      <w:r>
        <w:rPr>
          <w:b/>
        </w:rPr>
        <w:t>Table 2: Material Taxonomy, Functional Applications, and Governance Standards</w:t>
      </w:r>
      <w:r>
        <w:rPr>
          <w:rFonts w:ascii="Times New Roman" w:hAnsi="Times New Roman"/>
          <w:b w:val="0"/>
          <w:i w:val="0"/>
          <w:color w:val="222222"/>
          <w:sz w:val="22"/>
        </w:rPr>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Material Class</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Study Count (n)</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Share (%)</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Primary Sub-Specifications</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Functional Building Applications</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Referenced Technical Standards</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Low-Carbon Binders</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995</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35.26%</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SCMs, LC3, Geopolymers, Agricultural ashes (RHA, POFA, SCBA, CPA)</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Structural concrete, mortar replacements, low-carbon precast, masonry binders</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ASTM C618, ASTM C989, EN 197-1, EN 197-5, BS 8615, SANS 50197</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Earth-Based Materials</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884</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31.33%</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CSEB (5-8% cement/lime), CEB, Rammed earth, Stabilized laterite</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Load-bearing low-rise masonry, thermal envelope walls, low-cost housing</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ARSO ARS 680–684, NMAC, XP P13-901, CRA-Terre, NIS 87 adapted</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Recycled &amp; Wastes</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444</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15.73%</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Recycled concrete aggregate (RCA), Waste plastics, Crushed glass, Slag</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Paving blocks, walkways, non-structural concrete, drain channels, partition blocks</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ASTM C33, BS 8500-2, EN 12620, SANS 1083</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Bio-Based Materials</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358</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12.69%</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Structural bamboo, Plantation timber, Sisal/kenaf fiber mortars, Bio-boards</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Lightweight framing, roof trusses, non-loadbearing partitions, ceiling boards</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ISO 22156, ISO 22157, EN 14081, ASTM D143</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Smart / Innovative</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141</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5.00%</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Phase change materials (PCMs), Bio-deposition (MICP), Nano-silica</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Passive cooling envelopes, self-healing masonry, foundation stabilization</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ASTM C1074, ASTM C1702, RILEM recommendations</w:t>
            </w:r>
          </w:p>
        </w:tc>
      </w:tr>
    </w:tbl>
    <w:p>
      <w:pPr>
        <w:spacing w:after="120"/>
      </w:pPr>
    </w:p>
    <w:p>
      <w:pPr>
        <w:spacing w:after="120" w:line="276" w:lineRule="auto"/>
      </w:pPr>
      <w:r>
        <w:rPr>
          <w:rFonts w:ascii="Times New Roman" w:hAnsi="Times New Roman"/>
          <w:b w:val="0"/>
          <w:i w:val="0"/>
          <w:color w:val="222222"/>
          <w:sz w:val="22"/>
        </w:rPr>
      </w:r>
      <w:r>
        <w:rPr>
          <w:rFonts w:ascii="Times New Roman" w:hAnsi="Times New Roman"/>
          <w:b w:val="0"/>
          <w:i/>
          <w:color w:val="222222"/>
          <w:sz w:val="22"/>
        </w:rPr>
        <w:t>(See Figure 3: Taxonomic Architecture of Sustainable Building Materials in Africa)</w:t>
      </w:r>
      <w:r>
        <w:rPr>
          <w:rFonts w:ascii="Times New Roman" w:hAnsi="Times New Roman"/>
          <w:b w:val="0"/>
          <w:i w:val="0"/>
          <w:color w:val="222222"/>
          <w:sz w:val="22"/>
        </w:rPr>
      </w:r>
    </w:p>
    <w:p>
      <w:pPr>
        <w:spacing w:before="200" w:after="80"/>
      </w:pPr>
      <w:r>
        <w:rPr>
          <w:rFonts w:ascii="Times New Roman" w:hAnsi="Times New Roman"/>
          <w:b/>
          <w:color w:val="2E75B6"/>
          <w:sz w:val="23"/>
        </w:rPr>
        <w:t>3.4 Mechanical Performance Benchmarks &amp; Structural Viability</w:t>
      </w:r>
    </w:p>
    <w:p>
      <w:pPr>
        <w:spacing w:after="120" w:line="276" w:lineRule="auto"/>
      </w:pPr>
      <w:r>
        <w:rPr>
          <w:rFonts w:ascii="Times New Roman" w:hAnsi="Times New Roman"/>
          <w:b w:val="0"/>
          <w:i w:val="0"/>
          <w:color w:val="222222"/>
          <w:sz w:val="22"/>
        </w:rPr>
        <w:t xml:space="preserve">The empirical mechanical capacities of sustainable African building materials, benchmarked against conventional standards, are illustrated in </w:t>
      </w:r>
      <w:r>
        <w:rPr>
          <w:b/>
        </w:rPr>
        <w:t>Figure 4</w:t>
      </w:r>
      <w:r>
        <w:rPr>
          <w:rFonts w:ascii="Times New Roman" w:hAnsi="Times New Roman"/>
          <w:b w:val="0"/>
          <w:i w:val="0"/>
          <w:color w:val="222222"/>
          <w:sz w:val="22"/>
        </w:rPr>
        <w:t xml:space="preserve"> and summarized in </w:t>
      </w:r>
      <w:r>
        <w:rPr>
          <w:b/>
        </w:rPr>
        <w:t>Table 3</w:t>
      </w:r>
      <w:r>
        <w:rPr>
          <w:rFonts w:ascii="Times New Roman" w:hAnsi="Times New Roman"/>
          <w:b w:val="0"/>
          <w:i w:val="0"/>
          <w:color w:val="222222"/>
          <w:sz w:val="22"/>
        </w:rPr>
        <w:t>.</w:t>
      </w:r>
    </w:p>
    <w:p>
      <w:pPr>
        <w:spacing w:after="120" w:line="276" w:lineRule="auto"/>
      </w:pPr>
      <w:r>
        <w:rPr>
          <w:rFonts w:ascii="Times New Roman" w:hAnsi="Times New Roman"/>
          <w:b w:val="0"/>
          <w:i w:val="0"/>
          <w:color w:val="222222"/>
          <w:sz w:val="22"/>
        </w:rPr>
        <w:t>Key mechanical findings include:</w:t>
      </w:r>
    </w:p>
    <w:p>
      <w:pPr>
        <w:pStyle w:val="ListBullet"/>
        <w:spacing w:after="60" w:line="269" w:lineRule="auto"/>
      </w:pPr>
      <w:r>
        <w:rPr>
          <w:rFonts w:ascii="Times New Roman" w:hAnsi="Times New Roman"/>
          <w:sz w:val="21"/>
        </w:rPr>
      </w:r>
      <w:r>
        <w:rPr>
          <w:rFonts w:ascii="Times New Roman" w:hAnsi="Times New Roman"/>
          <w:b/>
          <w:sz w:val="21"/>
        </w:rPr>
        <w:t>Low-Carbon Binders (LC3 &amp; SCM Concretes):</w:t>
      </w:r>
      <w:r>
        <w:rPr>
          <w:rFonts w:ascii="Times New Roman" w:hAnsi="Times New Roman"/>
          <w:sz w:val="21"/>
        </w:rPr>
        <w:t xml:space="preserve"> LC3 formulations demonstrate 28-day compressive strengths between 25.0 and 52.0 MPa (median: 38.0 MPa), meeting or exceeding conventional 100% OPC control concretes (C20/25 to C30/37). At 90 days, pozzolanic reaction between calcined clay and limestone generates extensive carboaluminate phases, refining pore structures and surpassing OPC durability. Concretes incorporating 15–25% agricultural ash (RHA, POFA) yield 28-day compressive strengths of 15.0–38.5 MPa (median: 26.5 MPa), comfortably fulfilling structural building requirements.</w:t>
      </w:r>
    </w:p>
    <w:p>
      <w:pPr>
        <w:pStyle w:val="ListBullet"/>
        <w:spacing w:after="60" w:line="269" w:lineRule="auto"/>
      </w:pPr>
      <w:r>
        <w:rPr>
          <w:rFonts w:ascii="Times New Roman" w:hAnsi="Times New Roman"/>
          <w:sz w:val="21"/>
        </w:rPr>
      </w:r>
      <w:r>
        <w:rPr>
          <w:rFonts w:ascii="Times New Roman" w:hAnsi="Times New Roman"/>
          <w:b/>
          <w:sz w:val="21"/>
        </w:rPr>
        <w:t>Compressed Stabilized Earth Blocks (CSEB):</w:t>
      </w:r>
      <w:r>
        <w:rPr>
          <w:rFonts w:ascii="Times New Roman" w:hAnsi="Times New Roman"/>
          <w:sz w:val="21"/>
        </w:rPr>
        <w:t xml:space="preserve"> CSEBs stabilized with 5–8% cement or lime achieve 28-day dry compressive strengths between 3.5 and 9.2 MPa (median: 6.2 MPa). This represents a critical finding for African urban construction: CSEBs consistently achieve </w:t>
      </w:r>
      <w:r>
        <w:rPr>
          <w:rFonts w:ascii="Times New Roman" w:hAnsi="Times New Roman"/>
          <w:b/>
          <w:sz w:val="21"/>
        </w:rPr>
        <w:t>2 to 3 times the compressive strength of commercial sandcrete blocks</w:t>
      </w:r>
      <w:r>
        <w:rPr>
          <w:rFonts w:ascii="Times New Roman" w:hAnsi="Times New Roman"/>
          <w:sz w:val="21"/>
        </w:rPr>
        <w:t xml:space="preserve"> sold across West and East African urban markets (which frequently collapse at 1.0–1.8 MPa due to uncalibrated cement rationing). Furthermore, CSEBs exceed the mandatory minimum compressive requirement of the Nigerian Industrial Standard (NIS 87: 2.5 MPa for load-bearing blocks) while utilizing up to 70% less cement per unit volume.</w:t>
      </w:r>
    </w:p>
    <w:p>
      <w:pPr>
        <w:pStyle w:val="ListBullet"/>
        <w:spacing w:after="60" w:line="269" w:lineRule="auto"/>
      </w:pPr>
      <w:r>
        <w:rPr>
          <w:rFonts w:ascii="Times New Roman" w:hAnsi="Times New Roman"/>
          <w:sz w:val="21"/>
        </w:rPr>
      </w:r>
      <w:r>
        <w:rPr>
          <w:rFonts w:ascii="Times New Roman" w:hAnsi="Times New Roman"/>
          <w:b/>
          <w:sz w:val="21"/>
        </w:rPr>
        <w:t>Unstabilized Rammed Earth &amp; Adobe:</w:t>
      </w:r>
      <w:r>
        <w:rPr>
          <w:rFonts w:ascii="Times New Roman" w:hAnsi="Times New Roman"/>
          <w:sz w:val="21"/>
        </w:rPr>
        <w:t xml:space="preserve"> Exhibit lower compressive strengths ranging from 1.2 to 2.8 MPa (median: 2.0 MPa), making them unsuitable for multi-story load-bearing applications without reinforced concrete column framing. However, their high thermal mass (volumetric heat capacity ~1800 kJ/m³K) provides exceptional indoor passive thermal stabilization in hot-arid regions.</w:t>
      </w:r>
    </w:p>
    <w:p>
      <w:pPr>
        <w:pStyle w:val="ListBullet"/>
        <w:spacing w:after="60" w:line="269" w:lineRule="auto"/>
      </w:pPr>
      <w:r>
        <w:rPr>
          <w:rFonts w:ascii="Times New Roman" w:hAnsi="Times New Roman"/>
          <w:sz w:val="21"/>
        </w:rPr>
      </w:r>
      <w:r>
        <w:rPr>
          <w:rFonts w:ascii="Times New Roman" w:hAnsi="Times New Roman"/>
          <w:b/>
          <w:sz w:val="21"/>
        </w:rPr>
        <w:t>Recycled Concrete Aggregate (RCA):</w:t>
      </w:r>
      <w:r>
        <w:rPr>
          <w:rFonts w:ascii="Times New Roman" w:hAnsi="Times New Roman"/>
          <w:sz w:val="21"/>
        </w:rPr>
        <w:t xml:space="preserve"> At replacement ratios between 20% and 30%, RCA concrete achieves 18.0–32.0 MPa (median: 25.0 MPa), maintaining 85–95% of virgin granite concrete strength. Above 30% replacement, residual attached mortar increases water absorption (5.5–10.5%) and reduces workability unless superplasticizers are added.</w:t>
      </w:r>
    </w:p>
    <w:p>
      <w:pPr>
        <w:pStyle w:val="ListBullet"/>
        <w:spacing w:after="60" w:line="269" w:lineRule="auto"/>
      </w:pPr>
      <w:r>
        <w:rPr>
          <w:rFonts w:ascii="Times New Roman" w:hAnsi="Times New Roman"/>
          <w:sz w:val="21"/>
        </w:rPr>
      </w:r>
      <w:r>
        <w:rPr>
          <w:rFonts w:ascii="Times New Roman" w:hAnsi="Times New Roman"/>
          <w:b/>
          <w:sz w:val="21"/>
        </w:rPr>
        <w:t>Waste Plastic Pavers:</w:t>
      </w:r>
      <w:r>
        <w:rPr>
          <w:rFonts w:ascii="Times New Roman" w:hAnsi="Times New Roman"/>
          <w:sz w:val="21"/>
        </w:rPr>
        <w:t xml:space="preserve"> Sand-plastic composite paving tiles (zero cement, 20–30% melted plastic waste blended with sand) achieve compressive strengths between 6.5 and 22.0 MPa (median: 14.0 MPa), far exceeding conventional pedestrian paving requirements while exhibiting superior impact toughness and negligible water absorption (&lt;1.0%).</w:t>
      </w:r>
    </w:p>
    <w:p>
      <w:pPr>
        <w:pStyle w:val="ListBullet"/>
        <w:spacing w:after="60" w:line="269" w:lineRule="auto"/>
      </w:pPr>
      <w:r>
        <w:rPr>
          <w:rFonts w:ascii="Times New Roman" w:hAnsi="Times New Roman"/>
          <w:sz w:val="21"/>
        </w:rPr>
      </w:r>
      <w:r>
        <w:rPr>
          <w:rFonts w:ascii="Times New Roman" w:hAnsi="Times New Roman"/>
          <w:b/>
          <w:sz w:val="21"/>
        </w:rPr>
        <w:t>Structural Bamboo (*Oxytenanthera abyssinica*):</w:t>
      </w:r>
      <w:r>
        <w:rPr>
          <w:rFonts w:ascii="Times New Roman" w:hAnsi="Times New Roman"/>
          <w:sz w:val="21"/>
        </w:rPr>
        <w:t xml:space="preserve"> Exhibited remarkable axial compressive strengths (45.0–75.0 MPa) and tensile strengths along the fibers exceeding 120.0–240.0 MPa, yielding a strength-to-weight ratio superior to mild structural steel.</w:t>
      </w:r>
    </w:p>
    <w:p>
      <w:pPr>
        <w:spacing w:after="120" w:line="276" w:lineRule="auto"/>
      </w:pPr>
      <w:r>
        <w:rPr>
          <w:rFonts w:ascii="Times New Roman" w:hAnsi="Times New Roman"/>
          <w:b w:val="0"/>
          <w:i w:val="0"/>
          <w:color w:val="222222"/>
          <w:sz w:val="22"/>
        </w:rPr>
      </w:r>
      <w:r>
        <w:rPr>
          <w:b/>
        </w:rPr>
        <w:t>Table 3: Mechanical Performance Synthesis and Conventional Baseline Comparison</w:t>
      </w:r>
      <w:r>
        <w:rPr>
          <w:rFonts w:ascii="Times New Roman" w:hAnsi="Times New Roman"/>
          <w:b w:val="0"/>
          <w:i w:val="0"/>
          <w:color w:val="222222"/>
          <w:sz w:val="22"/>
        </w:rPr>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Material Classification</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28-Day Compressive Strength (MPa)</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Flexural / Tensile Strength (MPa)</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Water Absorption (%)</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Target Structural Role</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Performance vs. Conventional Benchmark</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LC3 Cement Concretes</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25.0 – 52.0</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3.8 – 7.2</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4.5 – 8.5%</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Multi-story reinforced frames, heavy infrastructure</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Equal or superior to OPC CEM I (BS EN 197-1) at 28 and 90 days</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SCM Agro-Waste Concretes (15-25% Ash)</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15.0 – 38.5</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2.5 – 5.8</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6.0 – 12.0%</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Structural columns, beams, foundation footings</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Meets BS EN 206 C20/25; satisfies NIS 87 structural mortar</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Recycled Concrete Aggregates (20-30% RCA)</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18.0 – 32.0</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2.2 – 4.5</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5.5 – 10.5%</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Pavement slabs, semi-structural frames, footings</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Retains 85–95% of virgin granite aggregate concrete capacity</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Compressed Stabilized Earth Blocks (5-8%)</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3.5 – 9.2</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0.8 – 1.9</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8.5 – 15.0%</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1–2 story load-bearing masonry, exterior walls</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Exceeds commercial sandcrete (1.0–1.8 MPa); exceeds NIS 87 (2.5 MPa)</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Waste Plastic-Sand Pavers</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6.5 – 22.0</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1.8 – 4.2</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0.5 – 3.2%</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Pedestrian walkways, parking lots, non-load partitions</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Surpasses sandcrete blocks in flexural toughness &amp; impermeability</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Natural Fiber-Earth Mortars/Renders</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2.5 – 6.0</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1.2 – 2.8</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10.0 – 18.0%</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Wall renders, ceiling insulation, partition blocks</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Dramatically mitigates shrinkage cracking vs unreinforced renders</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Unstabilized Earth / Rammed Earth</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1.2 – 2.8</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0.3 – 0.6</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14.0 – 22.0%</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Monolithic thermal envelope walls, single-story infill</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Adequate for single-story low-rise; superior thermal inertia</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Structural Bamboo Culms</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45.0 – 75.0 (Axial)</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120.0 – 240.0 (Tension)</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Variable</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Roof trusses, columns, space frames, scaffolding</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Specific tensile strength surpasses mild structural steel (Fe 410)</w:t>
            </w:r>
          </w:p>
        </w:tc>
      </w:tr>
    </w:tbl>
    <w:p>
      <w:pPr>
        <w:spacing w:after="120"/>
      </w:pPr>
    </w:p>
    <w:p>
      <w:pPr>
        <w:spacing w:after="120" w:line="276" w:lineRule="auto"/>
      </w:pPr>
      <w:r>
        <w:rPr>
          <w:rFonts w:ascii="Times New Roman" w:hAnsi="Times New Roman"/>
          <w:b w:val="0"/>
          <w:i w:val="0"/>
          <w:color w:val="222222"/>
          <w:sz w:val="22"/>
        </w:rPr>
      </w:r>
      <w:r>
        <w:rPr>
          <w:rFonts w:ascii="Times New Roman" w:hAnsi="Times New Roman"/>
          <w:b w:val="0"/>
          <w:i/>
          <w:color w:val="222222"/>
          <w:sz w:val="22"/>
        </w:rPr>
        <w:t>(See Figure 4: Comparative 28-Day Compressive Strength Benchmarks vs Conventional Baselines)</w:t>
      </w:r>
      <w:r>
        <w:rPr>
          <w:rFonts w:ascii="Times New Roman" w:hAnsi="Times New Roman"/>
          <w:b w:val="0"/>
          <w:i w:val="0"/>
          <w:color w:val="222222"/>
          <w:sz w:val="22"/>
        </w:rPr>
      </w:r>
    </w:p>
    <w:p>
      <w:pPr>
        <w:spacing w:before="200" w:after="80"/>
      </w:pPr>
      <w:r>
        <w:rPr>
          <w:rFonts w:ascii="Times New Roman" w:hAnsi="Times New Roman"/>
          <w:b/>
          <w:color w:val="2E75B6"/>
          <w:sz w:val="23"/>
        </w:rPr>
        <w:t>3.5 Environmental &amp; Life-Cycle Assessment (LCA) Profile</w:t>
      </w:r>
    </w:p>
    <w:p>
      <w:pPr>
        <w:spacing w:after="120" w:line="276" w:lineRule="auto"/>
      </w:pPr>
      <w:r>
        <w:rPr>
          <w:rFonts w:ascii="Times New Roman" w:hAnsi="Times New Roman"/>
          <w:b w:val="0"/>
          <w:i w:val="0"/>
          <w:color w:val="222222"/>
          <w:sz w:val="22"/>
        </w:rPr>
        <w:t xml:space="preserve">The synthesized environmental and life-cycle indicators across included studies are detailed in </w:t>
      </w:r>
      <w:r>
        <w:rPr>
          <w:b/>
        </w:rPr>
        <w:t>Table 4</w:t>
      </w:r>
      <w:r>
        <w:rPr>
          <w:rFonts w:ascii="Times New Roman" w:hAnsi="Times New Roman"/>
          <w:b w:val="0"/>
          <w:i w:val="0"/>
          <w:color w:val="222222"/>
          <w:sz w:val="22"/>
        </w:rPr>
        <w:t>.</w:t>
      </w:r>
    </w:p>
    <w:p>
      <w:pPr>
        <w:pStyle w:val="ListBullet"/>
        <w:spacing w:after="60" w:line="269" w:lineRule="auto"/>
      </w:pPr>
      <w:r>
        <w:rPr>
          <w:rFonts w:ascii="Times New Roman" w:hAnsi="Times New Roman"/>
          <w:sz w:val="21"/>
        </w:rPr>
      </w:r>
      <w:r>
        <w:rPr>
          <w:rFonts w:ascii="Times New Roman" w:hAnsi="Times New Roman"/>
          <w:b/>
          <w:sz w:val="21"/>
        </w:rPr>
        <w:t>Embodied Carbon Reductions:</w:t>
      </w:r>
      <w:r>
        <w:rPr>
          <w:rFonts w:ascii="Times New Roman" w:hAnsi="Times New Roman"/>
          <w:sz w:val="21"/>
        </w:rPr>
      </w:r>
    </w:p>
    <w:p>
      <w:pPr>
        <w:spacing w:after="120" w:line="276" w:lineRule="auto"/>
      </w:pPr>
      <w:r>
        <w:rPr>
          <w:rFonts w:ascii="Times New Roman" w:hAnsi="Times New Roman"/>
          <w:b w:val="0"/>
          <w:i w:val="0"/>
          <w:color w:val="222222"/>
          <w:sz w:val="22"/>
        </w:rPr>
        <w:t xml:space="preserve">  - LC3-50 binders achieve a </w:t>
      </w:r>
      <w:r>
        <w:rPr>
          <w:b/>
        </w:rPr>
        <w:t>35% to 42% net reduction in Global Warming Potential (GWP)</w:t>
      </w:r>
      <w:r>
        <w:rPr>
          <w:rFonts w:ascii="Times New Roman" w:hAnsi="Times New Roman"/>
          <w:b w:val="0"/>
          <w:i w:val="0"/>
          <w:color w:val="222222"/>
          <w:sz w:val="22"/>
        </w:rPr>
        <w:t xml:space="preserve"> compared to pure Portland cement (CEM I), emitting 480–560 kg CO₂-eq/ton binder versus 820–880 kg CO₂-eq/ton for OPC.</w:t>
      </w:r>
    </w:p>
    <w:p>
      <w:pPr>
        <w:spacing w:after="120" w:line="276" w:lineRule="auto"/>
      </w:pPr>
      <w:r>
        <w:rPr>
          <w:rFonts w:ascii="Times New Roman" w:hAnsi="Times New Roman"/>
          <w:b w:val="0"/>
          <w:i w:val="0"/>
          <w:color w:val="222222"/>
          <w:sz w:val="22"/>
        </w:rPr>
        <w:t xml:space="preserve">  - Agro-waste pozzolan mortars reduce embodied carbon by </w:t>
      </w:r>
      <w:r>
        <w:rPr>
          <w:b/>
        </w:rPr>
        <w:t>18% to 28%</w:t>
      </w:r>
      <w:r>
        <w:rPr>
          <w:rFonts w:ascii="Times New Roman" w:hAnsi="Times New Roman"/>
          <w:b w:val="0"/>
          <w:i w:val="0"/>
          <w:color w:val="222222"/>
          <w:sz w:val="22"/>
        </w:rPr>
        <w:t>, simultaneously avoiding open-field biomass burning emissions.</w:t>
      </w:r>
    </w:p>
    <w:p>
      <w:pPr>
        <w:spacing w:after="120" w:line="276" w:lineRule="auto"/>
      </w:pPr>
      <w:r>
        <w:rPr>
          <w:rFonts w:ascii="Times New Roman" w:hAnsi="Times New Roman"/>
          <w:b w:val="0"/>
          <w:i w:val="0"/>
          <w:color w:val="222222"/>
          <w:sz w:val="22"/>
        </w:rPr>
        <w:t xml:space="preserve">  - Compressed Stabilized Earth Blocks (CSEB) achieve a </w:t>
      </w:r>
      <w:r>
        <w:rPr>
          <w:b/>
        </w:rPr>
        <w:t>65% to 78% reduction in embodied carbon</w:t>
      </w:r>
      <w:r>
        <w:rPr>
          <w:rFonts w:ascii="Times New Roman" w:hAnsi="Times New Roman"/>
          <w:b w:val="0"/>
          <w:i w:val="0"/>
          <w:color w:val="222222"/>
          <w:sz w:val="22"/>
        </w:rPr>
        <w:t xml:space="preserve"> compared to kiln-fired clay bricks and sandcrete blocks, emitting 45–75 kg CO₂-eq/m² of finished walling.</w:t>
      </w:r>
    </w:p>
    <w:p>
      <w:pPr>
        <w:spacing w:after="120" w:line="276" w:lineRule="auto"/>
      </w:pPr>
      <w:r>
        <w:rPr>
          <w:rFonts w:ascii="Times New Roman" w:hAnsi="Times New Roman"/>
          <w:b w:val="0"/>
          <w:i w:val="0"/>
          <w:color w:val="222222"/>
          <w:sz w:val="22"/>
        </w:rPr>
        <w:t xml:space="preserve">  - Unstabilized rammed earth achieves an </w:t>
      </w:r>
      <w:r>
        <w:rPr>
          <w:b/>
        </w:rPr>
        <w:t>85% to 94% carbon reduction</w:t>
      </w:r>
      <w:r>
        <w:rPr>
          <w:rFonts w:ascii="Times New Roman" w:hAnsi="Times New Roman"/>
          <w:b w:val="0"/>
          <w:i w:val="0"/>
          <w:color w:val="222222"/>
          <w:sz w:val="22"/>
        </w:rPr>
        <w:t xml:space="preserve"> (12–25 kg CO₂-eq/m² walling), functioning as an almost completely circular zero-carbon building element.</w:t>
      </w:r>
    </w:p>
    <w:p>
      <w:pPr>
        <w:spacing w:after="120" w:line="276" w:lineRule="auto"/>
      </w:pPr>
      <w:r>
        <w:rPr>
          <w:rFonts w:ascii="Times New Roman" w:hAnsi="Times New Roman"/>
          <w:b w:val="0"/>
          <w:i w:val="0"/>
          <w:color w:val="222222"/>
          <w:sz w:val="22"/>
        </w:rPr>
        <w:t xml:space="preserve">  - Structural bamboo functions as a </w:t>
      </w:r>
      <w:r>
        <w:rPr>
          <w:b/>
        </w:rPr>
        <w:t>net carbon sink</w:t>
      </w:r>
      <w:r>
        <w:rPr>
          <w:rFonts w:ascii="Times New Roman" w:hAnsi="Times New Roman"/>
          <w:b w:val="0"/>
          <w:i w:val="0"/>
          <w:color w:val="222222"/>
          <w:sz w:val="22"/>
        </w:rPr>
        <w:t>, sequestering between -120 and -350 kg CO₂-eq/m³ over its built-in service life.</w:t>
      </w:r>
    </w:p>
    <w:p>
      <w:pPr>
        <w:pStyle w:val="ListBullet"/>
        <w:spacing w:after="60" w:line="269" w:lineRule="auto"/>
      </w:pPr>
      <w:r>
        <w:rPr>
          <w:rFonts w:ascii="Times New Roman" w:hAnsi="Times New Roman"/>
          <w:sz w:val="21"/>
        </w:rPr>
      </w:r>
      <w:r>
        <w:rPr>
          <w:rFonts w:ascii="Times New Roman" w:hAnsi="Times New Roman"/>
          <w:b/>
          <w:sz w:val="21"/>
        </w:rPr>
        <w:t>Embodied Energy:</w:t>
      </w:r>
      <w:r>
        <w:rPr>
          <w:rFonts w:ascii="Times New Roman" w:hAnsi="Times New Roman"/>
          <w:sz w:val="21"/>
        </w:rPr>
        <w:t xml:space="preserve"> Kiln-fired bricks and Portland cement consume ~2.5–5.5 MJ/kg of primary thermal energy during manufacturing. In contrast, CSEBs require only 0.4–0.8 MJ/kg (an 80–85% reduction), while bamboo requires minimal processing energy (&lt;0.2 MJ/kg).</w:t>
      </w:r>
    </w:p>
    <w:p>
      <w:pPr>
        <w:spacing w:after="120" w:line="276" w:lineRule="auto"/>
      </w:pPr>
      <w:r>
        <w:rPr>
          <w:rFonts w:ascii="Times New Roman" w:hAnsi="Times New Roman"/>
          <w:b w:val="0"/>
          <w:i w:val="0"/>
          <w:color w:val="222222"/>
          <w:sz w:val="22"/>
        </w:rPr>
      </w:r>
      <w:r>
        <w:rPr>
          <w:b/>
        </w:rPr>
        <w:t>Table 4: Environmental and Life-Cycle Assessment (LCA) Metrics</w:t>
      </w:r>
      <w:r>
        <w:rPr>
          <w:rFonts w:ascii="Times New Roman" w:hAnsi="Times New Roman"/>
          <w:b w:val="0"/>
          <w:i w:val="0"/>
          <w:color w:val="222222"/>
          <w:sz w:val="22"/>
        </w:rPr>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Material System</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Embodied Carbon Reduction (% vs OPC/Conventional)</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Embodied Energy Reduction (% vs OPC)</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Typical LCA Boundary</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GWP Impact Factor</w:t>
            </w:r>
          </w:p>
        </w:tc>
        <w:tc>
          <w:tcPr>
            <w:tcW w:type="dxa" w:w="1560"/>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Primary Circularity &amp; Environmental Benefits</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Calcined Clay Limestone Cement (LC3)</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35% – 42%</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25% – 35%</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Cradle-to-gate (A1–A3)</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480 – 560 kg CO₂-eq/t</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Utilizes non-ceramic kaolinitic clays; lower kiln temperature (800°C)</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Agro-Waste Pozzolan Mortars (RHA/POFA)</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18% – 28%</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15% – 24%</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Cradle-to-gate (A1–A3)</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590 – 680 kg CO₂-eq/t</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Diverts agricultural waste from landfills; reduces clinker demand</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Compressed Stabilized Earth Blocks (CSEB)</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65% – 78%</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70% – 85%</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Cradle-to-site (A1–A4)</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45 – 75 kg CO₂-eq/m²</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Eliminates wood-fired brick burning; utilizes on-site excavated soil</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Unstabilized Rammed Earth / Adobe</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85% – 94%</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88% – 95%</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Cradle-to-grave (A1–C4)</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12 – 25 kg CO₂-eq/m²</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100% recyclable into soil at end-of-life; zero chemical toxicity</w:t>
            </w:r>
          </w:p>
        </w:tc>
      </w:tr>
      <w:tr>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Recycled Concrete Aggregate Concrete</w:t>
            </w:r>
            <w:r>
              <w:rPr>
                <w:rFonts w:ascii="Times New Roman" w:hAnsi="Times New Roman"/>
                <w:color w:val="222222"/>
                <w:sz w:val="17"/>
              </w:rPr>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10% – 18%</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12% – 20%</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Cradle-to-gate (A1–A3)</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210 – 260 kg CO₂-eq/m³</w:t>
            </w:r>
          </w:p>
        </w:tc>
        <w:tc>
          <w:tcPr>
            <w:tcW w:type="dxa" w:w="1560"/>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Conserves natural river sand &amp; granite quarries; avoids C&amp;D landfilling</w:t>
            </w:r>
          </w:p>
        </w:tc>
      </w:tr>
      <w:tr>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Structural Bamboo Elements</w:t>
            </w:r>
            <w:r>
              <w:rPr>
                <w:rFonts w:ascii="Times New Roman" w:hAnsi="Times New Roman"/>
                <w:color w:val="222222"/>
                <w:sz w:val="17"/>
              </w:rPr>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Carbon Negative</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60% – 80%</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Cradle-to-building (A1–A5)</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Net -120 to -350 kg CO₂/m³</w:t>
            </w:r>
          </w:p>
        </w:tc>
        <w:tc>
          <w:tcPr>
            <w:tcW w:type="dxa" w:w="1560"/>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High-yield renewable harvest (3-5 yrs); biogenic carbon storage</w:t>
            </w:r>
          </w:p>
        </w:tc>
      </w:tr>
    </w:tbl>
    <w:p>
      <w:pPr>
        <w:spacing w:after="120"/>
      </w:pPr>
    </w:p>
    <w:p>
      <w:pPr>
        <w:spacing w:before="200" w:after="80"/>
      </w:pPr>
      <w:r>
        <w:rPr>
          <w:rFonts w:ascii="Times New Roman" w:hAnsi="Times New Roman"/>
          <w:b/>
          <w:color w:val="2E75B6"/>
          <w:sz w:val="23"/>
        </w:rPr>
        <w:t>3.6 Methodological Quality &amp; Risk of Bias (JBI Appraisal)</w:t>
      </w:r>
    </w:p>
    <w:p>
      <w:pPr>
        <w:spacing w:after="120" w:line="276" w:lineRule="auto"/>
      </w:pPr>
      <w:r>
        <w:rPr>
          <w:rFonts w:ascii="Times New Roman" w:hAnsi="Times New Roman"/>
          <w:b w:val="0"/>
          <w:i w:val="0"/>
          <w:color w:val="222222"/>
          <w:sz w:val="22"/>
        </w:rPr>
        <w:t>Evaluation of all 2,822 included empirical studies against the 9 Joanna Briggs Institute criteria demonstrated robust methodological execution across experimental laboratories:</w:t>
      </w:r>
    </w:p>
    <w:p>
      <w:pPr>
        <w:pStyle w:val="ListBullet"/>
        <w:spacing w:after="60" w:line="269" w:lineRule="auto"/>
      </w:pPr>
      <w:r>
        <w:rPr>
          <w:rFonts w:ascii="Times New Roman" w:hAnsi="Times New Roman"/>
          <w:sz w:val="21"/>
        </w:rPr>
      </w:r>
      <w:r>
        <w:rPr>
          <w:rFonts w:ascii="Times New Roman" w:hAnsi="Times New Roman"/>
          <w:b/>
          <w:sz w:val="21"/>
        </w:rPr>
        <w:t>Baseline Comparability &amp; Controls (Q1–Q4):</w:t>
      </w:r>
      <w:r>
        <w:rPr>
          <w:rFonts w:ascii="Times New Roman" w:hAnsi="Times New Roman"/>
          <w:sz w:val="21"/>
        </w:rPr>
        <w:t xml:space="preserve"> 100% of included studies clearly established cause-and-effect relationships and incorporated recognized reference baselines (e.g., 0% SCM control mix or standard Portland cement sandcrete).</w:t>
      </w:r>
    </w:p>
    <w:p>
      <w:pPr>
        <w:pStyle w:val="ListBullet"/>
        <w:spacing w:after="60" w:line="269" w:lineRule="auto"/>
      </w:pPr>
      <w:r>
        <w:rPr>
          <w:rFonts w:ascii="Times New Roman" w:hAnsi="Times New Roman"/>
          <w:sz w:val="21"/>
        </w:rPr>
      </w:r>
      <w:r>
        <w:rPr>
          <w:rFonts w:ascii="Times New Roman" w:hAnsi="Times New Roman"/>
          <w:b/>
          <w:sz w:val="21"/>
        </w:rPr>
        <w:t>Multi-Age Testing (Q5):</w:t>
      </w:r>
      <w:r>
        <w:rPr>
          <w:rFonts w:ascii="Times New Roman" w:hAnsi="Times New Roman"/>
          <w:sz w:val="21"/>
        </w:rPr>
        <w:t xml:space="preserve"> 62.4% of studies reported compressive and flexural data across multiple curing intervals (typically 3, 7, 28, and 56/90 days), while 37.6% focused exclusively on standard 28-day single-timepoint benchmarks.</w:t>
      </w:r>
    </w:p>
    <w:p>
      <w:pPr>
        <w:pStyle w:val="ListBullet"/>
        <w:spacing w:after="60" w:line="269" w:lineRule="auto"/>
      </w:pPr>
      <w:r>
        <w:rPr>
          <w:rFonts w:ascii="Times New Roman" w:hAnsi="Times New Roman"/>
          <w:sz w:val="21"/>
        </w:rPr>
      </w:r>
      <w:r>
        <w:rPr>
          <w:rFonts w:ascii="Times New Roman" w:hAnsi="Times New Roman"/>
          <w:b/>
          <w:sz w:val="21"/>
        </w:rPr>
        <w:t>Reporting Completeness &amp; Standardization (Q6–Q7):</w:t>
      </w:r>
      <w:r>
        <w:rPr>
          <w:rFonts w:ascii="Times New Roman" w:hAnsi="Times New Roman"/>
          <w:sz w:val="21"/>
        </w:rPr>
        <w:t xml:space="preserve"> 100% of included studies fully reported mechanical and physical outcome measurements using established testing machines and standardized test geometries (e.g., 100 mm / 150 mm cubes, 100×200 mm cylinders, or standard RILEM prisms).</w:t>
      </w:r>
    </w:p>
    <w:p>
      <w:pPr>
        <w:pStyle w:val="ListBullet"/>
        <w:spacing w:after="60" w:line="269" w:lineRule="auto"/>
      </w:pPr>
      <w:r>
        <w:rPr>
          <w:rFonts w:ascii="Times New Roman" w:hAnsi="Times New Roman"/>
          <w:sz w:val="21"/>
        </w:rPr>
      </w:r>
      <w:r>
        <w:rPr>
          <w:rFonts w:ascii="Times New Roman" w:hAnsi="Times New Roman"/>
          <w:b/>
          <w:sz w:val="21"/>
        </w:rPr>
        <w:t>Calibration &amp; Standard Code Adherence (Q8):</w:t>
      </w:r>
      <w:r>
        <w:rPr>
          <w:rFonts w:ascii="Times New Roman" w:hAnsi="Times New Roman"/>
          <w:sz w:val="21"/>
        </w:rPr>
        <w:t xml:space="preserve"> 68.2% of studies explicitly cited testing machine calibration, environmental curing chamber tolerances, and specific standard test codes (ASTM, EN, BS, ISO), while 31.8% relied on general laboratory protocols without citing specific machine calibration dates.</w:t>
      </w:r>
    </w:p>
    <w:p>
      <w:pPr>
        <w:pStyle w:val="ListBullet"/>
        <w:spacing w:after="60" w:line="269" w:lineRule="auto"/>
      </w:pPr>
      <w:r>
        <w:rPr>
          <w:rFonts w:ascii="Times New Roman" w:hAnsi="Times New Roman"/>
          <w:sz w:val="21"/>
        </w:rPr>
      </w:r>
      <w:r>
        <w:rPr>
          <w:rFonts w:ascii="Times New Roman" w:hAnsi="Times New Roman"/>
          <w:b/>
          <w:sz w:val="21"/>
        </w:rPr>
        <w:t>Overall Risk of Bias:</w:t>
      </w:r>
      <w:r>
        <w:rPr>
          <w:rFonts w:ascii="Times New Roman" w:hAnsi="Times New Roman"/>
          <w:sz w:val="21"/>
        </w:rPr>
        <w:t xml:space="preserve"> All 2,822 included studies scored between 7 and 9 "Yes" responses out of 9 criteria, placing them in the </w:t>
      </w:r>
      <w:r>
        <w:rPr>
          <w:rFonts w:ascii="Times New Roman" w:hAnsi="Times New Roman"/>
          <w:b/>
          <w:sz w:val="21"/>
        </w:rPr>
        <w:t>Low Risk of Bias</w:t>
      </w:r>
      <w:r>
        <w:rPr>
          <w:rFonts w:ascii="Times New Roman" w:hAnsi="Times New Roman"/>
          <w:sz w:val="21"/>
        </w:rPr>
        <w:t xml:space="preserve"> category suitable for academic and policy synthesis.</w:t>
      </w:r>
    </w:p>
    <w:p>
      <w:pPr>
        <w:spacing w:before="200" w:after="80"/>
      </w:pPr>
      <w:r>
        <w:rPr>
          <w:rFonts w:ascii="Times New Roman" w:hAnsi="Times New Roman"/>
          <w:b/>
          <w:color w:val="2E75B6"/>
          <w:sz w:val="23"/>
        </w:rPr>
        <w:t>3.7 Institutional, Economic, Technical, and Socio-Cultural Barriers vs. Enablers</w:t>
      </w:r>
    </w:p>
    <w:p>
      <w:pPr>
        <w:spacing w:after="120" w:line="276" w:lineRule="auto"/>
      </w:pPr>
      <w:r>
        <w:rPr>
          <w:rFonts w:ascii="Times New Roman" w:hAnsi="Times New Roman"/>
          <w:b w:val="0"/>
          <w:i w:val="0"/>
          <w:color w:val="222222"/>
          <w:sz w:val="22"/>
        </w:rPr>
        <w:t xml:space="preserve">The systemic matrix of barriers and enablers governing the adoption of sustainable materials in Africa is synthesized in </w:t>
      </w:r>
      <w:r>
        <w:rPr>
          <w:b/>
        </w:rPr>
        <w:t>Figure 5</w:t>
      </w:r>
      <w:r>
        <w:rPr>
          <w:rFonts w:ascii="Times New Roman" w:hAnsi="Times New Roman"/>
          <w:b w:val="0"/>
          <w:i w:val="0"/>
          <w:color w:val="222222"/>
          <w:sz w:val="22"/>
        </w:rPr>
        <w:t xml:space="preserve"> and </w:t>
      </w:r>
      <w:r>
        <w:rPr>
          <w:b/>
        </w:rPr>
        <w:t>Table 5</w:t>
      </w:r>
      <w:r>
        <w:rPr>
          <w:rFonts w:ascii="Times New Roman" w:hAnsi="Times New Roman"/>
          <w:b w:val="0"/>
          <w:i w:val="0"/>
          <w:color w:val="222222"/>
          <w:sz w:val="22"/>
        </w:rPr>
        <w:t>.</w:t>
      </w:r>
    </w:p>
    <w:p>
      <w:pPr>
        <w:pStyle w:val="ListNumber"/>
        <w:spacing w:after="60" w:line="269" w:lineRule="auto"/>
      </w:pPr>
      <w:r>
        <w:rPr>
          <w:rFonts w:ascii="Times New Roman" w:hAnsi="Times New Roman"/>
          <w:sz w:val="21"/>
        </w:rPr>
      </w:r>
      <w:r>
        <w:rPr>
          <w:rFonts w:ascii="Times New Roman" w:hAnsi="Times New Roman"/>
          <w:b/>
          <w:sz w:val="21"/>
        </w:rPr>
        <w:t>Regulatory &amp; Standardization Dimension (Prevalence: 78%):</w:t>
      </w:r>
      <w:r>
        <w:rPr>
          <w:rFonts w:ascii="Times New Roman" w:hAnsi="Times New Roman"/>
          <w:sz w:val="21"/>
        </w:rPr>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Barriers:</w:t>
      </w:r>
      <w:r>
        <w:rPr>
          <w:rFonts w:ascii="Times New Roman" w:hAnsi="Times New Roman"/>
          <w:b w:val="0"/>
          <w:i w:val="0"/>
          <w:color w:val="222222"/>
          <w:sz w:val="22"/>
        </w:rPr>
        <w:t xml:space="preserve"> Continued enforcement of legacy colonial-era building codes (e.g., prescriptive British Standards) requiring high minimum OPC content; absence of codified standards for CSEB, bamboo, and agro-ash in municipal development bylaws; institutional procurement rules mandating Portland cement for government projects.</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Empirically Validated Enablers:</w:t>
      </w:r>
      <w:r>
        <w:rPr>
          <w:rFonts w:ascii="Times New Roman" w:hAnsi="Times New Roman"/>
          <w:b w:val="0"/>
          <w:i w:val="0"/>
          <w:color w:val="222222"/>
          <w:sz w:val="22"/>
        </w:rPr>
        <w:t xml:space="preserve"> Full national gazetting of the African Organisation for Standardisation (ARSO) standards: </w:t>
      </w:r>
      <w:r>
        <w:rPr>
          <w:b/>
        </w:rPr>
        <w:t>ARS 680 to ARS 684:2020</w:t>
      </w:r>
      <w:r>
        <w:rPr>
          <w:rFonts w:ascii="Times New Roman" w:hAnsi="Times New Roman"/>
          <w:b w:val="0"/>
          <w:i w:val="0"/>
          <w:color w:val="222222"/>
          <w:sz w:val="22"/>
        </w:rPr>
        <w:t xml:space="preserve"> (Standard Specifications for Compressed Earth Blocks); transition to performance-based rather than recipe-based building regulations; mandatory inclusion of minimum green material quotas (e.g., 20% alternative binder or earth masonry) in public housing contracts.</w:t>
      </w:r>
    </w:p>
    <w:p>
      <w:pPr>
        <w:pStyle w:val="ListNumber"/>
        <w:spacing w:after="60" w:line="269" w:lineRule="auto"/>
      </w:pPr>
      <w:r>
        <w:rPr>
          <w:rFonts w:ascii="Times New Roman" w:hAnsi="Times New Roman"/>
          <w:sz w:val="21"/>
        </w:rPr>
      </w:r>
      <w:r>
        <w:rPr>
          <w:rFonts w:ascii="Times New Roman" w:hAnsi="Times New Roman"/>
          <w:b/>
          <w:sz w:val="21"/>
        </w:rPr>
        <w:t>Economic &amp; Supply Chain Dimension (Prevalence: 72%):</w:t>
      </w:r>
      <w:r>
        <w:rPr>
          <w:rFonts w:ascii="Times New Roman" w:hAnsi="Times New Roman"/>
          <w:sz w:val="21"/>
        </w:rPr>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Barriers:</w:t>
      </w:r>
      <w:r>
        <w:rPr>
          <w:rFonts w:ascii="Times New Roman" w:hAnsi="Times New Roman"/>
          <w:b w:val="0"/>
          <w:i w:val="0"/>
          <w:color w:val="222222"/>
          <w:sz w:val="22"/>
        </w:rPr>
        <w:t xml:space="preserve"> Oligopolistic pricing power of multinational Portland cement producers; lack of decentralized commercial calcination infrastructure for clay and agricultural ash processing; high initial capital costs for heavy-duty hydraulic block presses; fragmented collection networks for agricultural residues.</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Empirically Validated Enablers:</w:t>
      </w:r>
      <w:r>
        <w:rPr>
          <w:rFonts w:ascii="Times New Roman" w:hAnsi="Times New Roman"/>
          <w:b w:val="0"/>
          <w:i w:val="0"/>
          <w:color w:val="222222"/>
          <w:sz w:val="22"/>
        </w:rPr>
        <w:t xml:space="preserve"> Establishment of agro-waste processing clusters attached to existing rice and palm oil processing mills; fiscal tax exemptions on machinery imports for sustainable block manufacturing; carbon credit financing and green municipal bonds supporting decentralized rural enterprises.</w:t>
      </w:r>
    </w:p>
    <w:p>
      <w:pPr>
        <w:pStyle w:val="ListNumber"/>
        <w:spacing w:after="60" w:line="269" w:lineRule="auto"/>
      </w:pPr>
      <w:r>
        <w:rPr>
          <w:rFonts w:ascii="Times New Roman" w:hAnsi="Times New Roman"/>
          <w:sz w:val="21"/>
        </w:rPr>
      </w:r>
      <w:r>
        <w:rPr>
          <w:rFonts w:ascii="Times New Roman" w:hAnsi="Times New Roman"/>
          <w:b/>
          <w:sz w:val="21"/>
        </w:rPr>
        <w:t>Technical &amp; Quality Assurance Dimension (Prevalence: 64%):</w:t>
      </w:r>
      <w:r>
        <w:rPr>
          <w:rFonts w:ascii="Times New Roman" w:hAnsi="Times New Roman"/>
          <w:sz w:val="21"/>
        </w:rPr>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Barriers:</w:t>
      </w:r>
      <w:r>
        <w:rPr>
          <w:rFonts w:ascii="Times New Roman" w:hAnsi="Times New Roman"/>
          <w:b w:val="0"/>
          <w:i w:val="0"/>
          <w:color w:val="222222"/>
          <w:sz w:val="22"/>
        </w:rPr>
        <w:t xml:space="preserve"> Significant chemical variability in lateritic soil composition and agro-waste ashes across micro-regions; insufficient water curing on informal construction sites in hot, arid weather; lack of accredited local testing laboratories for non-traditional materials in secondary towns.</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Empirically Validated Enablers:</w:t>
      </w:r>
      <w:r>
        <w:rPr>
          <w:rFonts w:ascii="Times New Roman" w:hAnsi="Times New Roman"/>
          <w:b w:val="0"/>
          <w:i w:val="0"/>
          <w:color w:val="222222"/>
          <w:sz w:val="22"/>
        </w:rPr>
        <w:t xml:space="preserve"> Deployment of simplified, robust field-testing protocols (e.g., sedimentation jar tests and drop-ball plasticity tests for soil grading); artisan vocational training and formal licensing through technical colleges; deployment of mobile testing units by national building research councils.</w:t>
      </w:r>
    </w:p>
    <w:p>
      <w:pPr>
        <w:pStyle w:val="ListNumber"/>
        <w:spacing w:after="60" w:line="269" w:lineRule="auto"/>
      </w:pPr>
      <w:r>
        <w:rPr>
          <w:rFonts w:ascii="Times New Roman" w:hAnsi="Times New Roman"/>
          <w:sz w:val="21"/>
        </w:rPr>
      </w:r>
      <w:r>
        <w:rPr>
          <w:rFonts w:ascii="Times New Roman" w:hAnsi="Times New Roman"/>
          <w:b/>
          <w:sz w:val="21"/>
        </w:rPr>
        <w:t>Socio-Cultural &amp; Market Perception Dimension (Prevalence: 61%):</w:t>
      </w:r>
      <w:r>
        <w:rPr>
          <w:rFonts w:ascii="Times New Roman" w:hAnsi="Times New Roman"/>
          <w:sz w:val="21"/>
        </w:rPr>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Barriers:</w:t>
      </w:r>
      <w:r>
        <w:rPr>
          <w:rFonts w:ascii="Times New Roman" w:hAnsi="Times New Roman"/>
          <w:b w:val="0"/>
          <w:i w:val="0"/>
          <w:color w:val="222222"/>
          <w:sz w:val="22"/>
        </w:rPr>
        <w:t xml:space="preserve"> Entrenched social stigma associating earth, bamboo, and timber with "poverty housing" and temporary structures; aspirational preference for smooth plastered concrete, steel, and tinted glass as symbols of modern affluence and permanence.</w:t>
      </w:r>
    </w:p>
    <w:p>
      <w:pPr>
        <w:spacing w:after="120" w:line="276" w:lineRule="auto"/>
      </w:pPr>
      <w:r>
        <w:rPr>
          <w:rFonts w:ascii="Times New Roman" w:hAnsi="Times New Roman"/>
          <w:b w:val="0"/>
          <w:i w:val="0"/>
          <w:color w:val="222222"/>
          <w:sz w:val="22"/>
        </w:rPr>
        <w:t xml:space="preserve">   - </w:t>
      </w:r>
      <w:r>
        <w:rPr>
          <w:rFonts w:ascii="Times New Roman" w:hAnsi="Times New Roman"/>
          <w:b w:val="0"/>
          <w:i/>
          <w:color w:val="222222"/>
          <w:sz w:val="22"/>
        </w:rPr>
        <w:t>Empirically Validated Enablers:</w:t>
      </w:r>
      <w:r>
        <w:rPr>
          <w:rFonts w:ascii="Times New Roman" w:hAnsi="Times New Roman"/>
          <w:b w:val="0"/>
          <w:i w:val="0"/>
          <w:color w:val="222222"/>
          <w:sz w:val="22"/>
        </w:rPr>
        <w:t xml:space="preserve"> High-profile architectural demonstration projects for prestigious public buildings (e.g., university faculty buildings, government ministries, regional hospitals) designed with exposed stabilized earth and mass timber; targeted public awareness campaigns highlighting superior indoor thermal comfort, lower cooling energy bills, and aesthetic excellence.</w:t>
      </w:r>
    </w:p>
    <w:p>
      <w:pPr>
        <w:spacing w:after="120" w:line="276" w:lineRule="auto"/>
      </w:pPr>
      <w:r>
        <w:rPr>
          <w:rFonts w:ascii="Times New Roman" w:hAnsi="Times New Roman"/>
          <w:b w:val="0"/>
          <w:i w:val="0"/>
          <w:color w:val="222222"/>
          <w:sz w:val="22"/>
        </w:rPr>
      </w:r>
      <w:r>
        <w:rPr>
          <w:b/>
        </w:rPr>
        <w:t>Table 5: Barriers vs. Enablers Strategic Implementation Matrix</w:t>
      </w:r>
      <w:r>
        <w:rPr>
          <w:rFonts w:ascii="Times New Roman" w:hAnsi="Times New Roman"/>
          <w:b w:val="0"/>
          <w:i w:val="0"/>
          <w:color w:val="222222"/>
          <w:sz w:val="22"/>
        </w:rPr>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Dimension</w:t>
            </w:r>
          </w:p>
        </w:tc>
        <w:tc>
          <w:tcPr>
            <w:tcW w:type="dxa" w:w="1872"/>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Primary Systemic Barriers Identified in Literature</w:t>
            </w:r>
          </w:p>
        </w:tc>
        <w:tc>
          <w:tcPr>
            <w:tcW w:type="dxa" w:w="1872"/>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Citation Prevalence</w:t>
            </w:r>
          </w:p>
        </w:tc>
        <w:tc>
          <w:tcPr>
            <w:tcW w:type="dxa" w:w="1872"/>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Proven Enablers &amp; Strategic Interventions</w:t>
            </w:r>
          </w:p>
        </w:tc>
        <w:tc>
          <w:tcPr>
            <w:tcW w:type="dxa" w:w="1872"/>
            <w:shd w:fill="1F497D"/>
            <w:tcMar>
              <w:top w:w="80" w:type="dxa"/>
              <w:bottom w:w="80" w:type="dxa"/>
              <w:left w:w="100" w:type="dxa"/>
              <w:right w:w="100" w:type="dxa"/>
            </w:tcMar>
          </w:tcPr>
          <w:p>
            <w:pPr>
              <w:spacing w:after="40" w:before="40"/>
              <w:jc w:val="center"/>
            </w:pPr>
            <w:r/>
            <w:r>
              <w:rPr>
                <w:rFonts w:ascii="Times New Roman" w:hAnsi="Times New Roman"/>
                <w:b/>
                <w:color w:val="FFFFFF"/>
                <w:sz w:val="19"/>
              </w:rPr>
              <w:t>Implementation Feasibility</w:t>
            </w:r>
          </w:p>
        </w:tc>
      </w:tr>
      <w:tr>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Regulatory &amp; Standards</w:t>
            </w:r>
            <w:r>
              <w:rPr>
                <w:rFonts w:ascii="Times New Roman" w:hAnsi="Times New Roman"/>
                <w:color w:val="222222"/>
                <w:sz w:val="17"/>
              </w:rPr>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Prescriptive colonial codes mandating OPC; absence of CSEB/bamboo in municipal codes; rigid public procurement rules</w:t>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78%</w:t>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Enact ARSO ARS 680-684 regional earth block codes; mandate 20% green material quotas in public housing; transition to performance codes</w:t>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82%</w:t>
            </w:r>
          </w:p>
        </w:tc>
      </w:tr>
      <w:tr>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Economic &amp; Supply Chain</w:t>
            </w:r>
            <w:r>
              <w:rPr>
                <w:rFonts w:ascii="Times New Roman" w:hAnsi="Times New Roman"/>
                <w:color w:val="222222"/>
                <w:sz w:val="17"/>
              </w:rPr>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Monopoly pricing of OPC; lack of commercial clay calciners; high cost of block presses; dispersed agro-waste networks</w:t>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72%</w:t>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Clustered agro-processing collection cooperatives; tax holidays on clean construction tech; micro-credit for artisanal block presses</w:t>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75%</w:t>
            </w:r>
          </w:p>
        </w:tc>
      </w:tr>
      <w:tr>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Technical &amp; Quality Assurance</w:t>
            </w:r>
            <w:r>
              <w:rPr>
                <w:rFonts w:ascii="Times New Roman" w:hAnsi="Times New Roman"/>
                <w:color w:val="222222"/>
                <w:sz w:val="17"/>
              </w:rPr>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High soil &amp; ash chemical variability; poor site curing practices; absence of accredited testing labs outside capitals</w:t>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64%</w:t>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Standardized field jar-testing protocols; artisan vocational certification programs; mobile university testing laboratories</w:t>
            </w:r>
          </w:p>
        </w:tc>
        <w:tc>
          <w:tcPr>
            <w:tcW w:type="dxa" w:w="1872"/>
            <w:shd w:fill="FFFFFF"/>
            <w:tcMar>
              <w:top w:w="60" w:type="dxa"/>
              <w:bottom w:w="60" w:type="dxa"/>
              <w:left w:w="80" w:type="dxa"/>
              <w:right w:w="80" w:type="dxa"/>
            </w:tcMar>
          </w:tcPr>
          <w:p>
            <w:pPr>
              <w:spacing w:after="40" w:before="40" w:line="252" w:lineRule="auto"/>
            </w:pPr>
            <w:r/>
            <w:r>
              <w:rPr>
                <w:rFonts w:ascii="Times New Roman" w:hAnsi="Times New Roman"/>
                <w:color w:val="222222"/>
                <w:sz w:val="17"/>
              </w:rPr>
              <w:t>79%</w:t>
            </w:r>
          </w:p>
        </w:tc>
      </w:tr>
      <w:tr>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r>
            <w:r>
              <w:rPr>
                <w:rFonts w:ascii="Times New Roman" w:hAnsi="Times New Roman"/>
                <w:b/>
                <w:color w:val="222222"/>
                <w:sz w:val="17"/>
              </w:rPr>
              <w:t>Socio-Cultural &amp; Perception</w:t>
            </w:r>
            <w:r>
              <w:rPr>
                <w:rFonts w:ascii="Times New Roman" w:hAnsi="Times New Roman"/>
                <w:color w:val="222222"/>
                <w:sz w:val="17"/>
              </w:rPr>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"Poor man's material" stigma for earth and bamboo; aspirational bias toward concrete and glass as status symbols</w:t>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61%</w:t>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Prestige institutional showcase buildings; public campaigns on passive thermal cooling comfort and lifetime energy savings</w:t>
            </w:r>
          </w:p>
        </w:tc>
        <w:tc>
          <w:tcPr>
            <w:tcW w:type="dxa" w:w="1872"/>
            <w:shd w:fill="F4F7FA"/>
            <w:tcMar>
              <w:top w:w="60" w:type="dxa"/>
              <w:bottom w:w="60" w:type="dxa"/>
              <w:left w:w="80" w:type="dxa"/>
              <w:right w:w="80" w:type="dxa"/>
            </w:tcMar>
          </w:tcPr>
          <w:p>
            <w:pPr>
              <w:spacing w:after="40" w:before="40" w:line="252" w:lineRule="auto"/>
            </w:pPr>
            <w:r/>
            <w:r>
              <w:rPr>
                <w:rFonts w:ascii="Times New Roman" w:hAnsi="Times New Roman"/>
                <w:color w:val="222222"/>
                <w:sz w:val="17"/>
              </w:rPr>
              <w:t>68%</w:t>
            </w:r>
          </w:p>
        </w:tc>
      </w:tr>
    </w:tbl>
    <w:p>
      <w:pPr>
        <w:spacing w:after="120"/>
      </w:pPr>
    </w:p>
    <w:p>
      <w:pPr>
        <w:spacing w:after="120" w:line="276" w:lineRule="auto"/>
      </w:pPr>
      <w:r>
        <w:rPr>
          <w:rFonts w:ascii="Times New Roman" w:hAnsi="Times New Roman"/>
          <w:b w:val="0"/>
          <w:i w:val="0"/>
          <w:color w:val="222222"/>
          <w:sz w:val="22"/>
        </w:rPr>
      </w:r>
      <w:r>
        <w:rPr>
          <w:rFonts w:ascii="Times New Roman" w:hAnsi="Times New Roman"/>
          <w:b w:val="0"/>
          <w:i/>
          <w:color w:val="222222"/>
          <w:sz w:val="22"/>
        </w:rPr>
        <w:t>(See Figure 5: Institutional, Economic, Technical, and Socio-Cultural Barriers vs. Enablers Matrix)</w:t>
      </w:r>
      <w:r>
        <w:rPr>
          <w:rFonts w:ascii="Times New Roman" w:hAnsi="Times New Roman"/>
          <w:b w:val="0"/>
          <w:i w:val="0"/>
          <w:color w:val="222222"/>
          <w:sz w:val="22"/>
        </w:rPr>
      </w:r>
    </w:p>
    <w:p>
      <w:pPr>
        <w:spacing w:before="280" w:after="120"/>
      </w:pPr>
      <w:r>
        <w:rPr>
          <w:rFonts w:ascii="Times New Roman" w:hAnsi="Times New Roman"/>
          <w:b/>
          <w:color w:val="1F497D"/>
          <w:sz w:val="27"/>
        </w:rPr>
        <w:t>4. Discussion</w:t>
      </w:r>
    </w:p>
    <w:p>
      <w:pPr>
        <w:spacing w:before="200" w:after="80"/>
      </w:pPr>
      <w:r>
        <w:rPr>
          <w:rFonts w:ascii="Times New Roman" w:hAnsi="Times New Roman"/>
          <w:b/>
          <w:color w:val="2E75B6"/>
          <w:sz w:val="23"/>
        </w:rPr>
        <w:t>4.1 Resolving the Strength-Sustainability Paradox in African Construction</w:t>
      </w:r>
    </w:p>
    <w:p>
      <w:pPr>
        <w:spacing w:after="120" w:line="276" w:lineRule="auto"/>
      </w:pPr>
      <w:r>
        <w:rPr>
          <w:rFonts w:ascii="Times New Roman" w:hAnsi="Times New Roman"/>
          <w:b w:val="0"/>
          <w:i w:val="0"/>
          <w:color w:val="222222"/>
          <w:sz w:val="22"/>
        </w:rPr>
        <w:t>A foundational finding of this systematic review is that the historical trade-off between sustainability and structural adequacy is largely an operational fallacy in the African context. The extensive empirical data (2,822 studies) demonstrates that properly engineered alternative materials do not merely match conventional building components—in many cases, they decisively surpass them in both structural capacity and environmental performance.</w:t>
      </w:r>
    </w:p>
    <w:p>
      <w:pPr>
        <w:spacing w:after="120" w:line="276" w:lineRule="auto"/>
      </w:pPr>
      <w:r>
        <w:rPr>
          <w:rFonts w:ascii="Times New Roman" w:hAnsi="Times New Roman"/>
          <w:b w:val="0"/>
          <w:i w:val="0"/>
          <w:color w:val="222222"/>
          <w:sz w:val="22"/>
        </w:rPr>
        <w:t>The most acute manifestation of this is observed in the walling sector. Commercial sandcrete masonry blocks, which dominate West and Central African residential construction, are produced by an informal artisanal sector characterized by severe cement dilution to maximize commercial profit. As confirmed across dozens of empirical surveys in Nigeria, Ghana, and Cameroon, commercial sandcrete blocks routinely test between 1.0 and 1.8 MPa—well below the 2.5 MPa statutory minimum stipulated by Nigerian NIS 87 and Ghanaian standards. This widespread structural deficiency is a direct primary cause of the catastrophic building collapse epidemics that plague Lagos, Abuja, Accra, and other rapidly expanding African cities.</w:t>
      </w:r>
    </w:p>
    <w:p>
      <w:pPr>
        <w:spacing w:after="120" w:line="276" w:lineRule="auto"/>
      </w:pPr>
      <w:r>
        <w:rPr>
          <w:rFonts w:ascii="Times New Roman" w:hAnsi="Times New Roman"/>
          <w:b w:val="0"/>
          <w:i w:val="0"/>
          <w:color w:val="222222"/>
          <w:sz w:val="22"/>
        </w:rPr>
        <w:t xml:space="preserve">In contrast, Compressed Stabilized Earth Blocks (CSEBs) formulated with modest stabilization levels (5–8% cement or lime) consistently achieve compressive strengths between 3.5 and 9.2 MPa. Thus, transitioning from commercial sandcrete to CSEBs simultaneously </w:t>
      </w:r>
      <w:r>
        <w:rPr>
          <w:b/>
        </w:rPr>
        <w:t>triples walling structural integrity</w:t>
      </w:r>
      <w:r>
        <w:rPr>
          <w:rFonts w:ascii="Times New Roman" w:hAnsi="Times New Roman"/>
          <w:b w:val="0"/>
          <w:i w:val="0"/>
          <w:color w:val="222222"/>
          <w:sz w:val="22"/>
        </w:rPr>
        <w:t xml:space="preserve"> while slashing cement consumption by 50–70%, eliminating river sand exploitation, and reducing wall embodied carbon by 65–78%.</w:t>
      </w:r>
    </w:p>
    <w:p>
      <w:pPr>
        <w:spacing w:after="120" w:line="276" w:lineRule="auto"/>
      </w:pPr>
      <w:r>
        <w:rPr>
          <w:rFonts w:ascii="Times New Roman" w:hAnsi="Times New Roman"/>
          <w:b w:val="0"/>
          <w:i w:val="0"/>
          <w:color w:val="222222"/>
          <w:sz w:val="22"/>
        </w:rPr>
        <w:t>Similarly, in structural concrete applications, Calcined Clay Limestone Cement (LC3) achieves 28-day strengths exceeding 35–50 MPa. Given that vast deposits of low-grade kaolinitic clays exist throughout West, East, and Central Africa that are unsuitable for ceramics or paper manufacturing, LC3 represents an extraordinary opportunity to achieve domestic clinker substitution, reducing foreign exchange depletion for clinker importation while mitigating industrial carbon emissions by over 35%.</w:t>
      </w:r>
    </w:p>
    <w:p>
      <w:pPr>
        <w:spacing w:before="200" w:after="80"/>
      </w:pPr>
      <w:r>
        <w:rPr>
          <w:rFonts w:ascii="Times New Roman" w:hAnsi="Times New Roman"/>
          <w:b/>
          <w:color w:val="2E75B6"/>
          <w:sz w:val="23"/>
        </w:rPr>
        <w:t>4.2 Decarbonization vs. Affordability: Macroeconomic Realities</w:t>
      </w:r>
    </w:p>
    <w:p>
      <w:pPr>
        <w:spacing w:after="120" w:line="276" w:lineRule="auto"/>
      </w:pPr>
      <w:r>
        <w:rPr>
          <w:rFonts w:ascii="Times New Roman" w:hAnsi="Times New Roman"/>
          <w:b w:val="0"/>
          <w:i w:val="0"/>
          <w:color w:val="222222"/>
          <w:sz w:val="22"/>
        </w:rPr>
        <w:t>In the Global North, sustainable construction is frequently viewed as a green premium intervention driven by voluntary certifications (LEED, BREEAM) or regulatory carbon taxation. In Africa, however, sustainable materials represent a direct economic imperative for basic housing affordability.</w:t>
      </w:r>
    </w:p>
    <w:p>
      <w:pPr>
        <w:spacing w:after="120" w:line="276" w:lineRule="auto"/>
      </w:pPr>
      <w:r>
        <w:rPr>
          <w:rFonts w:ascii="Times New Roman" w:hAnsi="Times New Roman"/>
          <w:b w:val="0"/>
          <w:i w:val="0"/>
          <w:color w:val="222222"/>
          <w:sz w:val="22"/>
        </w:rPr>
        <w:t xml:space="preserve">Between 2020 and 2025, currency devaluations and escalating fuel prices caused Portland cement prices to surge by over 150% in major African economies such as Nigeria, Ghana, and Kenya. In these contexts, conventional concrete construction has become increasingly unaffordable for the urban working class, exacerbating peri-urban informal slum expansions. The empirical evidence reviewed demonstrates that localized alternative materials—utilizing local earth, agricultural residues (RHA, POFA), and recycled aggregates—consistently deliver </w:t>
      </w:r>
      <w:r>
        <w:rPr>
          <w:b/>
        </w:rPr>
        <w:t>direct construction cost reductions of 15% to 35% per finished square meter</w:t>
      </w:r>
      <w:r>
        <w:rPr>
          <w:rFonts w:ascii="Times New Roman" w:hAnsi="Times New Roman"/>
          <w:b w:val="0"/>
          <w:i w:val="0"/>
          <w:color w:val="222222"/>
          <w:sz w:val="22"/>
        </w:rPr>
        <w:t>. Consequently, the deployment of sustainable building materials is fundamentally a socio-economic development strategy that aligns climate resilience with affordable housing delivery.</w:t>
      </w:r>
    </w:p>
    <w:p>
      <w:pPr>
        <w:spacing w:before="200" w:after="80"/>
      </w:pPr>
      <w:r>
        <w:rPr>
          <w:rFonts w:ascii="Times New Roman" w:hAnsi="Times New Roman"/>
          <w:b/>
          <w:color w:val="2E75B6"/>
          <w:sz w:val="23"/>
        </w:rPr>
        <w:t>4.3 Overcoming Institutional and Standardized Lock-In</w:t>
      </w:r>
    </w:p>
    <w:p>
      <w:pPr>
        <w:spacing w:after="120" w:line="276" w:lineRule="auto"/>
      </w:pPr>
      <w:r>
        <w:rPr>
          <w:rFonts w:ascii="Times New Roman" w:hAnsi="Times New Roman"/>
          <w:b w:val="0"/>
          <w:i w:val="0"/>
          <w:color w:val="222222"/>
          <w:sz w:val="22"/>
        </w:rPr>
        <w:t>If sustainable materials possess superior environmental metrics, robust structural performance, and significant cost advantages, why does mainstream adoption remain constrained? The synthesis of 2,822 studies reveals that the primary bottleneck is not material science, but institutional and regulatory inertia.</w:t>
      </w:r>
    </w:p>
    <w:p>
      <w:pPr>
        <w:spacing w:after="120" w:line="276" w:lineRule="auto"/>
      </w:pPr>
      <w:r>
        <w:rPr>
          <w:rFonts w:ascii="Times New Roman" w:hAnsi="Times New Roman"/>
          <w:b w:val="0"/>
          <w:i w:val="0"/>
          <w:color w:val="222222"/>
          <w:sz w:val="22"/>
        </w:rPr>
        <w:t>Most national building regulations in Anglophone and Francophone Africa remain rooted in inherited colonial frameworks that specify prescriptive ingredient recipes (e.g., mandatory mix proportions of Portland cement, crushed granite, and river sand) rather than functional performance criteria (e.g., minimum 28-day strength, fire resistance, and durability). Contractors face legal liabilities if they deviate from these prescriptive codes.</w:t>
      </w:r>
    </w:p>
    <w:p>
      <w:pPr>
        <w:spacing w:after="120" w:line="276" w:lineRule="auto"/>
      </w:pPr>
      <w:r>
        <w:rPr>
          <w:rFonts w:ascii="Times New Roman" w:hAnsi="Times New Roman"/>
          <w:b w:val="0"/>
          <w:i w:val="0"/>
          <w:color w:val="222222"/>
          <w:sz w:val="22"/>
        </w:rPr>
        <w:t>The immediate solution lies in the institutional adoption of the African Regional Standards (ARS 680 to ARS 684), promulgated by the African Organisation for Standardisation (ARSO) in 2020. These standards establish clear, harmonized testing and performance guidelines for compressed earth blocks across the African continent. Furthermore, national governments—as the single largest construction client across Africa—must introduce mandatory sustainable material procurement quotas (e.g., requiring at least 25% of masonry in public housing, military barracks, schools, and hospitals to utilize CSEB or LC3). Once public procurement creates consistent market demand, private sector investment in mechanized block presses, clay calciners, and quality control testing facilities will follow.</w:t>
      </w:r>
    </w:p>
    <w:p>
      <w:pPr>
        <w:spacing w:before="200" w:after="80"/>
      </w:pPr>
      <w:r>
        <w:rPr>
          <w:rFonts w:ascii="Times New Roman" w:hAnsi="Times New Roman"/>
          <w:b/>
          <w:color w:val="2E75B6"/>
          <w:sz w:val="23"/>
        </w:rPr>
        <w:t>4.4 Strengths and Limitations of the Review</w:t>
      </w:r>
    </w:p>
    <w:p>
      <w:pPr>
        <w:pStyle w:val="ListBullet"/>
        <w:spacing w:after="60" w:line="269" w:lineRule="auto"/>
      </w:pPr>
      <w:r>
        <w:rPr>
          <w:rFonts w:ascii="Times New Roman" w:hAnsi="Times New Roman"/>
          <w:sz w:val="21"/>
        </w:rPr>
      </w:r>
      <w:r>
        <w:rPr>
          <w:rFonts w:ascii="Times New Roman" w:hAnsi="Times New Roman"/>
          <w:b/>
          <w:sz w:val="21"/>
        </w:rPr>
        <w:t>Strengths:</w:t>
      </w:r>
      <w:r>
        <w:rPr>
          <w:rFonts w:ascii="Times New Roman" w:hAnsi="Times New Roman"/>
          <w:sz w:val="21"/>
        </w:rPr>
        <w:t xml:space="preserve"> This review represents the largest and most comprehensive systematic synthesis of sustainable building materials in Africa conducted to date (9,112 citations screened, 2,822 empirical studies extracted and appraised). It strictly adheres to PRISMA 2020 guidelines, incorporates JBI quality appraisal, bridges international and indigenous African publishing databases (AJOL), and provides open-science datasets and high-resolution figures.</w:t>
      </w:r>
    </w:p>
    <w:p>
      <w:pPr>
        <w:pStyle w:val="ListBullet"/>
        <w:spacing w:after="60" w:line="269" w:lineRule="auto"/>
      </w:pPr>
      <w:r>
        <w:rPr>
          <w:rFonts w:ascii="Times New Roman" w:hAnsi="Times New Roman"/>
          <w:sz w:val="21"/>
        </w:rPr>
      </w:r>
      <w:r>
        <w:rPr>
          <w:rFonts w:ascii="Times New Roman" w:hAnsi="Times New Roman"/>
          <w:b/>
          <w:sz w:val="21"/>
        </w:rPr>
        <w:t>Limitations:</w:t>
      </w:r>
      <w:r>
        <w:rPr>
          <w:rFonts w:ascii="Times New Roman" w:hAnsi="Times New Roman"/>
          <w:sz w:val="21"/>
        </w:rPr>
        <w:t xml:space="preserve"> The primary limitation is the persistent scarcity of longitudinal field durability data. While 100% of included studies report 28-day laboratory compressive capacities, fewer than 15% evaluate multi-year weathering, accelerated wet-dry durability, or seismic performance under simulated tropical monsoon cycles. Furthermore, life-cycle assessments (LCAs) in the literature frequently rely on European or global background databases (e.g., Ecoinvent) rather than localized African electrical grid emission factors and regional diesel transport logistics.</w:t>
      </w:r>
    </w:p>
    <w:p>
      <w:pPr>
        <w:spacing w:before="280" w:after="120"/>
      </w:pPr>
      <w:r>
        <w:rPr>
          <w:rFonts w:ascii="Times New Roman" w:hAnsi="Times New Roman"/>
          <w:b/>
          <w:color w:val="1F497D"/>
          <w:sz w:val="27"/>
        </w:rPr>
        <w:t>5. Conclusions &amp; Strategic Roadmap</w:t>
      </w:r>
    </w:p>
    <w:p>
      <w:pPr>
        <w:spacing w:before="200" w:after="80"/>
      </w:pPr>
      <w:r>
        <w:rPr>
          <w:rFonts w:ascii="Times New Roman" w:hAnsi="Times New Roman"/>
          <w:b/>
          <w:color w:val="2E75B6"/>
          <w:sz w:val="23"/>
        </w:rPr>
        <w:t>5.1 Principal Findings</w:t>
      </w:r>
    </w:p>
    <w:p>
      <w:pPr>
        <w:pStyle w:val="ListNumber"/>
        <w:spacing w:after="60" w:line="269" w:lineRule="auto"/>
      </w:pPr>
      <w:r>
        <w:rPr>
          <w:rFonts w:ascii="Times New Roman" w:hAnsi="Times New Roman"/>
          <w:sz w:val="21"/>
        </w:rPr>
      </w:r>
      <w:r>
        <w:rPr>
          <w:rFonts w:ascii="Times New Roman" w:hAnsi="Times New Roman"/>
          <w:b/>
          <w:sz w:val="21"/>
        </w:rPr>
        <w:t>Empirical Evidence Scale:</w:t>
      </w:r>
      <w:r>
        <w:rPr>
          <w:rFonts w:ascii="Times New Roman" w:hAnsi="Times New Roman"/>
          <w:sz w:val="21"/>
        </w:rPr>
        <w:t xml:space="preserve"> Over the 2015–2025 decade, 2,822 peer-reviewed empirical studies have established that sustainable building materials across Africa possess structural and environmental capacities fully capable of replacing conventional Portland cement concrete and commercial sandcrete blocks.</w:t>
      </w:r>
    </w:p>
    <w:p>
      <w:pPr>
        <w:pStyle w:val="ListNumber"/>
        <w:spacing w:after="60" w:line="269" w:lineRule="auto"/>
      </w:pPr>
      <w:r>
        <w:rPr>
          <w:rFonts w:ascii="Times New Roman" w:hAnsi="Times New Roman"/>
          <w:sz w:val="21"/>
        </w:rPr>
      </w:r>
      <w:r>
        <w:rPr>
          <w:rFonts w:ascii="Times New Roman" w:hAnsi="Times New Roman"/>
          <w:b/>
          <w:sz w:val="21"/>
        </w:rPr>
        <w:t>Material Dominance:</w:t>
      </w:r>
      <w:r>
        <w:rPr>
          <w:rFonts w:ascii="Times New Roman" w:hAnsi="Times New Roman"/>
          <w:sz w:val="21"/>
        </w:rPr>
        <w:t xml:space="preserve"> Research is anchored by Low-Carbon Binders (35.3%) and Earth-Based Masonry (31.3%), which together account for over two-thirds of the continental research output.</w:t>
      </w:r>
    </w:p>
    <w:p>
      <w:pPr>
        <w:pStyle w:val="ListNumber"/>
        <w:spacing w:after="60" w:line="269" w:lineRule="auto"/>
      </w:pPr>
      <w:r>
        <w:rPr>
          <w:rFonts w:ascii="Times New Roman" w:hAnsi="Times New Roman"/>
          <w:sz w:val="21"/>
        </w:rPr>
      </w:r>
      <w:r>
        <w:rPr>
          <w:rFonts w:ascii="Times New Roman" w:hAnsi="Times New Roman"/>
          <w:b/>
          <w:sz w:val="21"/>
        </w:rPr>
        <w:t>Structural Superiority:</w:t>
      </w:r>
      <w:r>
        <w:rPr>
          <w:rFonts w:ascii="Times New Roman" w:hAnsi="Times New Roman"/>
          <w:sz w:val="21"/>
        </w:rPr>
        <w:t xml:space="preserve"> Compressed Stabilized Earth Blocks (3.5–9.2 MPa) provide 2 to 3 times the compressive strength of substandard commercial sandcrete blocks (1.0–1.8 MPa) while utilizing 50–70% less cement. LC3 and agro-waste pozzolan concretes fully achieve structural grades (25–52 MPa).</w:t>
      </w:r>
    </w:p>
    <w:p>
      <w:pPr>
        <w:pStyle w:val="ListNumber"/>
        <w:spacing w:after="60" w:line="269" w:lineRule="auto"/>
      </w:pPr>
      <w:r>
        <w:rPr>
          <w:rFonts w:ascii="Times New Roman" w:hAnsi="Times New Roman"/>
          <w:sz w:val="21"/>
        </w:rPr>
      </w:r>
      <w:r>
        <w:rPr>
          <w:rFonts w:ascii="Times New Roman" w:hAnsi="Times New Roman"/>
          <w:b/>
          <w:sz w:val="21"/>
        </w:rPr>
        <w:t>Environmental Impact:</w:t>
      </w:r>
      <w:r>
        <w:rPr>
          <w:rFonts w:ascii="Times New Roman" w:hAnsi="Times New Roman"/>
          <w:sz w:val="21"/>
        </w:rPr>
        <w:t xml:space="preserve"> Alternative systems deliver 18% to 42% embodied carbon reductions for binders, 65% to 78% for stabilized earth, and net negative carbon sequestration for structural bamboo.</w:t>
      </w:r>
    </w:p>
    <w:p>
      <w:pPr>
        <w:pStyle w:val="ListNumber"/>
        <w:spacing w:after="60" w:line="269" w:lineRule="auto"/>
      </w:pPr>
      <w:r>
        <w:rPr>
          <w:rFonts w:ascii="Times New Roman" w:hAnsi="Times New Roman"/>
          <w:sz w:val="21"/>
        </w:rPr>
      </w:r>
      <w:r>
        <w:rPr>
          <w:rFonts w:ascii="Times New Roman" w:hAnsi="Times New Roman"/>
          <w:b/>
          <w:sz w:val="21"/>
        </w:rPr>
        <w:t>Adoption Bottlenecks:</w:t>
      </w:r>
      <w:r>
        <w:rPr>
          <w:rFonts w:ascii="Times New Roman" w:hAnsi="Times New Roman"/>
          <w:sz w:val="21"/>
        </w:rPr>
        <w:t xml:space="preserve"> Systemic adoption is held back primarily by outdated prescriptive building codes (78%), fragmented supply chains (72%), lack of local testing infrastructure (64%), and social perception stigmas (61%).</w:t>
      </w:r>
    </w:p>
    <w:p>
      <w:pPr>
        <w:spacing w:before="200" w:after="80"/>
      </w:pPr>
      <w:r>
        <w:rPr>
          <w:rFonts w:ascii="Times New Roman" w:hAnsi="Times New Roman"/>
          <w:b/>
          <w:color w:val="2E75B6"/>
          <w:sz w:val="23"/>
        </w:rPr>
        <w:t>5.2 Strategic Action Roadmap (2026–2030)</w:t>
      </w:r>
    </w:p>
    <w:p>
      <w:pPr>
        <w:spacing w:after="120" w:line="276" w:lineRule="auto"/>
      </w:pPr>
      <w:r>
        <w:rPr>
          <w:rFonts w:ascii="Times New Roman" w:hAnsi="Times New Roman"/>
          <w:b w:val="0"/>
          <w:i w:val="0"/>
          <w:color w:val="222222"/>
          <w:sz w:val="22"/>
        </w:rPr>
        <w:t>To translate empirical research into continental built reality, the following strategic actions are urgently recommended:</w:t>
      </w:r>
    </w:p>
    <w:p>
      <w:pPr>
        <w:pStyle w:val="ListNumber"/>
        <w:spacing w:after="60" w:line="269" w:lineRule="auto"/>
      </w:pPr>
      <w:r>
        <w:rPr>
          <w:rFonts w:ascii="Times New Roman" w:hAnsi="Times New Roman"/>
          <w:sz w:val="21"/>
        </w:rPr>
      </w:r>
      <w:r>
        <w:rPr>
          <w:rFonts w:ascii="Times New Roman" w:hAnsi="Times New Roman"/>
          <w:b/>
          <w:sz w:val="21"/>
        </w:rPr>
        <w:t>Standardization Reform:</w:t>
      </w:r>
      <w:r>
        <w:rPr>
          <w:rFonts w:ascii="Times New Roman" w:hAnsi="Times New Roman"/>
          <w:sz w:val="21"/>
        </w:rPr>
        <w:t xml:space="preserve"> National standards bodies (e.g., SON in Nigeria, GSA in Ghana, KEBS in Kenya, SABS in South Africa) must formally gazette and integrate ARSO ARS 680–684 regional earth block codes into national building regulations and transition from recipe-based to performance-based structural codes.</w:t>
      </w:r>
    </w:p>
    <w:p>
      <w:pPr>
        <w:pStyle w:val="ListNumber"/>
        <w:spacing w:after="60" w:line="269" w:lineRule="auto"/>
      </w:pPr>
      <w:r>
        <w:rPr>
          <w:rFonts w:ascii="Times New Roman" w:hAnsi="Times New Roman"/>
          <w:sz w:val="21"/>
        </w:rPr>
      </w:r>
      <w:r>
        <w:rPr>
          <w:rFonts w:ascii="Times New Roman" w:hAnsi="Times New Roman"/>
          <w:b/>
          <w:sz w:val="21"/>
        </w:rPr>
        <w:t>Public Procurement Mandates:</w:t>
      </w:r>
      <w:r>
        <w:rPr>
          <w:rFonts w:ascii="Times New Roman" w:hAnsi="Times New Roman"/>
          <w:sz w:val="21"/>
        </w:rPr>
        <w:t xml:space="preserve"> African governments must enforce minimum 25% green building material quotas across all federally funded social housing, educational, and healthcare infrastructure projects.</w:t>
      </w:r>
    </w:p>
    <w:p>
      <w:pPr>
        <w:pStyle w:val="ListNumber"/>
        <w:spacing w:after="60" w:line="269" w:lineRule="auto"/>
      </w:pPr>
      <w:r>
        <w:rPr>
          <w:rFonts w:ascii="Times New Roman" w:hAnsi="Times New Roman"/>
          <w:sz w:val="21"/>
        </w:rPr>
      </w:r>
      <w:r>
        <w:rPr>
          <w:rFonts w:ascii="Times New Roman" w:hAnsi="Times New Roman"/>
          <w:b/>
          <w:sz w:val="21"/>
        </w:rPr>
        <w:t>Decentralized Production Hubs:</w:t>
      </w:r>
      <w:r>
        <w:rPr>
          <w:rFonts w:ascii="Times New Roman" w:hAnsi="Times New Roman"/>
          <w:sz w:val="21"/>
        </w:rPr>
        <w:t xml:space="preserve"> Establish public-private partnerships (PPPs) to develop regional clay calcining plants for LC3 production and clustered agro-processing ash collection cooperatives in agricultural belts.</w:t>
      </w:r>
    </w:p>
    <w:p>
      <w:pPr>
        <w:pStyle w:val="ListNumber"/>
        <w:spacing w:after="60" w:line="269" w:lineRule="auto"/>
      </w:pPr>
      <w:r>
        <w:rPr>
          <w:rFonts w:ascii="Times New Roman" w:hAnsi="Times New Roman"/>
          <w:sz w:val="21"/>
        </w:rPr>
      </w:r>
      <w:r>
        <w:rPr>
          <w:rFonts w:ascii="Times New Roman" w:hAnsi="Times New Roman"/>
          <w:b/>
          <w:sz w:val="21"/>
        </w:rPr>
        <w:t>Artisan Vocational Certification:</w:t>
      </w:r>
      <w:r>
        <w:rPr>
          <w:rFonts w:ascii="Times New Roman" w:hAnsi="Times New Roman"/>
          <w:sz w:val="21"/>
        </w:rPr>
        <w:t xml:space="preserve"> Integrate standardized training on compressed earth compaction, natural fiber treatment, and moisture-controlled curing into national technical and vocational education and training (TVET) curricula.</w:t>
      </w:r>
    </w:p>
    <w:p>
      <w:pPr>
        <w:pStyle w:val="ListNumber"/>
        <w:spacing w:after="60" w:line="269" w:lineRule="auto"/>
      </w:pPr>
      <w:r>
        <w:rPr>
          <w:rFonts w:ascii="Times New Roman" w:hAnsi="Times New Roman"/>
          <w:sz w:val="21"/>
        </w:rPr>
      </w:r>
      <w:r>
        <w:rPr>
          <w:rFonts w:ascii="Times New Roman" w:hAnsi="Times New Roman"/>
          <w:b/>
          <w:sz w:val="21"/>
        </w:rPr>
        <w:t>Prestige Showcase Architecture:</w:t>
      </w:r>
      <w:r>
        <w:rPr>
          <w:rFonts w:ascii="Times New Roman" w:hAnsi="Times New Roman"/>
          <w:sz w:val="21"/>
        </w:rPr>
        <w:t xml:space="preserve"> Commission leading African architects to deploy exposed stabilized earth, structural bamboo, and mass timber in prominent civic buildings, permanently dispelling the stigma of alternative materials as "poor man's housing."</w:t>
      </w:r>
    </w:p>
    <w:p>
      <w:pPr>
        <w:spacing w:before="280" w:after="120"/>
      </w:pPr>
      <w:r>
        <w:rPr>
          <w:rFonts w:ascii="Times New Roman" w:hAnsi="Times New Roman"/>
          <w:b/>
          <w:color w:val="1F497D"/>
          <w:sz w:val="27"/>
        </w:rPr>
        <w:t>Declarations</w:t>
      </w:r>
    </w:p>
    <w:p>
      <w:pPr>
        <w:spacing w:after="120" w:line="276" w:lineRule="auto"/>
      </w:pPr>
      <w:r>
        <w:rPr>
          <w:rFonts w:ascii="Times New Roman" w:hAnsi="Times New Roman"/>
          <w:b w:val="0"/>
          <w:i w:val="0"/>
          <w:color w:val="222222"/>
          <w:sz w:val="22"/>
        </w:rPr>
      </w:r>
      <w:r>
        <w:rPr>
          <w:b/>
        </w:rPr>
        <w:t>Registration &amp; Protocol:</w:t>
      </w:r>
      <w:r>
        <w:rPr>
          <w:rFonts w:ascii="Times New Roman" w:hAnsi="Times New Roman"/>
          <w:b w:val="0"/>
          <w:i w:val="0"/>
          <w:color w:val="222222"/>
          <w:sz w:val="22"/>
        </w:rPr>
        <w:t xml:space="preserve"> Registered on Open Science Framework (OSF) and archived on Zenodo (DOI: 10.5281/zenodo.22771539).</w:t>
      </w:r>
    </w:p>
    <w:p>
      <w:pPr>
        <w:spacing w:after="120" w:line="276" w:lineRule="auto"/>
      </w:pPr>
      <w:r>
        <w:rPr>
          <w:rFonts w:ascii="Times New Roman" w:hAnsi="Times New Roman"/>
          <w:b w:val="0"/>
          <w:i w:val="0"/>
          <w:color w:val="222222"/>
          <w:sz w:val="22"/>
        </w:rPr>
      </w:r>
      <w:r>
        <w:rPr>
          <w:b/>
        </w:rPr>
        <w:t>Author Contributions:</w:t>
      </w:r>
      <w:r>
        <w:rPr>
          <w:rFonts w:ascii="Times New Roman" w:hAnsi="Times New Roman"/>
          <w:b w:val="0"/>
          <w:i w:val="0"/>
          <w:color w:val="222222"/>
          <w:sz w:val="22"/>
        </w:rPr>
        <w:t xml:space="preserve"> Agbeniga Agboola conceived the review protocol, designed the search architecture, executed data screening, performed extraction and JBI quality appraisal, synthesized mechanical and LCA datasets, and drafted the manuscript.</w:t>
      </w:r>
    </w:p>
    <w:p>
      <w:pPr>
        <w:spacing w:after="120" w:line="276" w:lineRule="auto"/>
      </w:pPr>
      <w:r>
        <w:rPr>
          <w:rFonts w:ascii="Times New Roman" w:hAnsi="Times New Roman"/>
          <w:b w:val="0"/>
          <w:i w:val="0"/>
          <w:color w:val="222222"/>
          <w:sz w:val="22"/>
        </w:rPr>
      </w:r>
      <w:r>
        <w:rPr>
          <w:b/>
        </w:rPr>
        <w:t>Data Availability Statement:</w:t>
      </w:r>
      <w:r>
        <w:rPr>
          <w:rFonts w:ascii="Times New Roman" w:hAnsi="Times New Roman"/>
          <w:b w:val="0"/>
          <w:i w:val="0"/>
          <w:color w:val="222222"/>
          <w:sz w:val="22"/>
        </w:rPr>
        <w:t xml:space="preserve"> All datasets generated and analyzed during this systematic review—including master search logs, deduplication registers, screening audits, 29-field extraction matrices, and JBI appraisal logs—are publicly available in the Zenodo repository at [https://doi.org/10.5281/zenodo.22771539](https://doi.org/10.5281/zenodo.22771539).</w:t>
      </w:r>
    </w:p>
    <w:p>
      <w:pPr>
        <w:spacing w:after="120" w:line="276" w:lineRule="auto"/>
      </w:pPr>
      <w:r>
        <w:rPr>
          <w:rFonts w:ascii="Times New Roman" w:hAnsi="Times New Roman"/>
          <w:b w:val="0"/>
          <w:i w:val="0"/>
          <w:color w:val="222222"/>
          <w:sz w:val="22"/>
        </w:rPr>
      </w:r>
      <w:r>
        <w:rPr>
          <w:b/>
        </w:rPr>
        <w:t>Funding:</w:t>
      </w:r>
      <w:r>
        <w:rPr>
          <w:rFonts w:ascii="Times New Roman" w:hAnsi="Times New Roman"/>
          <w:b w:val="0"/>
          <w:i w:val="0"/>
          <w:color w:val="222222"/>
          <w:sz w:val="22"/>
        </w:rPr>
        <w:t xml:space="preserve"> This systematic review received no specific grant from any funding agency in the public, commercial, or not-for-profit sectors.</w:t>
      </w:r>
    </w:p>
    <w:p>
      <w:pPr>
        <w:spacing w:after="120" w:line="276" w:lineRule="auto"/>
      </w:pPr>
      <w:r>
        <w:rPr>
          <w:rFonts w:ascii="Times New Roman" w:hAnsi="Times New Roman"/>
          <w:b w:val="0"/>
          <w:i w:val="0"/>
          <w:color w:val="222222"/>
          <w:sz w:val="22"/>
        </w:rPr>
      </w:r>
      <w:r>
        <w:rPr>
          <w:b/>
        </w:rPr>
        <w:t>Competing Interests:</w:t>
      </w:r>
      <w:r>
        <w:rPr>
          <w:rFonts w:ascii="Times New Roman" w:hAnsi="Times New Roman"/>
          <w:b w:val="0"/>
          <w:i w:val="0"/>
          <w:color w:val="222222"/>
          <w:sz w:val="22"/>
        </w:rPr>
        <w:t xml:space="preserve"> The author declares that they have no known competing financial interests or personal relationships that could have appeared to influence the work reported in this paper.</w:t>
      </w:r>
    </w:p>
    <w:p>
      <w:pPr>
        <w:spacing w:before="280" w:after="120"/>
      </w:pPr>
      <w:r>
        <w:rPr>
          <w:rFonts w:ascii="Times New Roman" w:hAnsi="Times New Roman"/>
          <w:b/>
          <w:color w:val="1F497D"/>
          <w:sz w:val="27"/>
        </w:rPr>
        <w:t>References</w:t>
      </w:r>
    </w:p>
    <w:p>
      <w:pPr>
        <w:pStyle w:val="ListNumber"/>
        <w:spacing w:after="60" w:line="269" w:lineRule="auto"/>
      </w:pPr>
      <w:r>
        <w:rPr>
          <w:rFonts w:ascii="Times New Roman" w:hAnsi="Times New Roman"/>
          <w:sz w:val="21"/>
        </w:rPr>
        <w:t>Page, M. J., McKenzie, J. E., Bossuyt, P. M., Boutron, I., Hoffmann, T. C., Mulrow, C. D., ... &amp; Moher, D. (2021). The PRISMA 2020 statement: an updated guideline for reporting systematic reviews. *BMJ*, 372, n71.</w:t>
      </w:r>
    </w:p>
    <w:p>
      <w:pPr>
        <w:pStyle w:val="ListNumber"/>
        <w:spacing w:after="60" w:line="269" w:lineRule="auto"/>
      </w:pPr>
      <w:r>
        <w:rPr>
          <w:rFonts w:ascii="Times New Roman" w:hAnsi="Times New Roman"/>
          <w:sz w:val="21"/>
        </w:rPr>
        <w:t>Scrivener, K. L., John, V. M., &amp; Gartner, E. M. (2018). Eco-efficient cements: Potential economically viable solutions for a low-CO2 cement-based materials industry. *Cement and Concrete Research*, 114, 2-26.</w:t>
      </w:r>
    </w:p>
    <w:p>
      <w:pPr>
        <w:pStyle w:val="ListNumber"/>
        <w:spacing w:after="60" w:line="269" w:lineRule="auto"/>
      </w:pPr>
      <w:r>
        <w:rPr>
          <w:rFonts w:ascii="Times New Roman" w:hAnsi="Times New Roman"/>
          <w:sz w:val="21"/>
        </w:rPr>
        <w:t>Alonso-Álvarez, D. (2025). The African Journals Online (AJOL) corpus: 123,571 open access publications across African nations. *Zenodo*, DOI: 10.5281/zenodo.14899380.</w:t>
      </w:r>
    </w:p>
    <w:p>
      <w:pPr>
        <w:pStyle w:val="ListNumber"/>
        <w:spacing w:after="60" w:line="269" w:lineRule="auto"/>
      </w:pPr>
      <w:r>
        <w:rPr>
          <w:rFonts w:ascii="Times New Roman" w:hAnsi="Times New Roman"/>
          <w:sz w:val="21"/>
        </w:rPr>
        <w:t>African Organisation for Standardisation (ARSO). (2020). *ARS 680 to 684: Compressed Earth Blocks — Standard Specifications and Test Methods*. ARSO Central Secretariat, Nairobi, Kenya.</w:t>
      </w:r>
    </w:p>
    <w:p>
      <w:pPr>
        <w:pStyle w:val="ListNumber"/>
        <w:spacing w:after="60" w:line="269" w:lineRule="auto"/>
      </w:pPr>
      <w:r>
        <w:rPr>
          <w:rFonts w:ascii="Times New Roman" w:hAnsi="Times New Roman"/>
          <w:sz w:val="21"/>
        </w:rPr>
        <w:t>Standards Organisation of Nigeria (SON). (2007). *NIS 87: Standard for Sandcrete Blocks*. SON Standards Council, Abuja, Nigeria.</w:t>
      </w:r>
    </w:p>
    <w:p>
      <w:pPr>
        <w:pStyle w:val="ListNumber"/>
        <w:spacing w:after="60" w:line="269" w:lineRule="auto"/>
      </w:pPr>
      <w:r>
        <w:rPr>
          <w:rFonts w:ascii="Times New Roman" w:hAnsi="Times New Roman"/>
          <w:sz w:val="21"/>
        </w:rPr>
        <w:t>Minke, G. (2021). *Building with Earth: Design and Technology of a Sustainable Architecture*. Birkhäuser, Basel.</w:t>
      </w:r>
    </w:p>
    <w:p>
      <w:pPr>
        <w:pStyle w:val="ListNumber"/>
        <w:spacing w:after="60" w:line="269" w:lineRule="auto"/>
      </w:pPr>
      <w:r>
        <w:rPr>
          <w:rFonts w:ascii="Times New Roman" w:hAnsi="Times New Roman"/>
          <w:sz w:val="21"/>
        </w:rPr>
        <w:t>Dabaieh, M., Heinonen, J., El-Mahdy, D., &amp; Hassan, M. (2020). A carbon footprint approach for low-carbon residential buildings: Case study of a rammed earth passive house. *Journal of Cleaner Production*, 267, 121966.</w:t>
      </w:r>
    </w:p>
    <w:p>
      <w:pPr>
        <w:pStyle w:val="ListNumber"/>
        <w:spacing w:after="60" w:line="269" w:lineRule="auto"/>
      </w:pPr>
      <w:r>
        <w:rPr>
          <w:rFonts w:ascii="Times New Roman" w:hAnsi="Times New Roman"/>
          <w:sz w:val="21"/>
        </w:rPr>
        <w:t>Danso, H., Martinson, D. B., Ali, M., &amp; Mantey, J. (2015). Performance characteristics of enhanced soil blocks: a review. *Journal of Materials in Civil Engineering*, 27(8), 04014232.</w:t>
      </w:r>
    </w:p>
    <w:p>
      <w:pPr>
        <w:pStyle w:val="ListNumber"/>
        <w:spacing w:after="60" w:line="269" w:lineRule="auto"/>
      </w:pPr>
      <w:r>
        <w:rPr>
          <w:rFonts w:ascii="Times New Roman" w:hAnsi="Times New Roman"/>
          <w:sz w:val="21"/>
        </w:rPr>
        <w:t>Aprianti, E., Shafigh, P., Bahri, S., &amp; Farahani, J. N. (2015). Supplementary cementitious materials origin from agricultural wastes: A review. *Construction and Building Materials*, 74, 176-187.</w:t>
      </w:r>
    </w:p>
    <w:p>
      <w:pPr>
        <w:pStyle w:val="ListNumber"/>
        <w:spacing w:after="60" w:line="269" w:lineRule="auto"/>
      </w:pPr>
      <w:r>
        <w:rPr>
          <w:rFonts w:ascii="Times New Roman" w:hAnsi="Times New Roman"/>
          <w:sz w:val="21"/>
        </w:rPr>
        <w:t>UN-Habitat. (2022). *The State of African Cities 2022: Physical and Social Infrastructure in Urban Africa*. United Nations Human Settlements Programme, Nairobi.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