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PRISMA 2020 Flow Diagram</w:t>
      </w:r>
    </w:p>
    <w:p>
      <w:r>
        <w:t>Sustainable Building Materials in Africa (2015–2025): A Systematic Review</w:t>
        <w:br/>
        <w:t>Author: Agbeniga Agboola</w:t>
        <w:br/>
        <w:t>OSF: https://osf.io/dvukp/</w:t>
        <w:br/>
        <w:t>DOI: 10.5281/zenodo.22771539</w:t>
      </w:r>
    </w:p>
    <w:p>
      <w:r>
        <w:drawing>
          <wp:inline xmlns:a="http://schemas.openxmlformats.org/drawingml/2006/main" xmlns:pic="http://schemas.openxmlformats.org/drawingml/2006/picture">
            <wp:extent cx="5943600" cy="67413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RISMA_2020_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139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