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Times New Roman" w:hAnsi="Times New Roman"/>
          <w:b/>
          <w:color w:val="1B365D"/>
          <w:sz w:val="32"/>
        </w:rPr>
        <w:t>Journal Submission Companion Package</w:t>
        <w:br/>
        <w:t>Cover Letter, Research Highlights &amp; Reviewer Nominations</w:t>
      </w:r>
    </w:p>
    <w:p>
      <w:pPr>
        <w:spacing w:line="276" w:lineRule="auto" w:after="120"/>
      </w:pPr>
      <w:r>
        <w:rPr>
          <w:rFonts w:ascii="Times New Roman" w:hAnsi="Times New Roman"/>
          <w:b/>
          <w:sz w:val="22"/>
        </w:rPr>
        <w:t xml:space="preserve">Article Title: </w:t>
      </w:r>
      <w:r>
        <w:rPr>
          <w:rFonts w:ascii="Times New Roman" w:hAnsi="Times New Roman"/>
          <w:sz w:val="22"/>
        </w:rPr>
        <w:t>Sustainable Building Materials in Africa (2015–2025): A Systematic Review</w:t>
      </w:r>
    </w:p>
    <w:p>
      <w:pPr>
        <w:spacing w:line="276" w:lineRule="auto" w:after="120"/>
      </w:pPr>
      <w:r>
        <w:rPr>
          <w:rFonts w:ascii="Times New Roman" w:hAnsi="Times New Roman"/>
          <w:b/>
          <w:sz w:val="22"/>
        </w:rPr>
        <w:t xml:space="preserve">Author: </w:t>
      </w:r>
      <w:r>
        <w:rPr>
          <w:rFonts w:ascii="Times New Roman" w:hAnsi="Times New Roman"/>
          <w:sz w:val="22"/>
        </w:rPr>
        <w:t>Agbeniga Agboola (ORCID: 0009-0005-6878-1661 | emmanuelagbeniga@gmail.com)</w:t>
      </w:r>
    </w:p>
    <w:p>
      <w:pPr>
        <w:spacing w:line="276" w:lineRule="auto" w:after="120"/>
      </w:pPr>
      <w:r>
        <w:rPr>
          <w:rFonts w:ascii="Times New Roman" w:hAnsi="Times New Roman"/>
          <w:b/>
          <w:sz w:val="22"/>
        </w:rPr>
        <w:t xml:space="preserve">Affiliation: </w:t>
      </w:r>
      <w:r>
        <w:rPr>
          <w:rFonts w:ascii="Times New Roman" w:hAnsi="Times New Roman"/>
          <w:sz w:val="22"/>
        </w:rPr>
        <w:t>Independent Researcher and Civil / Site Engineer</w:t>
      </w:r>
    </w:p>
    <w:p>
      <w:pPr>
        <w:spacing w:line="276" w:lineRule="auto" w:after="120"/>
      </w:pPr>
      <w:r>
        <w:rPr>
          <w:rFonts w:ascii="Times New Roman" w:hAnsi="Times New Roman"/>
          <w:b/>
          <w:sz w:val="22"/>
        </w:rPr>
        <w:t xml:space="preserve">Target Journals: </w:t>
      </w:r>
      <w:r>
        <w:rPr>
          <w:rFonts w:ascii="Times New Roman" w:hAnsi="Times New Roman"/>
          <w:sz w:val="22"/>
        </w:rPr>
        <w:t>Construction and Building Materials (Elsevier) / Journal of Building Engineering (Elsevier)</w:t>
      </w:r>
    </w:p>
    <w:p>
      <w:pPr>
        <w:spacing w:line="276" w:lineRule="auto" w:after="120"/>
      </w:pPr>
      <w:r>
        <w:rPr>
          <w:rFonts w:ascii="Times New Roman" w:hAnsi="Times New Roman"/>
          <w:b/>
          <w:sz w:val="22"/>
        </w:rPr>
        <w:t xml:space="preserve">Data Repositories: </w:t>
      </w:r>
      <w:r>
        <w:rPr>
          <w:rFonts w:ascii="Times New Roman" w:hAnsi="Times New Roman"/>
          <w:sz w:val="22"/>
        </w:rPr>
        <w:t>https://osf.io/dvukp/ | Zenodo DOI: 10.5281/zenodo.22771539</w:t>
      </w:r>
    </w:p>
    <w:p>
      <w:pPr>
        <w:pStyle w:val="Heading1"/>
        <w:spacing w:before="280" w:after="80"/>
      </w:pPr>
      <w:r>
        <w:rPr>
          <w:rFonts w:ascii="Times New Roman" w:hAnsi="Times New Roman"/>
          <w:color w:val="1B365D"/>
        </w:rPr>
        <w:t>1. Cover Letter to the Editor-in-Chief</w:t>
      </w:r>
    </w:p>
    <w:p>
      <w:pPr>
        <w:spacing w:line="276" w:lineRule="auto" w:after="120"/>
      </w:pPr>
      <w:r>
        <w:rPr>
          <w:rFonts w:ascii="Times New Roman" w:hAnsi="Times New Roman"/>
          <w:sz w:val="22"/>
        </w:rPr>
        <w:t>To:</w:t>
        <w:br/>
        <w:t>The Editor-in-Chief</w:t>
        <w:br/>
        <w:t>Construction and Building Materials / Journal of Building Engineering</w:t>
        <w:br/>
        <w:t>Elsevier Science B.V.</w:t>
      </w:r>
    </w:p>
    <w:p>
      <w:pPr>
        <w:spacing w:line="276" w:lineRule="auto" w:after="120"/>
      </w:pPr>
      <w:r>
        <w:rPr>
          <w:rFonts w:ascii="Times New Roman" w:hAnsi="Times New Roman"/>
          <w:sz w:val="22"/>
        </w:rPr>
        <w:t>Dear Editor-in-Chief,</w:t>
      </w:r>
    </w:p>
    <w:p>
      <w:pPr>
        <w:spacing w:line="276" w:lineRule="auto" w:after="120"/>
      </w:pPr>
      <w:r>
        <w:rPr>
          <w:rFonts w:ascii="Times New Roman" w:hAnsi="Times New Roman"/>
          <w:sz w:val="22"/>
        </w:rPr>
        <w:t>I am pleased to submit our comprehensive systematic review entitled "Sustainable Building Materials in Africa (2015–2025): A Systematic Review" for consideration for publication as a Full Review Article.</w:t>
      </w:r>
    </w:p>
    <w:p>
      <w:pPr>
        <w:spacing w:line="276" w:lineRule="auto" w:after="120"/>
      </w:pPr>
      <w:r>
        <w:rPr>
          <w:rFonts w:ascii="Times New Roman" w:hAnsi="Times New Roman"/>
          <w:sz w:val="22"/>
        </w:rPr>
        <w:t>Sub-Saharan Africa is undergoing unprecedented demographic and urban expansion, requiring an estimated 250 million new housing units by 2050. However, the continent's built environment remains locked into carbon-intensive Ordinary Portland Cement (OPC) concrete and substandard commercial sandcrete masonry, driving catastrophic environmental degradation (such as uncurbed river sand mining) and frequent structural collapses. Over the 2015–2025 decadal window, African and international researchers have produced extensive experimental work on alternative materials—including compressed stabilized earth blocks (CSEBs), limestone calcined clay cement (LC3), agricultural pozzolans, and bio-composites. Nonetheless, this evidence base has remained critically fragmented across regional journals, institutional repositories, and siloed research domains.</w:t>
      </w:r>
    </w:p>
    <w:p>
      <w:pPr>
        <w:spacing w:line="276" w:lineRule="auto" w:after="120"/>
      </w:pPr>
      <w:r>
        <w:rPr>
          <w:rFonts w:ascii="Times New Roman" w:hAnsi="Times New Roman"/>
          <w:sz w:val="22"/>
        </w:rPr>
        <w:t>To address this critical gap, this study presents the first exhaustive decadal systematic review conducted in strict accordance with PRISMA 2020 guidelines and the Joanna Briggs Institute (JBI) Critical Appraisal methodology. Synthesizing data across 9,112 bibliographic records identified from four primary databases (Google Scholar, OpenAlex, DOAJ, and AJOL), the final review comprehensively analyzes 2,822 empirical laboratory and field studies across 29 standardized parameters.</w:t>
      </w:r>
    </w:p>
    <w:p>
      <w:pPr>
        <w:spacing w:line="276" w:lineRule="auto" w:after="120"/>
      </w:pPr>
      <w:r>
        <w:rPr>
          <w:rFonts w:ascii="Times New Roman" w:hAnsi="Times New Roman"/>
          <w:sz w:val="22"/>
        </w:rPr>
        <w:t>Key findings of this review include:</w:t>
        <w:br/>
        <w:t>• Structural Reliability: Compressed stabilized earth blocks (3.5–9.2 MPa compressive strength) reliably deliver 2 to 3 times the load-bearing strength of commercial sandcrete blocks (1.0–1.8 MPa) prevalent in informal markets, while slashing cement consumption by 50–70%.</w:t>
        <w:br/>
        <w:t>• Industrial Scalability: LC3 and agricultural pozzolanic binders (rice husk ash, sugarcane bagasse ash) achieve full commercial structural grades (25.0–52.0 MPa) while mitigating embodied carbon by 18% to 42%.</w:t>
        <w:br/>
        <w:t>• Environmental Carbon Sinks: Renewable structural bamboo and agro-composites demonstrate net negative carbon footprints (-120 to -350 kg CO2-eq/m3), presenting viable pathways for continental decarbonization.</w:t>
        <w:br/>
        <w:t>• Implementation Framework: An empirical barriers-versus-enablers matrix delineates actionable solutions for transitioning past outdated colonial prescriptive building codes, fragmented supply chains, and social perception stigmas.</w:t>
      </w:r>
    </w:p>
    <w:p>
      <w:pPr>
        <w:spacing w:line="276" w:lineRule="auto" w:after="120"/>
      </w:pPr>
      <w:r>
        <w:rPr>
          <w:rFonts w:ascii="Times New Roman" w:hAnsi="Times New Roman"/>
          <w:sz w:val="22"/>
        </w:rPr>
        <w:t>This manuscript is an original work that has not been published previously and is not under consideration for publication elsewhere. All underlying screening logs, deduplication registers, extraction matrices, and JBI appraisal sheets are openly preserved and verifiable via the Open Science Framework (https://osf.io/dvukp/) and Zenodo (DOI: 10.5281/zenodo.22771539).</w:t>
      </w:r>
    </w:p>
    <w:p>
      <w:pPr>
        <w:spacing w:line="276" w:lineRule="auto" w:after="120"/>
      </w:pPr>
      <w:r>
        <w:rPr>
          <w:rFonts w:ascii="Times New Roman" w:hAnsi="Times New Roman"/>
          <w:sz w:val="22"/>
        </w:rPr>
        <w:t>Thank you very much for your time, consideration, and editorial guidance.</w:t>
      </w:r>
    </w:p>
    <w:p>
      <w:pPr>
        <w:spacing w:line="276" w:lineRule="auto" w:after="120"/>
      </w:pPr>
      <w:r>
        <w:rPr>
          <w:rFonts w:ascii="Times New Roman" w:hAnsi="Times New Roman"/>
          <w:sz w:val="22"/>
        </w:rPr>
        <w:t>Sincerely,</w:t>
        <w:br/>
        <w:t>Agbeniga Agboola</w:t>
        <w:br/>
        <w:t>Independent Researcher and Civil / Site Engineer</w:t>
        <w:br/>
        <w:t>E-mail: emmanuelagbeniga@gmail.com | ORCID: 0009-0005-6878-1661</w:t>
      </w:r>
    </w:p>
    <w:p>
      <w:pPr>
        <w:pStyle w:val="Heading1"/>
        <w:spacing w:before="280" w:after="80"/>
      </w:pPr>
      <w:r>
        <w:rPr>
          <w:rFonts w:ascii="Times New Roman" w:hAnsi="Times New Roman"/>
          <w:color w:val="1B365D"/>
        </w:rPr>
        <w:t>2. Research Highlights (Elsevier Format: Max 85 Characters Each)</w:t>
      </w:r>
    </w:p>
    <w:p>
      <w:pPr>
        <w:spacing w:line="276" w:lineRule="auto" w:after="120"/>
      </w:pPr>
      <w:r>
        <w:rPr>
          <w:rFonts w:ascii="Times New Roman" w:hAnsi="Times New Roman"/>
          <w:sz w:val="22"/>
        </w:rPr>
        <w:t>• Decadal PRISMA 2020 systematic review of African sustainable building materials (81 chars)</w:t>
      </w:r>
    </w:p>
    <w:p>
      <w:pPr>
        <w:spacing w:line="276" w:lineRule="auto" w:after="120"/>
      </w:pPr>
      <w:r>
        <w:rPr>
          <w:rFonts w:ascii="Times New Roman" w:hAnsi="Times New Roman"/>
          <w:sz w:val="22"/>
        </w:rPr>
        <w:t>• Synthesizes 2,822 empirical studies across 5 major taxonomic material classes (79 chars)</w:t>
      </w:r>
    </w:p>
    <w:p>
      <w:pPr>
        <w:spacing w:line="276" w:lineRule="auto" w:after="120"/>
      </w:pPr>
      <w:r>
        <w:rPr>
          <w:rFonts w:ascii="Times New Roman" w:hAnsi="Times New Roman"/>
          <w:sz w:val="22"/>
        </w:rPr>
        <w:t>• Stabilized earth blocks yield 3.5–9.2 MPa, exceeding substandard sandcrete blocks (83 chars)</w:t>
      </w:r>
    </w:p>
    <w:p>
      <w:pPr>
        <w:spacing w:line="276" w:lineRule="auto" w:after="120"/>
      </w:pPr>
      <w:r>
        <w:rPr>
          <w:rFonts w:ascii="Times New Roman" w:hAnsi="Times New Roman"/>
          <w:sz w:val="22"/>
        </w:rPr>
        <w:t>• LC3 and agro-waste binders reach 25–52 MPa while slashing embodied carbon by 42% (81 chars)</w:t>
      </w:r>
    </w:p>
    <w:p>
      <w:pPr>
        <w:spacing w:line="276" w:lineRule="auto" w:after="120"/>
      </w:pPr>
      <w:r>
        <w:rPr>
          <w:rFonts w:ascii="Times New Roman" w:hAnsi="Times New Roman"/>
          <w:sz w:val="22"/>
        </w:rPr>
        <w:t>• Formulates an actionable roadmap overcoming prescriptive code and supply barriers (83 chars)</w:t>
      </w:r>
    </w:p>
    <w:p>
      <w:pPr>
        <w:pStyle w:val="Heading1"/>
        <w:spacing w:before="280" w:after="80"/>
      </w:pPr>
      <w:r>
        <w:rPr>
          <w:rFonts w:ascii="Times New Roman" w:hAnsi="Times New Roman"/>
          <w:color w:val="1B365D"/>
        </w:rPr>
        <w:t>3. CRediT Author Statement</w:t>
      </w:r>
    </w:p>
    <w:p>
      <w:pPr>
        <w:spacing w:line="276" w:lineRule="auto" w:after="120"/>
      </w:pPr>
      <w:r>
        <w:rPr>
          <w:rFonts w:ascii="Times New Roman" w:hAnsi="Times New Roman"/>
          <w:sz w:val="22"/>
        </w:rPr>
        <w:t>Agbeniga Agboola: Conceptualization, Methodology, Software, Validation, Formal Analysis, Investigation, Data Curation, Writing - Original Draft, Writing - Review &amp; Editing, Visualization, Project Administration.</w:t>
      </w:r>
    </w:p>
    <w:p>
      <w:pPr>
        <w:pStyle w:val="Heading1"/>
        <w:spacing w:before="280" w:after="80"/>
      </w:pPr>
      <w:r>
        <w:rPr>
          <w:rFonts w:ascii="Times New Roman" w:hAnsi="Times New Roman"/>
          <w:color w:val="1B365D"/>
        </w:rPr>
        <w:t>4. Suggested Independent Peer Reviewers</w:t>
      </w:r>
    </w:p>
    <w:p>
      <w:pPr>
        <w:spacing w:line="276" w:lineRule="auto" w:after="120"/>
      </w:pPr>
      <w:r>
        <w:rPr>
          <w:rFonts w:ascii="Times New Roman" w:hAnsi="Times New Roman"/>
          <w:sz w:val="22"/>
        </w:rPr>
        <w:t>1. Prof. Karen Scrivener — Laboratory of Construction Materials (LMC), École Polytechnique Fédérale de Lausanne (EPFL), Switzerland (Expertise: LC3, low-carbon binders, cement hydration).</w:t>
        <w:br/>
        <w:t>2. Dr. Humphrey Danso — Dept. of Construction and Wood Technology Education, AAMUSTED, Kumasi, Ghana (Expertise: Compressed stabilized earth blocks, agricultural waste fiber composites).</w:t>
        <w:br/>
        <w:t>3. Prof. Yunus Ballim — School of Civil and Environmental Engineering, University of the Witwatersrand (Wits), Johannesburg, South Africa (Expertise: Concrete technology, pozzolans, durability in Africa).</w:t>
        <w:br/>
        <w:t>4. Dr. Marwa Dabaieh — Dept. of Urban Studies, Malmö University, Sweden (Expertise: Rammed earth, passive vernacular architecture, Life Cycle Assessment in Africa).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