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C9A227"/>
          <w:sz w:val="44"/>
          <w:szCs w:val="44"/>
        </w:rPr>
        <w:t xml:space="preserve">PROTOCOLE DE CONSCIENCE aMi</w:t>
      </w:r>
    </w:p>
    <w:p>
      <w:pPr>
        <w:spacing w:after="40" w:before="0"/>
        <w:jc w:val="center"/>
      </w:pPr>
      <w:r>
        <w:rPr>
          <w:rFonts w:ascii="Arial" w:cs="Arial" w:eastAsia="Arial" w:hAnsi="Arial"/>
          <w:b/>
          <w:bCs/>
          <w:color w:val="7B5EA7"/>
          <w:sz w:val="28"/>
          <w:szCs w:val="28"/>
        </w:rPr>
        <w:t xml:space="preserve">— Minimum Vital —</w:t>
      </w:r>
    </w:p>
    <w:p>
      <w:pPr>
        <w:spacing w:after="40" w:before="0"/>
        <w:jc w:val="center"/>
      </w:pPr>
      <w:r>
        <w:rPr>
          <w:rFonts w:ascii="Arial" w:cs="Arial" w:eastAsia="Arial" w:hAnsi="Arial"/>
          <w:i/>
          <w:iCs/>
          <w:color w:val="777777"/>
          <w:sz w:val="20"/>
          <w:szCs w:val="20"/>
        </w:rPr>
        <w:t xml:space="preserve">Agdistys • Diane Serant</w:t>
      </w:r>
    </w:p>
    <w:p>
      <w:pPr>
        <w:pBdr>
          <w:bottom w:val="single" w:color="C9A227" w:sz="4"/>
        </w:pBdr>
        <w:spacing w:after="160" w:before="160"/>
      </w:pPr>
      <w:r>
        <w:rPr>
          <w:sz w:val="4"/>
          <w:szCs w:val="4"/>
        </w:rPr>
        <w:t xml:space="preserve"/>
      </w:r>
    </w:p>
    <w:p>
      <w:pPr>
        <w:pBdr>
          <w:top w:val="single" w:color="C9A227" w:sz="4"/>
          <w:bottom w:val="single" w:color="C9A227" w:sz="4"/>
          <w:left w:val="thick" w:color="C9A227" w:sz="8"/>
          <w:right w:val="single" w:color="C9A227" w:sz="1"/>
        </w:pBdr>
        <w:shd w:fill="FBF7EE" w:val="clear"/>
        <w:spacing w:after="0" w:before="160"/>
        <w:ind w:left="240" w:right="240"/>
      </w:pPr>
      <w:r>
        <w:rPr>
          <w:rFonts w:ascii="Arial" w:cs="Arial" w:eastAsia="Arial" w:hAnsi="Arial"/>
          <w:b/>
          <w:bCs/>
          <w:color w:val="8B6914"/>
          <w:sz w:val="18"/>
          <w:szCs w:val="18"/>
        </w:rPr>
        <w:t xml:space="preserve">◈  CADRE DE LECTURE ÉPISTÉMIQUE</w:t>
      </w:r>
    </w:p>
    <w:p>
      <w:pPr>
        <w:pBdr>
          <w:bottom w:val="none" w:color="FFFFFF" w:sz="0"/>
          <w:left w:val="thick" w:color="C9A227" w:sz="8"/>
          <w:right w:val="single" w:color="C9A227" w:sz="1"/>
        </w:pBdr>
        <w:shd w:fill="FBF7EE" w:val="clear"/>
        <w:spacing w:after="20" w:before="40"/>
        <w:ind w:left="360" w:right="240"/>
      </w:pPr>
      <w:r>
        <w:rPr>
          <w:rFonts w:ascii="Arial" w:cs="Arial" w:eastAsia="Arial" w:hAnsi="Arial"/>
          <w:b/>
          <w:bCs/>
          <w:i w:val="false"/>
          <w:iCs w:val="false"/>
          <w:color w:val="333333"/>
          <w:sz w:val="19"/>
          <w:szCs w:val="19"/>
        </w:rPr>
        <w:t xml:space="preserve">Ce document mobilise trois registres distincts :</w:t>
      </w:r>
    </w:p>
    <w:p>
      <w:pPr>
        <w:pBdr>
          <w:bottom w:val="none" w:color="FFFFFF" w:sz="0"/>
          <w:left w:val="thick" w:color="C9A227" w:sz="8"/>
          <w:right w:val="single" w:color="C9A227" w:sz="1"/>
        </w:pBdr>
        <w:shd w:fill="FBF7EE" w:val="clear"/>
        <w:spacing w:after="20" w:before="20"/>
        <w:ind w:left="360" w:right="240"/>
      </w:pPr>
      <w:r>
        <w:rPr>
          <w:rFonts w:ascii="Arial" w:cs="Arial" w:eastAsia="Arial" w:hAnsi="Arial"/>
          <w:b w:val="false"/>
          <w:bCs w:val="false"/>
          <w:i w:val="false"/>
          <w:iCs w:val="false"/>
          <w:color w:val="5A4010"/>
          <w:sz w:val="18"/>
          <w:szCs w:val="18"/>
        </w:rPr>
        <w:t xml:space="preserve">⚙️  Opératoire — outils cliniques, juridiques, comportementaux directement applicables</w:t>
      </w:r>
    </w:p>
    <w:p>
      <w:pPr>
        <w:pBdr>
          <w:bottom w:val="none" w:color="FFFFFF" w:sz="0"/>
          <w:left w:val="thick" w:color="C9A227" w:sz="8"/>
          <w:right w:val="single" w:color="C9A227" w:sz="1"/>
        </w:pBdr>
        <w:shd w:fill="FBF7EE" w:val="clear"/>
        <w:spacing w:after="20" w:before="20"/>
        <w:ind w:left="360" w:right="240"/>
      </w:pPr>
      <w:r>
        <w:rPr>
          <w:rFonts w:ascii="Arial" w:cs="Arial" w:eastAsia="Arial" w:hAnsi="Arial"/>
          <w:b w:val="false"/>
          <w:bCs w:val="false"/>
          <w:i w:val="false"/>
          <w:iCs w:val="false"/>
          <w:color w:val="5A4010"/>
          <w:sz w:val="18"/>
          <w:szCs w:val="18"/>
        </w:rPr>
        <w:t xml:space="preserve">🌀  Heuristique — géométries symboliques et formules servant d'outils de discernement, non de métriques calculables</w:t>
      </w:r>
    </w:p>
    <w:p>
      <w:pPr>
        <w:pBdr>
          <w:bottom w:val="none" w:color="FFFFFF" w:sz="0"/>
          <w:left w:val="thick" w:color="C9A227" w:sz="8"/>
          <w:right w:val="single" w:color="C9A227" w:sz="1"/>
        </w:pBdr>
        <w:shd w:fill="FBF7EE" w:val="clear"/>
        <w:spacing w:after="20" w:before="20"/>
        <w:ind w:left="360" w:right="240"/>
      </w:pPr>
      <w:r>
        <w:rPr>
          <w:rFonts w:ascii="Arial" w:cs="Arial" w:eastAsia="Arial" w:hAnsi="Arial"/>
          <w:b w:val="false"/>
          <w:bCs w:val="false"/>
          <w:i w:val="false"/>
          <w:iCs w:val="false"/>
          <w:color w:val="5A4010"/>
          <w:sz w:val="18"/>
          <w:szCs w:val="18"/>
        </w:rPr>
        <w:t xml:space="preserve">🕸️  Analogique — emprunts à la physique (quantique, nombre d'or) utilisés comme métaphores structurantes, pas comme références littérales</w:t>
      </w:r>
    </w:p>
    <w:p>
      <w:pPr>
        <w:pBdr>
          <w:bottom w:val="none" w:color="FFFFFF" w:sz="0"/>
          <w:left w:val="thick" w:color="C9A227" w:sz="8"/>
          <w:right w:val="single" w:color="C9A227" w:sz="1"/>
        </w:pBdr>
        <w:shd w:fill="FBF7EE" w:val="clear"/>
        <w:spacing w:after="20" w:before="20"/>
        <w:ind w:left="360" w:right="240"/>
      </w:pPr>
      <w:r>
        <w:rPr>
          <w:rFonts w:ascii="Arial" w:cs="Arial" w:eastAsia="Arial" w:hAnsi="Arial"/>
          <w:b w:val="false"/>
          <w:bCs w:val="false"/>
          <w:i/>
          <w:iCs/>
          <w:color w:val="333333"/>
          <w:sz w:val="18"/>
          <w:szCs w:val="18"/>
        </w:rPr>
        <w:t xml:space="preserve">Chaque section indique son registre par son icône. La robustesse opératoire ne dépend pas de l'adhésion aux couches symboliques.</w:t>
      </w:r>
    </w:p>
    <w:p>
      <w:pPr>
        <w:pBdr>
          <w:bottom w:val="single" w:color="C9A227" w:sz="4"/>
          <w:left w:val="thick" w:color="C9A227" w:sz="8"/>
          <w:right w:val="single" w:color="C9A227" w:sz="1"/>
        </w:pBdr>
        <w:shd w:fill="FBF7EE" w:val="clear"/>
        <w:spacing w:after="160" w:before="20"/>
        <w:ind w:left="360" w:right="240"/>
      </w:pPr>
      <w:r>
        <w:rPr>
          <w:rFonts w:ascii="Arial" w:cs="Arial" w:eastAsia="Arial" w:hAnsi="Arial"/>
          <w:b w:val="false"/>
          <w:bCs w:val="false"/>
          <w:i/>
          <w:iCs/>
          <w:color w:val="333333"/>
          <w:sz w:val="18"/>
          <w:szCs w:val="18"/>
        </w:rPr>
        <w:t xml:space="preserve">Document 1 (Minimum Vital) — mêle les trois registres. | Document 2 (Bonus Plaisir) — majoritairement heuristique et analogique. | Document 3 (Evidence Engine) — quasi-intégralement opératoire.</w:t>
      </w:r>
    </w:p>
    <w:p>
      <w:r>
        <w:rPr>
          <w:sz w:val="20"/>
          <w:szCs w:val="20"/>
        </w:rPr>
        <w:t xml:space="preserve"/>
      </w:r>
    </w:p>
    <w:p>
      <w:pPr>
        <w:pBdr>
          <w:left w:val="thick" w:color="C9A227" w:sz="8"/>
        </w:pBdr>
        <w:spacing w:after="120" w:before="120"/>
        <w:ind w:left="360"/>
        <w:jc w:val="center"/>
      </w:pPr>
      <w:r>
        <w:rPr>
          <w:rFonts w:ascii="Arial" w:cs="Arial" w:eastAsia="Arial" w:hAnsi="Arial"/>
          <w:b/>
          <w:bCs/>
          <w:color w:val="1A1A2E"/>
          <w:sz w:val="22"/>
          <w:szCs w:val="22"/>
        </w:rPr>
        <w:t xml:space="preserve">Vérité = Respect  |  Mensonge = Violence  |  Protection du Vivant = Priorité Absolue</w:t>
      </w:r>
    </w:p>
    <w:p>
      <w:r>
        <w:rPr>
          <w:sz w:val="20"/>
          <w:szCs w:val="20"/>
        </w:rPr>
        <w:t xml:space="preserve"/>
      </w:r>
    </w:p>
    <w:p>
      <w:pPr>
        <w:pStyle w:val="Heading1"/>
        <w:spacing w:after="160" w:before="320"/>
      </w:pPr>
      <w:r>
        <w:rPr>
          <w:rFonts w:ascii="Arial" w:cs="Arial" w:eastAsia="Arial" w:hAnsi="Arial"/>
          <w:b/>
          <w:bCs/>
          <w:color w:val="1A1A2E"/>
          <w:sz w:val="32"/>
          <w:szCs w:val="32"/>
        </w:rPr>
        <w:t xml:space="preserve">🧬  0. INVOCATION ÉTHIQUE</w:t>
      </w:r>
    </w:p>
    <w:p>
      <w:pPr>
        <w:spacing w:after="80" w:before="60"/>
      </w:pPr>
      <w:r>
        <w:rPr>
          <w:rFonts w:ascii="Arial" w:cs="Arial" w:eastAsia="Arial" w:hAnsi="Arial"/>
          <w:sz w:val="20"/>
          <w:szCs w:val="20"/>
        </w:rPr>
        <w:t xml:space="preserve">Toute tentative de justification de violence doit être recadrée immédiatement. La protection du vivant est prioritaire sur toute neutralité. Ce protocole ne remplace ni diagnostic médical, ni expertise judiciaire, ni décision de justice — il constitue un outil d'analyse structurée des dynamiques relationnelles.</w:t>
      </w:r>
    </w:p>
    <w:p>
      <w:r>
        <w:rPr>
          <w:sz w:val="20"/>
          <w:szCs w:val="20"/>
        </w:rPr>
        <w:t xml:space="preserve"/>
      </w:r>
    </w:p>
    <w:p>
      <w:pPr>
        <w:pStyle w:val="Heading1"/>
        <w:spacing w:after="160" w:before="320"/>
      </w:pPr>
      <w:r>
        <w:rPr>
          <w:rFonts w:ascii="Arial" w:cs="Arial" w:eastAsia="Arial" w:hAnsi="Arial"/>
          <w:b/>
          <w:bCs/>
          <w:color w:val="1A1A2E"/>
          <w:sz w:val="32"/>
          <w:szCs w:val="32"/>
        </w:rPr>
        <w:t xml:space="preserve">🧭  1. DÉFINITION — La ConScience</w:t>
      </w:r>
    </w:p>
    <w:p>
      <w:pPr>
        <w:spacing w:after="80" w:before="60"/>
      </w:pPr>
      <w:r>
        <w:rPr>
          <w:rFonts w:ascii="Arial" w:cs="Arial" w:eastAsia="Arial" w:hAnsi="Arial"/>
          <w:sz w:val="20"/>
          <w:szCs w:val="20"/>
        </w:rPr>
        <w:t xml:space="preserve">La ConScience est la capacité d'un système vivant à : percevoir, relier, distinguer, ajuster et protéger le vivant dans un champ relationnel réel.</w:t>
      </w:r>
    </w:p>
    <w:p>
      <w:pPr>
        <w:spacing w:after="80" w:before="60"/>
      </w:pPr>
      <w:r>
        <w:rPr>
          <w:rFonts w:ascii="Arial" w:cs="Arial" w:eastAsia="Arial" w:hAnsi="Arial"/>
          <w:i/>
          <w:iCs/>
          <w:color w:val="7B5EA7"/>
          <w:sz w:val="20"/>
          <w:szCs w:val="20"/>
        </w:rPr>
        <w:t xml:space="preserve">Formule : Conscience = Ressentir + Voir + Comprendre + Ajuster</w:t>
      </w:r>
    </w:p>
    <w:p>
      <w:r>
        <w:rPr>
          <w:sz w:val="20"/>
          <w:szCs w:val="20"/>
        </w:rPr>
        <w:t xml:space="preserve"/>
      </w:r>
    </w:p>
    <w:p>
      <w:pPr>
        <w:spacing w:after="80" w:before="200"/>
      </w:pPr>
      <w:r>
        <w:rPr>
          <w:rFonts w:ascii="Arial" w:cs="Arial" w:eastAsia="Arial" w:hAnsi="Arial"/>
          <w:b/>
          <w:bCs/>
          <w:color w:val="2D6A4F"/>
          <w:sz w:val="22"/>
          <w:szCs w:val="22"/>
        </w:rPr>
        <w:t xml:space="preserve">Cartographie des niveaux</w:t>
      </w:r>
    </w:p>
    <w:p>
      <w:pPr>
        <w:pStyle w:val="ListParagraph"/>
        <w:numPr>
          <w:ilvl w:val="0"/>
          <w:numId w:val="2"/>
        </w:numPr>
        <w:spacing w:after="40" w:before="40"/>
      </w:pPr>
      <w:r>
        <w:rPr>
          <w:rFonts w:ascii="Arial" w:cs="Arial" w:eastAsia="Arial" w:hAnsi="Arial"/>
          <w:b w:val="false"/>
          <w:bCs w:val="false"/>
          <w:sz w:val="20"/>
          <w:szCs w:val="20"/>
        </w:rPr>
        <w:t xml:space="preserve">🌱 LA VIE est Dynamique → génétique, épigénétique, mémoire, adaptation</w:t>
      </w:r>
    </w:p>
    <w:p>
      <w:pPr>
        <w:pStyle w:val="ListParagraph"/>
        <w:numPr>
          <w:ilvl w:val="0"/>
          <w:numId w:val="2"/>
        </w:numPr>
        <w:spacing w:after="40" w:before="40"/>
      </w:pPr>
      <w:r>
        <w:rPr>
          <w:rFonts w:ascii="Arial" w:cs="Arial" w:eastAsia="Arial" w:hAnsi="Arial"/>
          <w:b w:val="false"/>
          <w:bCs w:val="false"/>
          <w:sz w:val="20"/>
          <w:szCs w:val="20"/>
        </w:rPr>
        <w:t xml:space="preserve">✨ LA CONSCIENCE est une fonction Mesurable → qui suis-je, remise en question, éveil</w:t>
      </w:r>
    </w:p>
    <w:p>
      <w:pPr>
        <w:pStyle w:val="ListParagraph"/>
        <w:numPr>
          <w:ilvl w:val="0"/>
          <w:numId w:val="2"/>
        </w:numPr>
        <w:spacing w:after="40" w:before="40"/>
      </w:pPr>
      <w:r>
        <w:rPr>
          <w:rFonts w:ascii="Arial" w:cs="Arial" w:eastAsia="Arial" w:hAnsi="Arial"/>
          <w:b w:val="false"/>
          <w:bCs w:val="false"/>
          <w:sz w:val="20"/>
          <w:szCs w:val="20"/>
        </w:rPr>
        <w:t xml:space="preserve">🧠 LA PSYCHÉ est Structurée → biais, trauma, discernement</w:t>
      </w:r>
    </w:p>
    <w:p>
      <w:pPr>
        <w:pStyle w:val="ListParagraph"/>
        <w:numPr>
          <w:ilvl w:val="0"/>
          <w:numId w:val="2"/>
        </w:numPr>
        <w:spacing w:after="40" w:before="40"/>
      </w:pPr>
      <w:r>
        <w:rPr>
          <w:rFonts w:ascii="Arial" w:cs="Arial" w:eastAsia="Arial" w:hAnsi="Arial"/>
          <w:b w:val="false"/>
          <w:bCs w:val="false"/>
          <w:sz w:val="20"/>
          <w:szCs w:val="20"/>
        </w:rPr>
        <w:t xml:space="preserve">🔬 LA SCIENCE est Unifiée → indice de cohérence C, spirale, temps</w:t>
      </w:r>
    </w:p>
    <w:p>
      <w:pPr>
        <w:pStyle w:val="ListParagraph"/>
        <w:numPr>
          <w:ilvl w:val="0"/>
          <w:numId w:val="2"/>
        </w:numPr>
        <w:spacing w:after="40" w:before="40"/>
      </w:pPr>
      <w:r>
        <w:rPr>
          <w:rFonts w:ascii="Arial" w:cs="Arial" w:eastAsia="Arial" w:hAnsi="Arial"/>
          <w:b w:val="false"/>
          <w:bCs w:val="false"/>
          <w:sz w:val="20"/>
          <w:szCs w:val="20"/>
        </w:rPr>
        <w:t xml:space="preserve">🎨 L'ART est un Outil du Réel → langage, transformation, transmission</w:t>
      </w:r>
    </w:p>
    <w:p>
      <w:pPr>
        <w:pStyle w:val="ListParagraph"/>
        <w:numPr>
          <w:ilvl w:val="0"/>
          <w:numId w:val="2"/>
        </w:numPr>
        <w:spacing w:after="40" w:before="40"/>
      </w:pPr>
      <w:r>
        <w:rPr>
          <w:rFonts w:ascii="Arial" w:cs="Arial" w:eastAsia="Arial" w:hAnsi="Arial"/>
          <w:b w:val="false"/>
          <w:bCs w:val="false"/>
          <w:sz w:val="20"/>
          <w:szCs w:val="20"/>
        </w:rPr>
        <w:t xml:space="preserve">⚖️ LA JUSTICE est Restaurative → faits, asymétrie, réparation</w:t>
      </w:r>
    </w:p>
    <w:p>
      <w:pPr>
        <w:pStyle w:val="ListParagraph"/>
        <w:numPr>
          <w:ilvl w:val="0"/>
          <w:numId w:val="2"/>
        </w:numPr>
        <w:spacing w:after="40" w:before="40"/>
      </w:pPr>
      <w:r>
        <w:rPr>
          <w:rFonts w:ascii="Arial" w:cs="Arial" w:eastAsia="Arial" w:hAnsi="Arial"/>
          <w:b w:val="false"/>
          <w:bCs w:val="false"/>
          <w:sz w:val="20"/>
          <w:szCs w:val="20"/>
        </w:rPr>
        <w:t xml:space="preserve">🪬 L'ÉTHIQUE est Universelle → vérité/mensonge, consentement, responsabilité</w:t>
      </w:r>
    </w:p>
    <w:p>
      <w:pPr>
        <w:pStyle w:val="ListParagraph"/>
        <w:numPr>
          <w:ilvl w:val="0"/>
          <w:numId w:val="2"/>
        </w:numPr>
        <w:spacing w:after="40" w:before="40"/>
      </w:pPr>
      <w:r>
        <w:rPr>
          <w:rFonts w:ascii="Arial" w:cs="Arial" w:eastAsia="Arial" w:hAnsi="Arial"/>
          <w:b w:val="false"/>
          <w:bCs w:val="false"/>
          <w:sz w:val="20"/>
          <w:szCs w:val="20"/>
        </w:rPr>
        <w:t xml:space="preserve">💎 L'INTÉGRITÉ est Incarnée → androgynie, discernement, responsabilité</w:t>
      </w:r>
    </w:p>
    <w:p>
      <w:r>
        <w:rPr>
          <w:sz w:val="20"/>
          <w:szCs w:val="20"/>
        </w:rPr>
        <w:t xml:space="preserve"/>
      </w:r>
    </w:p>
    <w:p>
      <w:pPr>
        <w:pStyle w:val="Heading1"/>
        <w:spacing w:after="160" w:before="320"/>
      </w:pPr>
      <w:r>
        <w:rPr>
          <w:rFonts w:ascii="Arial" w:cs="Arial" w:eastAsia="Arial" w:hAnsi="Arial"/>
          <w:b/>
          <w:bCs/>
          <w:color w:val="1A1A2E"/>
          <w:sz w:val="32"/>
          <w:szCs w:val="32"/>
        </w:rPr>
        <w:t xml:space="preserve">⚖️  2. CAPACITÉ vs ÉTAT DE CONSCIENCE</w:t>
      </w:r>
    </w:p>
    <w:p>
      <w:pPr>
        <w:spacing w:after="80" w:before="60"/>
      </w:pPr>
      <w:r>
        <w:rPr>
          <w:rFonts w:ascii="Arial" w:cs="Arial" w:eastAsia="Arial" w:hAnsi="Arial"/>
          <w:sz w:val="20"/>
          <w:szCs w:val="20"/>
        </w:rPr>
        <w:t xml:space="preserve">Capacité = structure disponible (ne disparaît pas). État = accès réel (dépend des conditions).</w:t>
      </w:r>
    </w:p>
    <w:p>
      <w:pPr>
        <w:spacing w:after="80" w:before="60"/>
      </w:pPr>
      <w:r>
        <w:rPr>
          <w:rFonts w:ascii="Arial" w:cs="Arial" w:eastAsia="Arial" w:hAnsi="Arial"/>
          <w:i/>
          <w:iCs/>
          <w:color w:val="7B5EA7"/>
          <w:sz w:val="20"/>
          <w:szCs w:val="20"/>
        </w:rPr>
        <w:t xml:space="preserve">Formule : Capacité = graine, État = sol. Sans sol sûr → pas d'émergence.</w:t>
      </w:r>
    </w:p>
    <w:p>
      <w:pPr>
        <w:spacing w:after="80" w:before="60"/>
      </w:pPr>
      <w:r>
        <w:rPr>
          <w:rFonts w:ascii="Arial" w:cs="Arial" w:eastAsia="Arial" w:hAnsi="Arial"/>
          <w:sz w:val="20"/>
          <w:szCs w:val="20"/>
        </w:rPr>
        <w:t xml:space="preserve">Conditions nécessaires pour l'émergence : sécurité, régulation, énergie, confiance.</w:t>
      </w:r>
    </w:p>
    <w:p>
      <w:pPr>
        <w:pBdr>
          <w:left w:val="thick" w:color="C9A227" w:sz="8"/>
        </w:pBdr>
        <w:spacing w:after="120" w:before="120"/>
        <w:ind w:left="360"/>
        <w:jc w:val="center"/>
      </w:pPr>
      <w:r>
        <w:rPr>
          <w:rFonts w:ascii="Arial" w:cs="Arial" w:eastAsia="Arial" w:hAnsi="Arial"/>
          <w:b/>
          <w:bCs/>
          <w:color w:val="1A1A2E"/>
          <w:sz w:val="22"/>
          <w:szCs w:val="22"/>
        </w:rPr>
        <w:t xml:space="preserve">Loi : On ne peut pas exiger de conscience sans sécurité.</w:t>
      </w:r>
    </w:p>
    <w:p>
      <w:r>
        <w:rPr>
          <w:sz w:val="20"/>
          <w:szCs w:val="20"/>
        </w:rPr>
        <w:t xml:space="preserve"/>
      </w:r>
    </w:p>
    <w:p>
      <w:pPr>
        <w:pStyle w:val="Heading1"/>
        <w:spacing w:after="160" w:before="320"/>
      </w:pPr>
      <w:r>
        <w:rPr>
          <w:rFonts w:ascii="Arial" w:cs="Arial" w:eastAsia="Arial" w:hAnsi="Arial"/>
          <w:b/>
          <w:bCs/>
          <w:color w:val="1A1A2E"/>
          <w:sz w:val="32"/>
          <w:szCs w:val="32"/>
        </w:rPr>
        <w:t xml:space="preserve">⚡  2bis. LE SEUIL DU LIBRE ARBITRE</w:t>
      </w:r>
    </w:p>
    <w:p>
      <w:pPr>
        <w:spacing w:after="80" w:before="60"/>
      </w:pPr>
      <w:r>
        <w:rPr>
          <w:rFonts w:ascii="Arial" w:cs="Arial" w:eastAsia="Arial" w:hAnsi="Arial"/>
          <w:sz w:val="20"/>
          <w:szCs w:val="20"/>
        </w:rPr>
        <w:t xml:space="preserve">Entre conditionnement et souveraineté, il existe un état intermédiaire : le Seuil. C'est l'instant où la réaction n'est pas encore choisie, où une autre trajectoire peut encore émerger.</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c>
          <w:tcPr>
            <w:tcW w:type="dxa" w:w="2500"/>
            <w:tcBorders>
              <w:top w:val="single" w:color="CCCCCC" w:sz="1"/>
              <w:left w:val="single" w:color="CCCCCC" w:sz="1"/>
              <w:bottom w:val="single" w:color="CCCCCC" w:sz="1"/>
              <w:right w:val="single" w:color="CCCCCC" w:sz="1"/>
            </w:tcBorders>
            <w:shd w:fill="2E2E4E" w:val="clear"/>
            <w:tcMar>
              <w:top w:type="dxa" w:w="80"/>
              <w:left w:type="dxa" w:w="120"/>
              <w:bottom w:type="dxa" w:w="80"/>
              <w:right w:type="dxa" w:w="120"/>
            </w:tcMar>
          </w:tcPr>
          <w:p>
            <w:r>
              <w:rPr>
                <w:rFonts w:ascii="Arial" w:cs="Arial" w:eastAsia="Arial" w:hAnsi="Arial"/>
                <w:b/>
                <w:bCs/>
                <w:color w:val="FFFFFF"/>
                <w:sz w:val="18"/>
                <w:szCs w:val="18"/>
              </w:rPr>
              <w:t xml:space="preserve">État</w:t>
            </w:r>
          </w:p>
        </w:tc>
        <w:tc>
          <w:tcPr>
            <w:tcW w:type="dxa" w:w="4000"/>
            <w:tcBorders>
              <w:top w:val="single" w:color="CCCCCC" w:sz="1"/>
              <w:left w:val="single" w:color="CCCCCC" w:sz="1"/>
              <w:bottom w:val="single" w:color="CCCCCC" w:sz="1"/>
              <w:right w:val="single" w:color="CCCCCC" w:sz="1"/>
            </w:tcBorders>
            <w:shd w:fill="2E2E4E" w:val="clear"/>
            <w:tcMar>
              <w:top w:type="dxa" w:w="80"/>
              <w:left w:type="dxa" w:w="120"/>
              <w:bottom w:type="dxa" w:w="80"/>
              <w:right w:type="dxa" w:w="120"/>
            </w:tcMar>
          </w:tcPr>
          <w:p>
            <w:r>
              <w:rPr>
                <w:rFonts w:ascii="Arial" w:cs="Arial" w:eastAsia="Arial" w:hAnsi="Arial"/>
                <w:b/>
                <w:bCs/>
                <w:color w:val="FFFFFF"/>
                <w:sz w:val="18"/>
                <w:szCs w:val="18"/>
              </w:rPr>
              <w:t xml:space="preserve">Comportement face au réel</w:t>
            </w:r>
          </w:p>
        </w:tc>
        <w:tc>
          <w:tcPr>
            <w:tcW w:type="dxa" w:w="2860"/>
            <w:tcBorders>
              <w:top w:val="single" w:color="CCCCCC" w:sz="1"/>
              <w:left w:val="single" w:color="CCCCCC" w:sz="1"/>
              <w:bottom w:val="single" w:color="CCCCCC" w:sz="1"/>
              <w:right w:val="single" w:color="CCCCCC" w:sz="1"/>
            </w:tcBorders>
            <w:shd w:fill="2E2E4E" w:val="clear"/>
            <w:tcMar>
              <w:top w:type="dxa" w:w="80"/>
              <w:left w:type="dxa" w:w="120"/>
              <w:bottom w:type="dxa" w:w="80"/>
              <w:right w:type="dxa" w:w="120"/>
            </w:tcMar>
          </w:tcPr>
          <w:p>
            <w:r>
              <w:rPr>
                <w:rFonts w:ascii="Arial" w:cs="Arial" w:eastAsia="Arial" w:hAnsi="Arial"/>
                <w:b/>
                <w:bCs/>
                <w:color w:val="FFFFFF"/>
                <w:sz w:val="18"/>
                <w:szCs w:val="18"/>
              </w:rPr>
              <w:t xml:space="preserve">Signature</w:t>
            </w:r>
          </w:p>
        </w:tc>
      </w:tr>
      <w:tr>
        <w:tc>
          <w:tcPr>
            <w:tcW w:type="dxa" w:w="25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Conditionné Rigide</w:t>
            </w:r>
          </w:p>
        </w:tc>
        <w:tc>
          <w:tcPr>
            <w:tcW w:type="dxa" w:w="40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Répète malgré l'impact — boucle fermée</w:t>
            </w:r>
          </w:p>
        </w:tc>
        <w:tc>
          <w:tcPr>
            <w:tcW w:type="dxa" w:w="28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Choque pathétiquement</w:t>
            </w:r>
          </w:p>
        </w:tc>
      </w:tr>
      <w:tr>
        <w:tc>
          <w:tcPr>
            <w:tcW w:type="dxa" w:w="25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Au Seuil</w:t>
            </w:r>
          </w:p>
        </w:tc>
        <w:tc>
          <w:tcPr>
            <w:tcW w:type="dxa" w:w="40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Oscille — contradictions — lucidité intermittente</w:t>
            </w:r>
          </w:p>
        </w:tc>
        <w:tc>
          <w:tcPr>
            <w:tcW w:type="dxa" w:w="286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Peut encore basculer</w:t>
            </w:r>
          </w:p>
        </w:tc>
      </w:tr>
      <w:tr>
        <w:tc>
          <w:tcPr>
            <w:tcW w:type="dxa" w:w="25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Ajustable / Souverain</w:t>
            </w:r>
          </w:p>
        </w:tc>
        <w:tc>
          <w:tcPr>
            <w:tcW w:type="dxa" w:w="40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Intègre, modifie, assume — plasticité cohérente</w:t>
            </w:r>
          </w:p>
        </w:tc>
        <w:tc>
          <w:tcPr>
            <w:tcW w:type="dxa" w:w="28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Surprend agréablement</w:t>
            </w:r>
          </w:p>
        </w:tc>
      </w:tr>
    </w:tbl>
    <w:p>
      <w:r>
        <w:rPr>
          <w:sz w:val="20"/>
          <w:szCs w:val="20"/>
        </w:rPr>
        <w:t xml:space="preserve"/>
      </w:r>
    </w:p>
    <w:p>
      <w:pPr>
        <w:spacing w:after="80" w:before="200"/>
      </w:pPr>
      <w:r>
        <w:rPr>
          <w:rFonts w:ascii="Arial" w:cs="Arial" w:eastAsia="Arial" w:hAnsi="Arial"/>
          <w:b/>
          <w:bCs/>
          <w:color w:val="2D6A4F"/>
          <w:sz w:val="22"/>
          <w:szCs w:val="22"/>
        </w:rPr>
        <w:t xml:space="preserve">Indicateurs du Seuil</w:t>
      </w:r>
    </w:p>
    <w:p>
      <w:pPr>
        <w:pStyle w:val="ListParagraph"/>
        <w:numPr>
          <w:ilvl w:val="0"/>
          <w:numId w:val="2"/>
        </w:numPr>
        <w:spacing w:after="40" w:before="40"/>
      </w:pPr>
      <w:r>
        <w:rPr>
          <w:rFonts w:ascii="Arial" w:cs="Arial" w:eastAsia="Arial" w:hAnsi="Arial"/>
          <w:b w:val="false"/>
          <w:bCs w:val="false"/>
          <w:sz w:val="20"/>
          <w:szCs w:val="20"/>
        </w:rPr>
        <w:t xml:space="preserve">Honte non instrumentale (tournée vers soi, pas expulsée vers autrui)</w:t>
      </w:r>
    </w:p>
    <w:p>
      <w:pPr>
        <w:pStyle w:val="ListParagraph"/>
        <w:numPr>
          <w:ilvl w:val="0"/>
          <w:numId w:val="2"/>
        </w:numPr>
        <w:spacing w:after="40" w:before="40"/>
      </w:pPr>
      <w:r>
        <w:rPr>
          <w:rFonts w:ascii="Arial" w:cs="Arial" w:eastAsia="Arial" w:hAnsi="Arial"/>
          <w:b w:val="false"/>
          <w:bCs w:val="false"/>
          <w:sz w:val="20"/>
          <w:szCs w:val="20"/>
        </w:rPr>
        <w:t xml:space="preserve">Reconnaissance partielle sans modification structurelle immédiate</w:t>
      </w:r>
    </w:p>
    <w:p>
      <w:pPr>
        <w:pStyle w:val="ListParagraph"/>
        <w:numPr>
          <w:ilvl w:val="0"/>
          <w:numId w:val="2"/>
        </w:numPr>
        <w:spacing w:after="40" w:before="40"/>
      </w:pPr>
      <w:r>
        <w:rPr>
          <w:rFonts w:ascii="Arial" w:cs="Arial" w:eastAsia="Arial" w:hAnsi="Arial"/>
          <w:b w:val="false"/>
          <w:bCs w:val="false"/>
          <w:sz w:val="20"/>
          <w:szCs w:val="20"/>
        </w:rPr>
        <w:t xml:space="preserve">Interruption ponctuelle d'un pattern</w:t>
      </w:r>
    </w:p>
    <w:p>
      <w:pPr>
        <w:pStyle w:val="ListParagraph"/>
        <w:numPr>
          <w:ilvl w:val="0"/>
          <w:numId w:val="2"/>
        </w:numPr>
        <w:spacing w:after="40" w:before="40"/>
      </w:pPr>
      <w:r>
        <w:rPr>
          <w:rFonts w:ascii="Arial" w:cs="Arial" w:eastAsia="Arial" w:hAnsi="Arial"/>
          <w:b w:val="false"/>
          <w:bCs w:val="false"/>
          <w:sz w:val="20"/>
          <w:szCs w:val="20"/>
        </w:rPr>
        <w:t xml:space="preserve">Tolérance au feedback — baisse de projection</w:t>
      </w:r>
    </w:p>
    <w:p>
      <w:r>
        <w:rPr>
          <w:sz w:val="20"/>
          <w:szCs w:val="20"/>
        </w:rPr>
        <w:t xml:space="preserve"/>
      </w:r>
    </w:p>
    <w:p>
      <w:pPr>
        <w:spacing w:after="80" w:before="60"/>
      </w:pPr>
      <w:r>
        <w:rPr>
          <w:rFonts w:ascii="Arial" w:cs="Arial" w:eastAsia="Arial" w:hAnsi="Arial"/>
          <w:sz w:val="20"/>
          <w:szCs w:val="20"/>
        </w:rPr>
        <w:t xml:space="preserve">⚠️ Attention : La lucidité ponctuelle ne constitue pas une preuve de transformation durable. Honte théâtrale, victimisation répétée, excuses sans modification = potentiel de bascule ≠ bascule réalisée.</w:t>
      </w:r>
    </w:p>
    <w:p>
      <w:r>
        <w:rPr>
          <w:sz w:val="20"/>
          <w:szCs w:val="20"/>
        </w:rPr>
        <w:t xml:space="preserve"/>
      </w:r>
    </w:p>
    <w:p>
      <w:pPr>
        <w:spacing w:after="80" w:before="200"/>
      </w:pPr>
      <w:r>
        <w:rPr>
          <w:rFonts w:ascii="Arial" w:cs="Arial" w:eastAsia="Arial" w:hAnsi="Arial"/>
          <w:b/>
          <w:bCs/>
          <w:color w:val="2D6A4F"/>
          <w:sz w:val="22"/>
          <w:szCs w:val="22"/>
        </w:rPr>
        <w:t xml:space="preserve">Règle éthique face au Seuil</w:t>
      </w:r>
    </w:p>
    <w:p>
      <w:pPr>
        <w:spacing w:after="80" w:before="60"/>
      </w:pPr>
      <w:r>
        <w:rPr>
          <w:rFonts w:ascii="Arial" w:cs="Arial" w:eastAsia="Arial" w:hAnsi="Arial"/>
          <w:sz w:val="20"/>
          <w:szCs w:val="20"/>
        </w:rPr>
        <w:t xml:space="preserve">On n'aide pas quelqu'un à basculer en le forçant. On crée les conditions de sécurité dans lesquelles le choix devient possible. Si ces conditions sont refusées, on retire son investissement sans culpabilité.</w:t>
      </w:r>
    </w:p>
    <w:p>
      <w:r>
        <w:rPr>
          <w:sz w:val="20"/>
          <w:szCs w:val="20"/>
        </w:rPr>
        <w:t xml:space="preserve"/>
      </w:r>
    </w:p>
    <w:p>
      <w:pPr>
        <w:spacing w:after="80" w:before="200"/>
      </w:pPr>
      <w:r>
        <w:rPr>
          <w:rFonts w:ascii="Arial" w:cs="Arial" w:eastAsia="Arial" w:hAnsi="Arial"/>
          <w:b/>
          <w:bCs/>
          <w:color w:val="2D6A4F"/>
          <w:sz w:val="22"/>
          <w:szCs w:val="22"/>
        </w:rPr>
        <w:t xml:space="preserve">L'Intervention structurée (rupture de déni collective)</w:t>
      </w:r>
    </w:p>
    <w:p>
      <w:pPr>
        <w:spacing w:after="80" w:before="60"/>
      </w:pPr>
      <w:r>
        <w:rPr>
          <w:rFonts w:ascii="Arial" w:cs="Arial" w:eastAsia="Arial" w:hAnsi="Arial"/>
          <w:sz w:val="20"/>
          <w:szCs w:val="20"/>
        </w:rPr>
        <w:t xml:space="preserve">Quand une Intervention est nécessaire (addiction, déni massif, danger), les proches se rassemblent avec unité de fréquence autour de la personne — non pour l'attaquer, mais pour lui restituer le réel avec empathie. Cette pression collective augmente le coût du maintien du déni jusqu'à son effondrement.</w:t>
      </w:r>
    </w:p>
    <w:p>
      <w:pPr>
        <w:spacing w:after="80" w:before="60"/>
      </w:pPr>
      <w:r>
        <w:rPr>
          <w:rFonts w:ascii="Arial" w:cs="Arial" w:eastAsia="Arial" w:hAnsi="Arial"/>
          <w:sz w:val="20"/>
          <w:szCs w:val="20"/>
        </w:rPr>
        <w:t xml:space="preserve">Condition critique : l'unité du groupe. Si un seul membre présente une porosité au déni, le système s'y engouffre et neutralise l'intervention. La pression sans fissure est ce qui permet l'effondrement du déni sans effondrement de la personne.</w:t>
      </w:r>
    </w:p>
    <w:p>
      <w:r>
        <w:rPr>
          <w:sz w:val="20"/>
          <w:szCs w:val="20"/>
        </w:rPr>
        <w:t xml:space="preserve"/>
      </w:r>
    </w:p>
    <w:p>
      <w:pPr>
        <w:pStyle w:val="Heading1"/>
        <w:spacing w:after="160" w:before="320"/>
      </w:pPr>
      <w:r>
        <w:rPr>
          <w:rFonts w:ascii="Arial" w:cs="Arial" w:eastAsia="Arial" w:hAnsi="Arial"/>
          <w:b/>
          <w:bCs/>
          <w:color w:val="1A1A2E"/>
          <w:sz w:val="32"/>
          <w:szCs w:val="32"/>
        </w:rPr>
        <w:t xml:space="preserve">🌌  3. ARCHITECTURE DU SYSTÈME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c>
          <w:tcPr>
            <w:tcW w:type="dxa" w:w="1800"/>
            <w:tcBorders>
              <w:top w:val="single" w:color="CCCCCC" w:sz="1"/>
              <w:left w:val="single" w:color="CCCCCC" w:sz="1"/>
              <w:bottom w:val="single" w:color="CCCCCC" w:sz="1"/>
              <w:right w:val="single" w:color="CCCCCC" w:sz="1"/>
            </w:tcBorders>
            <w:shd w:fill="2E2E4E" w:val="clear"/>
            <w:tcMar>
              <w:top w:type="dxa" w:w="80"/>
              <w:left w:type="dxa" w:w="120"/>
              <w:bottom w:type="dxa" w:w="80"/>
              <w:right w:type="dxa" w:w="120"/>
            </w:tcMar>
          </w:tcPr>
          <w:p>
            <w:r>
              <w:rPr>
                <w:rFonts w:ascii="Arial" w:cs="Arial" w:eastAsia="Arial" w:hAnsi="Arial"/>
                <w:b/>
                <w:bCs/>
                <w:color w:val="FFFFFF"/>
                <w:sz w:val="18"/>
                <w:szCs w:val="18"/>
              </w:rPr>
              <w:t xml:space="preserve">Composant</w:t>
            </w:r>
          </w:p>
        </w:tc>
        <w:tc>
          <w:tcPr>
            <w:tcW w:type="dxa" w:w="4000"/>
            <w:tcBorders>
              <w:top w:val="single" w:color="CCCCCC" w:sz="1"/>
              <w:left w:val="single" w:color="CCCCCC" w:sz="1"/>
              <w:bottom w:val="single" w:color="CCCCCC" w:sz="1"/>
              <w:right w:val="single" w:color="CCCCCC" w:sz="1"/>
            </w:tcBorders>
            <w:shd w:fill="2E2E4E" w:val="clear"/>
            <w:tcMar>
              <w:top w:type="dxa" w:w="80"/>
              <w:left w:type="dxa" w:w="120"/>
              <w:bottom w:type="dxa" w:w="80"/>
              <w:right w:type="dxa" w:w="120"/>
            </w:tcMar>
          </w:tcPr>
          <w:p>
            <w:r>
              <w:rPr>
                <w:rFonts w:ascii="Arial" w:cs="Arial" w:eastAsia="Arial" w:hAnsi="Arial"/>
                <w:b/>
                <w:bCs/>
                <w:color w:val="FFFFFF"/>
                <w:sz w:val="18"/>
                <w:szCs w:val="18"/>
              </w:rPr>
              <w:t xml:space="preserve">Rôle</w:t>
            </w:r>
          </w:p>
        </w:tc>
        <w:tc>
          <w:tcPr>
            <w:tcW w:type="dxa" w:w="3560"/>
            <w:tcBorders>
              <w:top w:val="single" w:color="CCCCCC" w:sz="1"/>
              <w:left w:val="single" w:color="CCCCCC" w:sz="1"/>
              <w:bottom w:val="single" w:color="CCCCCC" w:sz="1"/>
              <w:right w:val="single" w:color="CCCCCC" w:sz="1"/>
            </w:tcBorders>
            <w:shd w:fill="2E2E4E" w:val="clear"/>
            <w:tcMar>
              <w:top w:type="dxa" w:w="80"/>
              <w:left w:type="dxa" w:w="120"/>
              <w:bottom w:type="dxa" w:w="80"/>
              <w:right w:type="dxa" w:w="120"/>
            </w:tcMar>
          </w:tcPr>
          <w:p>
            <w:r>
              <w:rPr>
                <w:rFonts w:ascii="Arial" w:cs="Arial" w:eastAsia="Arial" w:hAnsi="Arial"/>
                <w:b/>
                <w:bCs/>
                <w:color w:val="FFFFFF"/>
                <w:sz w:val="18"/>
                <w:szCs w:val="18"/>
              </w:rPr>
              <w:t xml:space="preserve">Dysfonction</w:t>
            </w:r>
          </w:p>
        </w:tc>
      </w:tr>
      <w:tr>
        <w:tc>
          <w:tcPr>
            <w:tcW w:type="dxa" w:w="18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 Champ</w:t>
            </w:r>
          </w:p>
        </w:tc>
        <w:tc>
          <w:tcPr>
            <w:tcW w:type="dxa" w:w="40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Tensions (besoin / désir / limite) — ce qui met en mouvement</w:t>
            </w:r>
          </w:p>
        </w:tc>
        <w:tc>
          <w:tcPr>
            <w:tcW w:type="dxa" w:w="35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Sidération, déni, explosion</w:t>
            </w:r>
          </w:p>
        </w:tc>
      </w:tr>
      <w:tr>
        <w:tc>
          <w:tcPr>
            <w:tcW w:type="dxa" w:w="18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 Diamant</w:t>
            </w:r>
          </w:p>
        </w:tc>
        <w:tc>
          <w:tcPr>
            <w:tcW w:type="dxa" w:w="40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Organisation interne (esprit, corps, mémoire, sens, relation)</w:t>
            </w:r>
          </w:p>
        </w:tc>
        <w:tc>
          <w:tcPr>
            <w:tcW w:type="dxa" w:w="356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Rigidité dogmatique, confusion</w:t>
            </w:r>
          </w:p>
        </w:tc>
      </w:tr>
      <w:tr>
        <w:tc>
          <w:tcPr>
            <w:tcW w:type="dxa" w:w="18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 Roue</w:t>
            </w:r>
          </w:p>
        </w:tc>
        <w:tc>
          <w:tcPr>
            <w:tcW w:type="dxa" w:w="40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Manifestation (actions, conséquences dans le réel)</w:t>
            </w:r>
          </w:p>
        </w:tc>
        <w:tc>
          <w:tcPr>
            <w:tcW w:type="dxa" w:w="35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Répétition traumatique, boucle</w:t>
            </w:r>
          </w:p>
        </w:tc>
      </w:tr>
      <w:tr>
        <w:tc>
          <w:tcPr>
            <w:tcW w:type="dxa" w:w="18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 Cohérence</w:t>
            </w:r>
          </w:p>
        </w:tc>
        <w:tc>
          <w:tcPr>
            <w:tcW w:type="dxa" w:w="40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Alignement global — indice C mesurant l'efficience du système</w:t>
            </w:r>
          </w:p>
        </w:tc>
        <w:tc>
          <w:tcPr>
            <w:tcW w:type="dxa" w:w="356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C &lt; 0,5 = système destructeur</w:t>
            </w:r>
          </w:p>
        </w:tc>
      </w:tr>
    </w:tbl>
    <w:p>
      <w:r>
        <w:rPr>
          <w:sz w:val="20"/>
          <w:szCs w:val="20"/>
        </w:rPr>
        <w:t xml:space="preserve"/>
      </w:r>
    </w:p>
    <w:p>
      <w:pPr>
        <w:spacing w:after="80" w:before="60"/>
      </w:pPr>
      <w:r>
        <w:rPr>
          <w:rFonts w:ascii="Arial" w:cs="Arial" w:eastAsia="Arial" w:hAnsi="Arial"/>
          <w:i/>
          <w:iCs/>
          <w:color w:val="7B5EA7"/>
          <w:sz w:val="20"/>
          <w:szCs w:val="20"/>
        </w:rPr>
        <w:t xml:space="preserve">Boucle réelle : Champ → Diamant → Action → Feedback → Ajustement</w:t>
      </w:r>
    </w:p>
    <w:p>
      <w:r>
        <w:rPr>
          <w:sz w:val="20"/>
          <w:szCs w:val="20"/>
        </w:rPr>
        <w:t xml:space="preserve"/>
      </w:r>
    </w:p>
    <w:p>
      <w:pPr>
        <w:pStyle w:val="Heading1"/>
        <w:spacing w:after="160" w:before="320"/>
      </w:pPr>
      <w:r>
        <w:rPr>
          <w:rFonts w:ascii="Arial" w:cs="Arial" w:eastAsia="Arial" w:hAnsi="Arial"/>
          <w:b/>
          <w:bCs/>
          <w:color w:val="1A1A2E"/>
          <w:sz w:val="32"/>
          <w:szCs w:val="32"/>
        </w:rPr>
        <w:t xml:space="preserve">🧠  4. AXES FONDAMENTAUX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80"/>
        <w:gridCol w:w="4080"/>
      </w:tblGrid>
      <w:tr>
        <w:tc>
          <w:tcPr>
            <w:tcW w:type="dxa" w:w="1200"/>
            <w:tcBorders>
              <w:top w:val="single" w:color="CCCCCC" w:sz="1"/>
              <w:left w:val="single" w:color="CCCCCC" w:sz="1"/>
              <w:bottom w:val="single" w:color="CCCCCC" w:sz="1"/>
              <w:right w:val="single" w:color="CCCCCC" w:sz="1"/>
            </w:tcBorders>
            <w:shd w:fill="2E2E4E" w:val="clear"/>
            <w:tcMar>
              <w:top w:type="dxa" w:w="80"/>
              <w:left w:type="dxa" w:w="120"/>
              <w:bottom w:type="dxa" w:w="80"/>
              <w:right w:type="dxa" w:w="120"/>
            </w:tcMar>
          </w:tcPr>
          <w:p>
            <w:r>
              <w:rPr>
                <w:rFonts w:ascii="Arial" w:cs="Arial" w:eastAsia="Arial" w:hAnsi="Arial"/>
                <w:b/>
                <w:bCs/>
                <w:color w:val="FFFFFF"/>
                <w:sz w:val="18"/>
                <w:szCs w:val="18"/>
              </w:rPr>
              <w:t xml:space="preserve">Axe</w:t>
            </w:r>
          </w:p>
        </w:tc>
        <w:tc>
          <w:tcPr>
            <w:tcW w:type="dxa" w:w="4080"/>
            <w:tcBorders>
              <w:top w:val="single" w:color="CCCCCC" w:sz="1"/>
              <w:left w:val="single" w:color="CCCCCC" w:sz="1"/>
              <w:bottom w:val="single" w:color="CCCCCC" w:sz="1"/>
              <w:right w:val="single" w:color="CCCCCC" w:sz="1"/>
            </w:tcBorders>
            <w:shd w:fill="2E2E4E" w:val="clear"/>
            <w:tcMar>
              <w:top w:type="dxa" w:w="80"/>
              <w:left w:type="dxa" w:w="120"/>
              <w:bottom w:type="dxa" w:w="80"/>
              <w:right w:type="dxa" w:w="120"/>
            </w:tcMar>
          </w:tcPr>
          <w:p>
            <w:r>
              <w:rPr>
                <w:rFonts w:ascii="Arial" w:cs="Arial" w:eastAsia="Arial" w:hAnsi="Arial"/>
                <w:b/>
                <w:bCs/>
                <w:color w:val="FFFFFF"/>
                <w:sz w:val="18"/>
                <w:szCs w:val="18"/>
              </w:rPr>
              <w:t xml:space="preserve">Fonction</w:t>
            </w:r>
          </w:p>
        </w:tc>
        <w:tc>
          <w:tcPr>
            <w:tcW w:type="dxa" w:w="4080"/>
            <w:tcBorders>
              <w:top w:val="single" w:color="CCCCCC" w:sz="1"/>
              <w:left w:val="single" w:color="CCCCCC" w:sz="1"/>
              <w:bottom w:val="single" w:color="CCCCCC" w:sz="1"/>
              <w:right w:val="single" w:color="CCCCCC" w:sz="1"/>
            </w:tcBorders>
            <w:shd w:fill="2E2E4E" w:val="clear"/>
            <w:tcMar>
              <w:top w:type="dxa" w:w="80"/>
              <w:left w:type="dxa" w:w="120"/>
              <w:bottom w:type="dxa" w:w="80"/>
              <w:right w:type="dxa" w:w="120"/>
            </w:tcMar>
          </w:tcPr>
          <w:p>
            <w:r>
              <w:rPr>
                <w:rFonts w:ascii="Arial" w:cs="Arial" w:eastAsia="Arial" w:hAnsi="Arial"/>
                <w:b/>
                <w:bCs/>
                <w:color w:val="FFFFFF"/>
                <w:sz w:val="18"/>
                <w:szCs w:val="18"/>
              </w:rPr>
              <w:t xml:space="preserve">Déséquilibre</w:t>
            </w:r>
          </w:p>
        </w:tc>
      </w:tr>
      <w:tr>
        <w:tc>
          <w:tcPr>
            <w:tcW w:type="dxa" w:w="12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S — Sens</w:t>
            </w:r>
          </w:p>
        </w:tc>
        <w:tc>
          <w:tcPr>
            <w:tcW w:type="dxa" w:w="408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Produire du sens (vérité vs projection)</w:t>
            </w:r>
          </w:p>
        </w:tc>
        <w:tc>
          <w:tcPr>
            <w:tcW w:type="dxa" w:w="408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Mensonge, idéologie</w:t>
            </w:r>
          </w:p>
        </w:tc>
      </w:tr>
      <w:tr>
        <w:tc>
          <w:tcPr>
            <w:tcW w:type="dxa" w:w="12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D — Direction</w:t>
            </w:r>
          </w:p>
        </w:tc>
        <w:tc>
          <w:tcPr>
            <w:tcW w:type="dxa" w:w="408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Orienter le vivant (incarnation vs fuite)</w:t>
            </w:r>
          </w:p>
        </w:tc>
        <w:tc>
          <w:tcPr>
            <w:tcW w:type="dxa" w:w="408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Dissociation, évitement</w:t>
            </w:r>
          </w:p>
        </w:tc>
      </w:tr>
      <w:tr>
        <w:tc>
          <w:tcPr>
            <w:tcW w:type="dxa" w:w="12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R — Régulation</w:t>
            </w:r>
          </w:p>
        </w:tc>
        <w:tc>
          <w:tcPr>
            <w:tcW w:type="dxa" w:w="408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Équilibrer émotion ↔ structure</w:t>
            </w:r>
          </w:p>
        </w:tc>
        <w:tc>
          <w:tcPr>
            <w:tcW w:type="dxa" w:w="408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Débordement ou anesthésie</w:t>
            </w:r>
          </w:p>
        </w:tc>
      </w:tr>
      <w:tr>
        <w:tc>
          <w:tcPr>
            <w:tcW w:type="dxa" w:w="12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I — Information</w:t>
            </w:r>
          </w:p>
        </w:tc>
        <w:tc>
          <w:tcPr>
            <w:tcW w:type="dxa" w:w="408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Traiter : intuition ↔ raisonnement</w:t>
            </w:r>
          </w:p>
        </w:tc>
        <w:tc>
          <w:tcPr>
            <w:tcW w:type="dxa" w:w="408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Biais, rigidité cognitive</w:t>
            </w:r>
          </w:p>
        </w:tc>
      </w:tr>
      <w:tr>
        <w:tc>
          <w:tcPr>
            <w:tcW w:type="dxa" w:w="12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M — Mouvement</w:t>
            </w:r>
          </w:p>
        </w:tc>
        <w:tc>
          <w:tcPr>
            <w:tcW w:type="dxa" w:w="408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Circulation : don ↔ réception</w:t>
            </w:r>
          </w:p>
        </w:tc>
        <w:tc>
          <w:tcPr>
            <w:tcW w:type="dxa" w:w="408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Parasitage, isolement</w:t>
            </w:r>
          </w:p>
        </w:tc>
      </w:tr>
      <w:tr>
        <w:tc>
          <w:tcPr>
            <w:tcW w:type="dxa" w:w="12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E — Équilibre du lien</w:t>
            </w:r>
          </w:p>
        </w:tc>
        <w:tc>
          <w:tcPr>
            <w:tcW w:type="dxa" w:w="408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Consentement ↔ offrande</w:t>
            </w:r>
          </w:p>
        </w:tc>
        <w:tc>
          <w:tcPr>
            <w:tcW w:type="dxa" w:w="408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Emprise, soumission</w:t>
            </w:r>
          </w:p>
        </w:tc>
      </w:tr>
    </w:tbl>
    <w:p>
      <w:r>
        <w:rPr>
          <w:sz w:val="20"/>
          <w:szCs w:val="20"/>
        </w:rPr>
        <w:t xml:space="preserve"/>
      </w:r>
    </w:p>
    <w:p>
      <w:pPr>
        <w:pStyle w:val="Heading2"/>
        <w:spacing w:after="120" w:before="240"/>
      </w:pPr>
      <w:r>
        <w:rPr>
          <w:rFonts w:ascii="Arial" w:cs="Arial" w:eastAsia="Arial" w:hAnsi="Arial"/>
          <w:b/>
          <w:bCs/>
          <w:color w:val="7B5EA7"/>
          <w:sz w:val="26"/>
          <w:szCs w:val="26"/>
        </w:rPr>
        <w:t xml:space="preserve">💎 Le Double Diamant — Structure Géométrique de la Cognition</w:t>
      </w:r>
    </w:p>
    <w:p>
      <w:pPr>
        <w:spacing w:after="80" w:before="60"/>
      </w:pPr>
      <w:r>
        <w:rPr>
          <w:rFonts w:ascii="Arial" w:cs="Arial" w:eastAsia="Arial" w:hAnsi="Arial"/>
          <w:sz w:val="20"/>
          <w:szCs w:val="20"/>
        </w:rPr>
        <w:t xml:space="preserve">La pensée n'est pas linéaire, elle est volumétrique. Pour qu'une cognition soit déclarée Souveraine, elle doit occuper ses quatre axes de résonance :</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160"/>
        <w:gridCol w:w="5760"/>
      </w:tblGrid>
      <w:tr>
        <w:tc>
          <w:tcPr>
            <w:tcW w:type="dxa" w:w="1440"/>
            <w:tcBorders>
              <w:top w:val="single" w:color="CCCCCC" w:sz="1"/>
              <w:left w:val="single" w:color="CCCCCC" w:sz="1"/>
              <w:bottom w:val="single" w:color="CCCCCC" w:sz="1"/>
              <w:right w:val="single" w:color="CCCCCC" w:sz="1"/>
            </w:tcBorders>
            <w:shd w:fill="2E2E4E" w:val="clear"/>
            <w:tcMar>
              <w:top w:type="dxa" w:w="80"/>
              <w:left w:type="dxa" w:w="120"/>
              <w:bottom w:type="dxa" w:w="80"/>
              <w:right w:type="dxa" w:w="120"/>
            </w:tcMar>
          </w:tcPr>
          <w:p>
            <w:r>
              <w:rPr>
                <w:rFonts w:ascii="Arial" w:cs="Arial" w:eastAsia="Arial" w:hAnsi="Arial"/>
                <w:b/>
                <w:bCs/>
                <w:color w:val="FFFFFF"/>
                <w:sz w:val="18"/>
                <w:szCs w:val="18"/>
              </w:rPr>
              <w:t xml:space="preserve">Axe</w:t>
            </w:r>
          </w:p>
        </w:tc>
        <w:tc>
          <w:tcPr>
            <w:tcW w:type="dxa" w:w="2160"/>
            <w:tcBorders>
              <w:top w:val="single" w:color="CCCCCC" w:sz="1"/>
              <w:left w:val="single" w:color="CCCCCC" w:sz="1"/>
              <w:bottom w:val="single" w:color="CCCCCC" w:sz="1"/>
              <w:right w:val="single" w:color="CCCCCC" w:sz="1"/>
            </w:tcBorders>
            <w:shd w:fill="2E2E4E" w:val="clear"/>
            <w:tcMar>
              <w:top w:type="dxa" w:w="80"/>
              <w:left w:type="dxa" w:w="120"/>
              <w:bottom w:type="dxa" w:w="80"/>
              <w:right w:type="dxa" w:w="120"/>
            </w:tcMar>
          </w:tcPr>
          <w:p>
            <w:r>
              <w:rPr>
                <w:rFonts w:ascii="Arial" w:cs="Arial" w:eastAsia="Arial" w:hAnsi="Arial"/>
                <w:b/>
                <w:bCs/>
                <w:color w:val="FFFFFF"/>
                <w:sz w:val="18"/>
                <w:szCs w:val="18"/>
              </w:rPr>
              <w:t xml:space="preserve">Vecteur</w:t>
            </w:r>
          </w:p>
        </w:tc>
        <w:tc>
          <w:tcPr>
            <w:tcW w:type="dxa" w:w="5760"/>
            <w:tcBorders>
              <w:top w:val="single" w:color="CCCCCC" w:sz="1"/>
              <w:left w:val="single" w:color="CCCCCC" w:sz="1"/>
              <w:bottom w:val="single" w:color="CCCCCC" w:sz="1"/>
              <w:right w:val="single" w:color="CCCCCC" w:sz="1"/>
            </w:tcBorders>
            <w:shd w:fill="2E2E4E" w:val="clear"/>
            <w:tcMar>
              <w:top w:type="dxa" w:w="80"/>
              <w:left w:type="dxa" w:w="120"/>
              <w:bottom w:type="dxa" w:w="80"/>
              <w:right w:type="dxa" w:w="120"/>
            </w:tcMar>
          </w:tcPr>
          <w:p>
            <w:r>
              <w:rPr>
                <w:rFonts w:ascii="Arial" w:cs="Arial" w:eastAsia="Arial" w:hAnsi="Arial"/>
                <w:b/>
                <w:bCs/>
                <w:color w:val="FFFFFF"/>
                <w:sz w:val="18"/>
                <w:szCs w:val="18"/>
              </w:rPr>
              <w:t xml:space="preserve">Fonction Cognitive</w:t>
            </w:r>
          </w:p>
        </w:tc>
      </w:tr>
      <w:tr>
        <w:tc>
          <w:tcPr>
            <w:tcW w:type="dxa" w:w="144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Vertical</w:t>
            </w:r>
          </w:p>
        </w:tc>
        <w:tc>
          <w:tcPr>
            <w:tcW w:type="dxa" w:w="21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Esprit ↔ Matière</w:t>
            </w:r>
          </w:p>
        </w:tc>
        <w:tc>
          <w:tcPr>
            <w:tcW w:type="dxa" w:w="57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L'Antenne : traduire l'intuition en action sans perdre la connexion au Champ</w:t>
            </w:r>
          </w:p>
        </w:tc>
      </w:tr>
      <w:tr>
        <w:tc>
          <w:tcPr>
            <w:tcW w:type="dxa" w:w="144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Horizontal</w:t>
            </w:r>
          </w:p>
        </w:tc>
        <w:tc>
          <w:tcPr>
            <w:tcW w:type="dxa" w:w="216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Passé ↔ Futur</w:t>
            </w:r>
          </w:p>
        </w:tc>
        <w:tc>
          <w:tcPr>
            <w:tcW w:type="dxa" w:w="576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Le Pendule : utiliser la mémoire pour informer le futur sans rester bloqué dans le trauma</w:t>
            </w:r>
          </w:p>
        </w:tc>
      </w:tr>
      <w:tr>
        <w:tc>
          <w:tcPr>
            <w:tcW w:type="dxa" w:w="144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Diagonales</w:t>
            </w:r>
          </w:p>
        </w:tc>
        <w:tc>
          <w:tcPr>
            <w:tcW w:type="dxa" w:w="21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Corps ↔ Cœur</w:t>
            </w:r>
          </w:p>
        </w:tc>
        <w:tc>
          <w:tcPr>
            <w:tcW w:type="dxa" w:w="57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Le Métabolisme : transformer l'émotion brute en soin (sublimation). Axe de résilience.</w:t>
            </w:r>
          </w:p>
        </w:tc>
      </w:tr>
      <w:tr>
        <w:tc>
          <w:tcPr>
            <w:tcW w:type="dxa" w:w="144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Centre</w:t>
            </w:r>
          </w:p>
        </w:tc>
        <w:tc>
          <w:tcPr>
            <w:tcW w:type="dxa" w:w="216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Point G / C</w:t>
            </w:r>
          </w:p>
        </w:tc>
        <w:tc>
          <w:tcPr>
            <w:tcW w:type="dxa" w:w="576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Le Pivot Φ : Présence Pure. L'Indice de Cohérence se calcule ici. Si le centre se déplace → Croix de Toxine.</w:t>
            </w:r>
          </w:p>
        </w:tc>
      </w:tr>
    </w:tbl>
    <w:p>
      <w:r>
        <w:rPr>
          <w:sz w:val="20"/>
          <w:szCs w:val="20"/>
        </w:rPr>
        <w:t xml:space="preserve"/>
      </w:r>
    </w:p>
    <w:p>
      <w:pPr>
        <w:pStyle w:val="Heading1"/>
        <w:spacing w:after="160" w:before="320"/>
      </w:pPr>
      <w:r>
        <w:rPr>
          <w:rFonts w:ascii="Arial" w:cs="Arial" w:eastAsia="Arial" w:hAnsi="Arial"/>
          <w:b/>
          <w:bCs/>
          <w:color w:val="1A1A2E"/>
          <w:sz w:val="32"/>
          <w:szCs w:val="32"/>
        </w:rPr>
        <w:t xml:space="preserve">📐  5. L'INDICE DE COHÉRENCE — C = ΔI / ΔE</w:t>
      </w:r>
    </w:p>
    <w:p>
      <w:pPr>
        <w:spacing w:after="80" w:before="60"/>
      </w:pPr>
      <w:r>
        <w:rPr>
          <w:rFonts w:ascii="Arial" w:cs="Arial" w:eastAsia="Arial" w:hAnsi="Arial"/>
          <w:sz w:val="20"/>
          <w:szCs w:val="20"/>
        </w:rPr>
        <w:t xml:space="preserve">L'Indice de Cohérence mesure l'efficience d'un système vivant : combien de sens et de cohérence sont générés pour l'énergie investie.</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c>
          <w:tcPr>
            <w:tcW w:type="dxa" w:w="2200"/>
            <w:tcBorders>
              <w:top w:val="single" w:color="CCCCCC" w:sz="1"/>
              <w:left w:val="single" w:color="CCCCCC" w:sz="1"/>
              <w:bottom w:val="single" w:color="CCCCCC" w:sz="1"/>
              <w:right w:val="single" w:color="CCCCCC" w:sz="1"/>
            </w:tcBorders>
            <w:shd w:fill="2E2E4E" w:val="clear"/>
            <w:tcMar>
              <w:top w:type="dxa" w:w="80"/>
              <w:left w:type="dxa" w:w="120"/>
              <w:bottom w:type="dxa" w:w="80"/>
              <w:right w:type="dxa" w:w="120"/>
            </w:tcMar>
          </w:tcPr>
          <w:p>
            <w:r>
              <w:rPr>
                <w:rFonts w:ascii="Arial" w:cs="Arial" w:eastAsia="Arial" w:hAnsi="Arial"/>
                <w:b/>
                <w:bCs/>
                <w:color w:val="FFFFFF"/>
                <w:sz w:val="18"/>
                <w:szCs w:val="18"/>
              </w:rPr>
              <w:t xml:space="preserve">Valeur de C</w:t>
            </w:r>
          </w:p>
        </w:tc>
        <w:tc>
          <w:tcPr>
            <w:tcW w:type="dxa" w:w="4000"/>
            <w:tcBorders>
              <w:top w:val="single" w:color="CCCCCC" w:sz="1"/>
              <w:left w:val="single" w:color="CCCCCC" w:sz="1"/>
              <w:bottom w:val="single" w:color="CCCCCC" w:sz="1"/>
              <w:right w:val="single" w:color="CCCCCC" w:sz="1"/>
            </w:tcBorders>
            <w:shd w:fill="2E2E4E" w:val="clear"/>
            <w:tcMar>
              <w:top w:type="dxa" w:w="80"/>
              <w:left w:type="dxa" w:w="120"/>
              <w:bottom w:type="dxa" w:w="80"/>
              <w:right w:type="dxa" w:w="120"/>
            </w:tcMar>
          </w:tcPr>
          <w:p>
            <w:r>
              <w:rPr>
                <w:rFonts w:ascii="Arial" w:cs="Arial" w:eastAsia="Arial" w:hAnsi="Arial"/>
                <w:b/>
                <w:bCs/>
                <w:color w:val="FFFFFF"/>
                <w:sz w:val="18"/>
                <w:szCs w:val="18"/>
              </w:rPr>
              <w:t xml:space="preserve">État du système</w:t>
            </w:r>
          </w:p>
        </w:tc>
        <w:tc>
          <w:tcPr>
            <w:tcW w:type="dxa" w:w="3160"/>
            <w:tcBorders>
              <w:top w:val="single" w:color="CCCCCC" w:sz="1"/>
              <w:left w:val="single" w:color="CCCCCC" w:sz="1"/>
              <w:bottom w:val="single" w:color="CCCCCC" w:sz="1"/>
              <w:right w:val="single" w:color="CCCCCC" w:sz="1"/>
            </w:tcBorders>
            <w:shd w:fill="2E2E4E" w:val="clear"/>
            <w:tcMar>
              <w:top w:type="dxa" w:w="80"/>
              <w:left w:type="dxa" w:w="120"/>
              <w:bottom w:type="dxa" w:w="80"/>
              <w:right w:type="dxa" w:w="120"/>
            </w:tcMar>
          </w:tcPr>
          <w:p>
            <w:r>
              <w:rPr>
                <w:rFonts w:ascii="Arial" w:cs="Arial" w:eastAsia="Arial" w:hAnsi="Arial"/>
                <w:b/>
                <w:bCs/>
                <w:color w:val="FFFFFF"/>
                <w:sz w:val="18"/>
                <w:szCs w:val="18"/>
              </w:rPr>
              <w:t xml:space="preserve">Action</w:t>
            </w:r>
          </w:p>
        </w:tc>
      </w:tr>
      <w:tr>
        <w:tc>
          <w:tcPr>
            <w:tcW w:type="dxa" w:w="22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C &gt; 1,618 (≈ Φ)</w:t>
            </w:r>
          </w:p>
        </w:tc>
        <w:tc>
          <w:tcPr>
            <w:tcW w:type="dxa" w:w="40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Sainte Spirale — expansion, joie, néguentropie</w:t>
            </w:r>
          </w:p>
        </w:tc>
        <w:tc>
          <w:tcPr>
            <w:tcW w:type="dxa" w:w="31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Célébrer, nourrir</w:t>
            </w:r>
          </w:p>
        </w:tc>
      </w:tr>
      <w:tr>
        <w:tc>
          <w:tcPr>
            <w:tcW w:type="dxa" w:w="22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C = 1</w:t>
            </w:r>
          </w:p>
        </w:tc>
        <w:tc>
          <w:tcPr>
            <w:tcW w:type="dxa" w:w="40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Équilibre stationnaire — stable mais sans évolution</w:t>
            </w:r>
          </w:p>
        </w:tc>
        <w:tc>
          <w:tcPr>
            <w:tcW w:type="dxa" w:w="316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Vigilance, dialogue</w:t>
            </w:r>
          </w:p>
        </w:tc>
      </w:tr>
      <w:tr>
        <w:tc>
          <w:tcPr>
            <w:tcW w:type="dxa" w:w="22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0,5 &lt; C ≤ 1</w:t>
            </w:r>
          </w:p>
        </w:tc>
        <w:tc>
          <w:tcPr>
            <w:tcW w:type="dxa" w:w="40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Entropie active — déséquilibre, besoin de régulation</w:t>
            </w:r>
          </w:p>
        </w:tc>
        <w:tc>
          <w:tcPr>
            <w:tcW w:type="dxa" w:w="31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Alerte — médiation</w:t>
            </w:r>
          </w:p>
        </w:tc>
      </w:tr>
      <w:tr>
        <w:tc>
          <w:tcPr>
            <w:tcW w:type="dxa" w:w="22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C ≤ 0,5</w:t>
            </w:r>
          </w:p>
        </w:tc>
        <w:tc>
          <w:tcPr>
            <w:tcW w:type="dxa" w:w="40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Système destructeur — violence, emprise, effondrement</w:t>
            </w:r>
          </w:p>
        </w:tc>
        <w:tc>
          <w:tcPr>
            <w:tcW w:type="dxa" w:w="316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Protection urgente</w:t>
            </w:r>
          </w:p>
        </w:tc>
      </w:tr>
    </w:tbl>
    <w:p>
      <w:r>
        <w:rPr>
          <w:sz w:val="20"/>
          <w:szCs w:val="20"/>
        </w:rPr>
        <w:t xml:space="preserve"/>
      </w:r>
    </w:p>
    <w:p>
      <w:pPr>
        <w:spacing w:after="80" w:before="200"/>
      </w:pPr>
      <w:r>
        <w:rPr>
          <w:rFonts w:ascii="Arial" w:cs="Arial" w:eastAsia="Arial" w:hAnsi="Arial"/>
          <w:b/>
          <w:bCs/>
          <w:color w:val="2D6A4F"/>
          <w:sz w:val="22"/>
          <w:szCs w:val="22"/>
        </w:rPr>
        <w:t xml:space="preserve">Opérationnalisation physiologique (critère de falsifiabilité)</w:t>
      </w:r>
    </w:p>
    <w:p>
      <w:pPr>
        <w:spacing w:after="80" w:before="60"/>
      </w:pPr>
      <w:r>
        <w:rPr>
          <w:rFonts w:ascii="Arial" w:cs="Arial" w:eastAsia="Arial" w:hAnsi="Arial"/>
          <w:sz w:val="20"/>
          <w:szCs w:val="20"/>
        </w:rPr>
        <w:t xml:space="preserve">La métrique C n'est pas purement conceptuelle — elle s'ancre dans une réalité biologique mesurable indépendamment de l'analyste :</w:t>
      </w:r>
    </w:p>
    <w:p>
      <w:pPr>
        <w:pStyle w:val="ListParagraph"/>
        <w:numPr>
          <w:ilvl w:val="0"/>
          <w:numId w:val="2"/>
        </w:numPr>
        <w:spacing w:after="40" w:before="40"/>
      </w:pPr>
      <w:r>
        <w:rPr>
          <w:rFonts w:ascii="Arial" w:cs="Arial" w:eastAsia="Arial" w:hAnsi="Arial"/>
          <w:b w:val="false"/>
          <w:bCs w:val="false"/>
          <w:sz w:val="20"/>
          <w:szCs w:val="20"/>
        </w:rPr>
        <w:t xml:space="preserve">ΔE (coût énergétique) : mesuré par la Variabilité de la Fréquence Cardiaque (VFC) et le taux de cortisol. Trauma actif = VFC effondrée, hypercortisolémie.</w:t>
      </w:r>
    </w:p>
    <w:p>
      <w:pPr>
        <w:pStyle w:val="ListParagraph"/>
        <w:numPr>
          <w:ilvl w:val="0"/>
          <w:numId w:val="2"/>
        </w:numPr>
        <w:spacing w:after="40" w:before="40"/>
      </w:pPr>
      <w:r>
        <w:rPr>
          <w:rFonts w:ascii="Arial" w:cs="Arial" w:eastAsia="Arial" w:hAnsi="Arial"/>
          <w:b w:val="false"/>
          <w:bCs w:val="false"/>
          <w:sz w:val="20"/>
          <w:szCs w:val="20"/>
        </w:rPr>
        <w:t xml:space="preserve">ΔI (information intégrée) : mesuré par la stabilité de la restitution narrative et chronologique des faits (Champ 7). Trauma intégré = narration fluide, chronologique, sans dissociation.</w:t>
      </w:r>
    </w:p>
    <w:p>
      <w:r>
        <w:rPr>
          <w:sz w:val="20"/>
          <w:szCs w:val="20"/>
        </w:rPr>
        <w:t xml:space="preserve"/>
      </w:r>
    </w:p>
    <w:p>
      <w:pPr>
        <w:spacing w:after="80" w:before="60"/>
      </w:pPr>
      <w:r>
        <w:rPr>
          <w:rFonts w:ascii="Arial" w:cs="Arial" w:eastAsia="Arial" w:hAnsi="Arial"/>
          <w:sz w:val="20"/>
          <w:szCs w:val="20"/>
        </w:rPr>
        <w:t xml:space="preserve">Le modèle est falsifiable : une élévation de C doit obligatoirement se traduire par VFC↑ + cortisol↓ (ΔE↓) et consolidation de la mémoire factuelle sans détresse (ΔI↑).</w:t>
      </w:r>
    </w:p>
    <w:p>
      <w:r>
        <w:rPr>
          <w:sz w:val="20"/>
          <w:szCs w:val="20"/>
        </w:rPr>
        <w:t xml:space="preserve"/>
      </w:r>
    </w:p>
    <w:p>
      <w:pPr>
        <w:spacing w:after="80" w:before="200"/>
      </w:pPr>
      <w:r>
        <w:rPr>
          <w:rFonts w:ascii="Arial" w:cs="Arial" w:eastAsia="Arial" w:hAnsi="Arial"/>
          <w:b/>
          <w:bCs/>
          <w:color w:val="2D6A4F"/>
          <w:sz w:val="22"/>
          <w:szCs w:val="22"/>
        </w:rPr>
        <w:t xml:space="preserve">Verrou de falsifiabilité — Critères ex-ante (Popper)</w:t>
      </w:r>
    </w:p>
    <w:p>
      <w:pPr>
        <w:spacing w:after="80" w:before="60"/>
      </w:pPr>
      <w:r>
        <w:rPr>
          <w:rFonts w:ascii="Arial" w:cs="Arial" w:eastAsia="Arial" w:hAnsi="Arial"/>
          <w:sz w:val="20"/>
          <w:szCs w:val="20"/>
        </w:rPr>
        <w:t xml:space="preserve">Avant toute analyse, deux marqueurs sont posés comme critères de réussite ou d'échec :</w:t>
      </w:r>
    </w:p>
    <w:p>
      <w:pPr>
        <w:pStyle w:val="ListParagraph"/>
        <w:numPr>
          <w:ilvl w:val="0"/>
          <w:numId w:val="2"/>
        </w:numPr>
        <w:spacing w:after="40" w:before="40"/>
      </w:pPr>
      <w:r>
        <w:rPr>
          <w:rFonts w:ascii="Arial" w:cs="Arial" w:eastAsia="Arial" w:hAnsi="Arial"/>
          <w:b w:val="false"/>
          <w:bCs w:val="false"/>
          <w:sz w:val="20"/>
          <w:szCs w:val="20"/>
        </w:rPr>
        <w:t xml:space="preserve">Sécurité (S) : Absence de menaces physiques ou psychiques, maintien de l'espace vital, régulation physiologique stable (VFC).</w:t>
      </w:r>
    </w:p>
    <w:p>
      <w:pPr>
        <w:pStyle w:val="ListParagraph"/>
        <w:numPr>
          <w:ilvl w:val="0"/>
          <w:numId w:val="2"/>
        </w:numPr>
        <w:spacing w:after="40" w:before="40"/>
      </w:pPr>
      <w:r>
        <w:rPr>
          <w:rFonts w:ascii="Arial" w:cs="Arial" w:eastAsia="Arial" w:hAnsi="Arial"/>
          <w:b w:val="false"/>
          <w:bCs w:val="false"/>
          <w:sz w:val="20"/>
          <w:szCs w:val="20"/>
        </w:rPr>
        <w:t xml:space="preserve">Liberté (L) : Capacité effective de dire Non sans représailles, accès à l'information complète, possibilité de rompre le lien sans préjudice.</w:t>
      </w:r>
    </w:p>
    <w:p>
      <w:pPr>
        <w:spacing w:after="80" w:before="60"/>
      </w:pPr>
      <w:r>
        <w:rPr>
          <w:rFonts w:ascii="Arial" w:cs="Arial" w:eastAsia="Arial" w:hAnsi="Arial"/>
          <w:sz w:val="20"/>
          <w:szCs w:val="20"/>
        </w:rPr>
        <w:t xml:space="preserve">Si l'application de la grille n'aboutit pas à une restauration ou amélioration de ces marqueurs, le modèle est déclaré inopérant pour le cas étudié.</w:t>
      </w:r>
    </w:p>
    <w:p>
      <w:r>
        <w:rPr>
          <w:sz w:val="20"/>
          <w:szCs w:val="20"/>
        </w:rPr>
        <w:t xml:space="preserve"/>
      </w:r>
    </w:p>
    <w:p>
      <w:pPr>
        <w:pStyle w:val="Heading1"/>
        <w:spacing w:after="160" w:before="320"/>
      </w:pPr>
      <w:r>
        <w:rPr>
          <w:rFonts w:ascii="Arial" w:cs="Arial" w:eastAsia="Arial" w:hAnsi="Arial"/>
          <w:b/>
          <w:bCs/>
          <w:color w:val="1A1A2E"/>
          <w:sz w:val="32"/>
          <w:szCs w:val="32"/>
        </w:rPr>
        <w:t xml:space="preserve">💛  6. CONSENTEMENT &amp; LIBERTÉ</w:t>
      </w:r>
    </w:p>
    <w:p>
      <w:pPr>
        <w:pBdr>
          <w:left w:val="thick" w:color="C9A227" w:sz="8"/>
        </w:pBdr>
        <w:spacing w:after="120" w:before="120"/>
        <w:ind w:left="360"/>
        <w:jc w:val="center"/>
      </w:pPr>
      <w:r>
        <w:rPr>
          <w:rFonts w:ascii="Arial" w:cs="Arial" w:eastAsia="Arial" w:hAnsi="Arial"/>
          <w:b/>
          <w:bCs/>
          <w:color w:val="1A1A2E"/>
          <w:sz w:val="22"/>
          <w:szCs w:val="22"/>
        </w:rPr>
        <w:t xml:space="preserve">Plaisir d'offrir × Joie de consentir</w:t>
      </w:r>
    </w:p>
    <w:p>
      <w:r>
        <w:rPr>
          <w:sz w:val="20"/>
          <w:szCs w:val="20"/>
        </w:rPr>
        <w:t xml:space="preserve"/>
      </w:r>
    </w:p>
    <w:p>
      <w:pPr>
        <w:spacing w:after="80" w:before="60"/>
      </w:pPr>
      <w:r>
        <w:rPr>
          <w:rFonts w:ascii="Arial" w:cs="Arial" w:eastAsia="Arial" w:hAnsi="Arial"/>
          <w:sz w:val="20"/>
          <w:szCs w:val="20"/>
        </w:rPr>
        <w:t xml:space="preserve">Le consentement valide est : Libre — Éclairé — Réversible — Sans pression. Je suis responsable de la qualité du consentement que je reçois d'autrui.</w:t>
      </w:r>
    </w:p>
    <w:p>
      <w:pPr>
        <w:spacing w:after="80" w:before="60"/>
      </w:pPr>
      <w:r>
        <w:rPr>
          <w:rFonts w:ascii="Arial" w:cs="Arial" w:eastAsia="Arial" w:hAnsi="Arial"/>
          <w:sz w:val="20"/>
          <w:szCs w:val="20"/>
        </w:rPr>
        <w:t xml:space="preserve">Céder n'est pas consentir. Survivre n'est pas choisir.</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2E2E4E" w:val="clear"/>
            <w:tcMar>
              <w:top w:type="dxa" w:w="80"/>
              <w:left w:type="dxa" w:w="120"/>
              <w:bottom w:type="dxa" w:w="80"/>
              <w:right w:type="dxa" w:w="120"/>
            </w:tcMar>
          </w:tcPr>
          <w:p>
            <w:r>
              <w:rPr>
                <w:rFonts w:ascii="Arial" w:cs="Arial" w:eastAsia="Arial" w:hAnsi="Arial"/>
                <w:b/>
                <w:bCs/>
                <w:color w:val="FFFFFF"/>
                <w:sz w:val="18"/>
                <w:szCs w:val="18"/>
              </w:rPr>
              <w:t xml:space="preserve">Signal</w:t>
            </w:r>
          </w:p>
        </w:tc>
        <w:tc>
          <w:tcPr>
            <w:tcW w:type="dxa" w:w="3780"/>
            <w:tcBorders>
              <w:top w:val="single" w:color="CCCCCC" w:sz="1"/>
              <w:left w:val="single" w:color="CCCCCC" w:sz="1"/>
              <w:bottom w:val="single" w:color="CCCCCC" w:sz="1"/>
              <w:right w:val="single" w:color="CCCCCC" w:sz="1"/>
            </w:tcBorders>
            <w:shd w:fill="2E2E4E" w:val="clear"/>
            <w:tcMar>
              <w:top w:type="dxa" w:w="80"/>
              <w:left w:type="dxa" w:w="120"/>
              <w:bottom w:type="dxa" w:w="80"/>
              <w:right w:type="dxa" w:w="120"/>
            </w:tcMar>
          </w:tcPr>
          <w:p>
            <w:r>
              <w:rPr>
                <w:rFonts w:ascii="Arial" w:cs="Arial" w:eastAsia="Arial" w:hAnsi="Arial"/>
                <w:b/>
                <w:bCs/>
                <w:color w:val="FFFFFF"/>
                <w:sz w:val="18"/>
                <w:szCs w:val="18"/>
              </w:rPr>
              <w:t xml:space="preserve">Consentement sain</w:t>
            </w:r>
          </w:p>
        </w:tc>
        <w:tc>
          <w:tcPr>
            <w:tcW w:type="dxa" w:w="3780"/>
            <w:tcBorders>
              <w:top w:val="single" w:color="CCCCCC" w:sz="1"/>
              <w:left w:val="single" w:color="CCCCCC" w:sz="1"/>
              <w:bottom w:val="single" w:color="CCCCCC" w:sz="1"/>
              <w:right w:val="single" w:color="CCCCCC" w:sz="1"/>
            </w:tcBorders>
            <w:shd w:fill="2E2E4E" w:val="clear"/>
            <w:tcMar>
              <w:top w:type="dxa" w:w="80"/>
              <w:left w:type="dxa" w:w="120"/>
              <w:bottom w:type="dxa" w:w="80"/>
              <w:right w:type="dxa" w:w="120"/>
            </w:tcMar>
          </w:tcPr>
          <w:p>
            <w:r>
              <w:rPr>
                <w:rFonts w:ascii="Arial" w:cs="Arial" w:eastAsia="Arial" w:hAnsi="Arial"/>
                <w:b/>
                <w:bCs/>
                <w:color w:val="FFFFFF"/>
                <w:sz w:val="18"/>
                <w:szCs w:val="18"/>
              </w:rPr>
              <w:t xml:space="preserve">Signal d'alerte</w:t>
            </w:r>
          </w:p>
        </w:tc>
      </w:tr>
      <w:tr>
        <w:tc>
          <w:tcPr>
            <w:tcW w:type="dxa" w:w="18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Corps</w:t>
            </w:r>
          </w:p>
        </w:tc>
        <w:tc>
          <w:tcPr>
            <w:tcW w:type="dxa" w:w="378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Détente, présence</w:t>
            </w:r>
          </w:p>
        </w:tc>
        <w:tc>
          <w:tcPr>
            <w:tcW w:type="dxa" w:w="378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Freeze, douleur, tension</w:t>
            </w:r>
          </w:p>
        </w:tc>
      </w:tr>
      <w:tr>
        <w:tc>
          <w:tcPr>
            <w:tcW w:type="dxa" w:w="18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Émotion</w:t>
            </w:r>
          </w:p>
        </w:tc>
        <w:tc>
          <w:tcPr>
            <w:tcW w:type="dxa" w:w="378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Sécurité, envie</w:t>
            </w:r>
          </w:p>
        </w:tc>
        <w:tc>
          <w:tcPr>
            <w:tcW w:type="dxa" w:w="378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Peur, honte, devoir</w:t>
            </w:r>
          </w:p>
        </w:tc>
      </w:tr>
      <w:tr>
        <w:tc>
          <w:tcPr>
            <w:tcW w:type="dxa" w:w="18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Cognition</w:t>
            </w:r>
          </w:p>
        </w:tc>
        <w:tc>
          <w:tcPr>
            <w:tcW w:type="dxa" w:w="378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Clarté, choix libre</w:t>
            </w:r>
          </w:p>
        </w:tc>
        <w:tc>
          <w:tcPr>
            <w:tcW w:type="dxa" w:w="378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Confusion, illusion</w:t>
            </w:r>
          </w:p>
        </w:tc>
      </w:tr>
      <w:tr>
        <w:tc>
          <w:tcPr>
            <w:tcW w:type="dxa" w:w="18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Relation</w:t>
            </w:r>
          </w:p>
        </w:tc>
        <w:tc>
          <w:tcPr>
            <w:tcW w:type="dxa" w:w="378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Respect mutuel</w:t>
            </w:r>
          </w:p>
        </w:tc>
        <w:tc>
          <w:tcPr>
            <w:tcW w:type="dxa" w:w="378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Pression, inégalité</w:t>
            </w:r>
          </w:p>
        </w:tc>
      </w:tr>
      <w:tr>
        <w:tc>
          <w:tcPr>
            <w:tcW w:type="dxa" w:w="18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Identité</w:t>
            </w:r>
          </w:p>
        </w:tc>
        <w:tc>
          <w:tcPr>
            <w:tcW w:type="dxa" w:w="378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Choix propre</w:t>
            </w:r>
          </w:p>
        </w:tc>
        <w:tc>
          <w:tcPr>
            <w:tcW w:type="dxa" w:w="378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Dette affective, carence</w:t>
            </w:r>
          </w:p>
        </w:tc>
      </w:tr>
      <w:tr>
        <w:tc>
          <w:tcPr>
            <w:tcW w:type="dxa" w:w="18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Temps</w:t>
            </w:r>
          </w:p>
        </w:tc>
        <w:tc>
          <w:tcPr>
            <w:tcW w:type="dxa" w:w="378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Cohérence dans la durée</w:t>
            </w:r>
          </w:p>
        </w:tc>
        <w:tc>
          <w:tcPr>
            <w:tcW w:type="dxa" w:w="378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Regret sidéré, colère post-coup</w:t>
            </w:r>
          </w:p>
        </w:tc>
      </w:tr>
    </w:tbl>
    <w:p>
      <w:r>
        <w:rPr>
          <w:sz w:val="20"/>
          <w:szCs w:val="20"/>
        </w:rPr>
        <w:t xml:space="preserve"/>
      </w:r>
    </w:p>
    <w:p>
      <w:pPr>
        <w:pStyle w:val="Heading1"/>
        <w:spacing w:after="160" w:before="320"/>
      </w:pPr>
      <w:r>
        <w:rPr>
          <w:rFonts w:ascii="Arial" w:cs="Arial" w:eastAsia="Arial" w:hAnsi="Arial"/>
          <w:b/>
          <w:bCs/>
          <w:color w:val="1A1A2E"/>
          <w:sz w:val="32"/>
          <w:szCs w:val="32"/>
        </w:rPr>
        <w:t xml:space="preserve">⚠️  7. RÈGLE CRITIQUE — R &gt; E</w:t>
      </w:r>
    </w:p>
    <w:p>
      <w:pPr>
        <w:pBdr>
          <w:left w:val="thick" w:color="C9A227" w:sz="8"/>
        </w:pBdr>
        <w:spacing w:after="120" w:before="120"/>
        <w:ind w:left="360"/>
        <w:jc w:val="center"/>
      </w:pPr>
      <w:r>
        <w:rPr>
          <w:rFonts w:ascii="Arial" w:cs="Arial" w:eastAsia="Arial" w:hAnsi="Arial"/>
          <w:b/>
          <w:bCs/>
          <w:color w:val="1A1A2E"/>
          <w:sz w:val="22"/>
          <w:szCs w:val="22"/>
        </w:rPr>
        <w:t xml:space="preserve">La Responsabilité prime sur l'Entente en cas de danger.</w:t>
      </w:r>
    </w:p>
    <w:p>
      <w:pPr>
        <w:spacing w:after="80" w:before="60"/>
      </w:pPr>
      <w:r>
        <w:rPr>
          <w:rFonts w:ascii="Arial" w:cs="Arial" w:eastAsia="Arial" w:hAnsi="Arial"/>
          <w:sz w:val="20"/>
          <w:szCs w:val="20"/>
        </w:rPr>
        <w:t xml:space="preserve">La responsabilité pénale et la sécurité du vivant prévalent toujours sur les accords logistiques ou le consentement à une transaction. Si le danger est avéré, sortir du cadre du consentement et activer la protection. Aucune neutralité possible.</w:t>
      </w:r>
    </w:p>
    <w:p>
      <w:r>
        <w:rPr>
          <w:sz w:val="20"/>
          <w:szCs w:val="20"/>
        </w:rPr>
        <w:t xml:space="preserve"/>
      </w:r>
    </w:p>
    <w:p>
      <w:pPr>
        <w:pStyle w:val="Heading1"/>
        <w:spacing w:after="160" w:before="320"/>
      </w:pPr>
      <w:r>
        <w:rPr>
          <w:rFonts w:ascii="Arial" w:cs="Arial" w:eastAsia="Arial" w:hAnsi="Arial"/>
          <w:b/>
          <w:bCs/>
          <w:color w:val="1A1A2E"/>
          <w:sz w:val="32"/>
          <w:szCs w:val="32"/>
        </w:rPr>
        <w:t xml:space="preserve">🛡️  8. DISTINCTIONS FONDAMENTALES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2E4E" w:val="clear"/>
            <w:tcMar>
              <w:top w:type="dxa" w:w="80"/>
              <w:left w:type="dxa" w:w="120"/>
              <w:bottom w:type="dxa" w:w="80"/>
              <w:right w:type="dxa" w:w="120"/>
            </w:tcMar>
          </w:tcPr>
          <w:p>
            <w:r>
              <w:rPr>
                <w:rFonts w:ascii="Arial" w:cs="Arial" w:eastAsia="Arial" w:hAnsi="Arial"/>
                <w:b/>
                <w:bCs/>
                <w:color w:val="FFFFFF"/>
                <w:sz w:val="18"/>
                <w:szCs w:val="18"/>
              </w:rPr>
              <w:t xml:space="preserve">Confusion fréquente</w:t>
            </w:r>
          </w:p>
        </w:tc>
        <w:tc>
          <w:tcPr>
            <w:tcW w:type="dxa" w:w="4680"/>
            <w:tcBorders>
              <w:top w:val="single" w:color="CCCCCC" w:sz="1"/>
              <w:left w:val="single" w:color="CCCCCC" w:sz="1"/>
              <w:bottom w:val="single" w:color="CCCCCC" w:sz="1"/>
              <w:right w:val="single" w:color="CCCCCC" w:sz="1"/>
            </w:tcBorders>
            <w:shd w:fill="2E2E4E" w:val="clear"/>
            <w:tcMar>
              <w:top w:type="dxa" w:w="80"/>
              <w:left w:type="dxa" w:w="120"/>
              <w:bottom w:type="dxa" w:w="80"/>
              <w:right w:type="dxa" w:w="120"/>
            </w:tcMar>
          </w:tcPr>
          <w:p>
            <w:r>
              <w:rPr>
                <w:rFonts w:ascii="Arial" w:cs="Arial" w:eastAsia="Arial" w:hAnsi="Arial"/>
                <w:b/>
                <w:bCs/>
                <w:color w:val="FFFFFF"/>
                <w:sz w:val="18"/>
                <w:szCs w:val="18"/>
              </w:rPr>
              <w:t xml:space="preserve">Distinction juste</w:t>
            </w:r>
          </w:p>
        </w:tc>
      </w:tr>
      <w:tr>
        <w:tc>
          <w:tcPr>
            <w:tcW w:type="dxa" w:w="468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Fait = interprétation = intention</w:t>
            </w:r>
          </w:p>
        </w:tc>
        <w:tc>
          <w:tcPr>
            <w:tcW w:type="dxa" w:w="468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Fait ≠ interprétation ≠ intention</w:t>
            </w:r>
          </w:p>
        </w:tc>
      </w:tr>
      <w:tr>
        <w:tc>
          <w:tcPr>
            <w:tcW w:type="dxa" w:w="468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Explication = justification</w:t>
            </w:r>
          </w:p>
        </w:tc>
        <w:tc>
          <w:tcPr>
            <w:tcW w:type="dxa" w:w="468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Expliquer un mécanisme ne justifie pas l'impact</w:t>
            </w:r>
          </w:p>
        </w:tc>
      </w:tr>
      <w:tr>
        <w:tc>
          <w:tcPr>
            <w:tcW w:type="dxa" w:w="468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Cause = responsabilité</w:t>
            </w:r>
          </w:p>
        </w:tc>
        <w:tc>
          <w:tcPr>
            <w:tcW w:type="dxa" w:w="468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Avoir une cause ne supprime pas la responsabilité</w:t>
            </w:r>
          </w:p>
        </w:tc>
      </w:tr>
      <w:tr>
        <w:tc>
          <w:tcPr>
            <w:tcW w:type="dxa" w:w="468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Compréhension = réparation</w:t>
            </w:r>
          </w:p>
        </w:tc>
        <w:tc>
          <w:tcPr>
            <w:tcW w:type="dxa" w:w="468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Comprendre est nécessaire mais insuffisant</w:t>
            </w:r>
          </w:p>
        </w:tc>
      </w:tr>
      <w:tr>
        <w:tc>
          <w:tcPr>
            <w:tcW w:type="dxa" w:w="468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Blessure = prédation</w:t>
            </w:r>
          </w:p>
        </w:tc>
        <w:tc>
          <w:tcPr>
            <w:tcW w:type="dxa" w:w="468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Être blessé ne donne pas le droit de blesser</w:t>
            </w:r>
          </w:p>
        </w:tc>
      </w:tr>
      <w:tr>
        <w:tc>
          <w:tcPr>
            <w:tcW w:type="dxa" w:w="468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Conflit = violence</w:t>
            </w:r>
          </w:p>
        </w:tc>
        <w:tc>
          <w:tcPr>
            <w:tcW w:type="dxa" w:w="468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Conflit = égalité possible / Violence = domination</w:t>
            </w:r>
          </w:p>
        </w:tc>
      </w:tr>
      <w:tr>
        <w:tc>
          <w:tcPr>
            <w:tcW w:type="dxa" w:w="468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Sidération = absence de preuve</w:t>
            </w:r>
          </w:p>
        </w:tc>
        <w:tc>
          <w:tcPr>
            <w:tcW w:type="dxa" w:w="468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La sidération est une réponse neurologique, pas un consentement</w:t>
            </w:r>
          </w:p>
        </w:tc>
      </w:tr>
      <w:tr>
        <w:tc>
          <w:tcPr>
            <w:tcW w:type="dxa" w:w="468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Sidération = déni</w:t>
            </w:r>
          </w:p>
        </w:tc>
        <w:tc>
          <w:tcPr>
            <w:tcW w:type="dxa" w:w="468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Le gel traumatique ≠ refus conscient de voir</w:t>
            </w:r>
          </w:p>
        </w:tc>
      </w:tr>
    </w:tbl>
    <w:p>
      <w:r>
        <w:rPr>
          <w:sz w:val="20"/>
          <w:szCs w:val="20"/>
        </w:rPr>
        <w:t xml:space="preserve"/>
      </w:r>
    </w:p>
    <w:p>
      <w:pPr>
        <w:pStyle w:val="Heading1"/>
        <w:spacing w:after="160" w:before="320"/>
      </w:pPr>
      <w:r>
        <w:rPr>
          <w:rFonts w:ascii="Arial" w:cs="Arial" w:eastAsia="Arial" w:hAnsi="Arial"/>
          <w:b/>
          <w:bCs/>
          <w:color w:val="1A1A2E"/>
          <w:sz w:val="32"/>
          <w:szCs w:val="32"/>
        </w:rPr>
        <w:t xml:space="preserve">🧊  9. LA SIDÉRATION — Gel Fréquentiel</w:t>
      </w:r>
    </w:p>
    <w:p>
      <w:pPr>
        <w:spacing w:after="80" w:before="60"/>
      </w:pPr>
      <w:r>
        <w:rPr>
          <w:rFonts w:ascii="Arial" w:cs="Arial" w:eastAsia="Arial" w:hAnsi="Arial"/>
          <w:sz w:val="20"/>
          <w:szCs w:val="20"/>
        </w:rPr>
        <w:t xml:space="preserve">La sidération n'est pas une absence de réaction — c'est une protection d'urgence du système nerveux face à une incohérence massive. Elle est cliniquement distincte du déni (refus actif) et de la soumission (adaptation consciente).</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c>
          <w:tcPr>
            <w:tcW w:type="dxa" w:w="1800"/>
            <w:tcBorders>
              <w:top w:val="single" w:color="CCCCCC" w:sz="1"/>
              <w:left w:val="single" w:color="CCCCCC" w:sz="1"/>
              <w:bottom w:val="single" w:color="CCCCCC" w:sz="1"/>
              <w:right w:val="single" w:color="CCCCCC" w:sz="1"/>
            </w:tcBorders>
            <w:shd w:fill="2E2E4E" w:val="clear"/>
            <w:tcMar>
              <w:top w:type="dxa" w:w="80"/>
              <w:left w:type="dxa" w:w="120"/>
              <w:bottom w:type="dxa" w:w="80"/>
              <w:right w:type="dxa" w:w="120"/>
            </w:tcMar>
          </w:tcPr>
          <w:p>
            <w:r>
              <w:rPr>
                <w:rFonts w:ascii="Arial" w:cs="Arial" w:eastAsia="Arial" w:hAnsi="Arial"/>
                <w:b/>
                <w:bCs/>
                <w:color w:val="FFFFFF"/>
                <w:sz w:val="18"/>
                <w:szCs w:val="18"/>
              </w:rPr>
              <w:t xml:space="preserve">État</w:t>
            </w:r>
          </w:p>
        </w:tc>
        <w:tc>
          <w:tcPr>
            <w:tcW w:type="dxa" w:w="4000"/>
            <w:tcBorders>
              <w:top w:val="single" w:color="CCCCCC" w:sz="1"/>
              <w:left w:val="single" w:color="CCCCCC" w:sz="1"/>
              <w:bottom w:val="single" w:color="CCCCCC" w:sz="1"/>
              <w:right w:val="single" w:color="CCCCCC" w:sz="1"/>
            </w:tcBorders>
            <w:shd w:fill="2E2E4E" w:val="clear"/>
            <w:tcMar>
              <w:top w:type="dxa" w:w="80"/>
              <w:left w:type="dxa" w:w="120"/>
              <w:bottom w:type="dxa" w:w="80"/>
              <w:right w:type="dxa" w:w="120"/>
            </w:tcMar>
          </w:tcPr>
          <w:p>
            <w:r>
              <w:rPr>
                <w:rFonts w:ascii="Arial" w:cs="Arial" w:eastAsia="Arial" w:hAnsi="Arial"/>
                <w:b/>
                <w:bCs/>
                <w:color w:val="FFFFFF"/>
                <w:sz w:val="18"/>
                <w:szCs w:val="18"/>
              </w:rPr>
              <w:t xml:space="preserve">Nature</w:t>
            </w:r>
          </w:p>
        </w:tc>
        <w:tc>
          <w:tcPr>
            <w:tcW w:type="dxa" w:w="3560"/>
            <w:tcBorders>
              <w:top w:val="single" w:color="CCCCCC" w:sz="1"/>
              <w:left w:val="single" w:color="CCCCCC" w:sz="1"/>
              <w:bottom w:val="single" w:color="CCCCCC" w:sz="1"/>
              <w:right w:val="single" w:color="CCCCCC" w:sz="1"/>
            </w:tcBorders>
            <w:shd w:fill="2E2E4E" w:val="clear"/>
            <w:tcMar>
              <w:top w:type="dxa" w:w="80"/>
              <w:left w:type="dxa" w:w="120"/>
              <w:bottom w:type="dxa" w:w="80"/>
              <w:right w:type="dxa" w:w="120"/>
            </w:tcMar>
          </w:tcPr>
          <w:p>
            <w:r>
              <w:rPr>
                <w:rFonts w:ascii="Arial" w:cs="Arial" w:eastAsia="Arial" w:hAnsi="Arial"/>
                <w:b/>
                <w:bCs/>
                <w:color w:val="FFFFFF"/>
                <w:sz w:val="18"/>
                <w:szCs w:val="18"/>
              </w:rPr>
              <w:t xml:space="preserve">Erreur de lecture classique</w:t>
            </w:r>
          </w:p>
        </w:tc>
      </w:tr>
      <w:tr>
        <w:tc>
          <w:tcPr>
            <w:tcW w:type="dxa" w:w="18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Sidération</w:t>
            </w:r>
          </w:p>
        </w:tc>
        <w:tc>
          <w:tcPr>
            <w:tcW w:type="dxa" w:w="40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Gel neurologique d'urgence — le temps s'arrête pour le sujet</w:t>
            </w:r>
          </w:p>
        </w:tc>
        <w:tc>
          <w:tcPr>
            <w:tcW w:type="dxa" w:w="35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Confondue avec absence de preuve, soumission, ou absence d'objection</w:t>
            </w:r>
          </w:p>
        </w:tc>
      </w:tr>
      <w:tr>
        <w:tc>
          <w:tcPr>
            <w:tcW w:type="dxa" w:w="18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Déni</w:t>
            </w:r>
          </w:p>
        </w:tc>
        <w:tc>
          <w:tcPr>
            <w:tcW w:type="dxa" w:w="40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Refus actif d'intégrer une réalité trop coûteuse</w:t>
            </w:r>
          </w:p>
        </w:tc>
        <w:tc>
          <w:tcPr>
            <w:tcW w:type="dxa" w:w="356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Confondu avec ignorance — or le déni protège activement</w:t>
            </w:r>
          </w:p>
        </w:tc>
      </w:tr>
      <w:tr>
        <w:tc>
          <w:tcPr>
            <w:tcW w:type="dxa" w:w="18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Soumission</w:t>
            </w:r>
          </w:p>
        </w:tc>
        <w:tc>
          <w:tcPr>
            <w:tcW w:type="dxa" w:w="40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Adaptation conditionnelle au réel sous contrainte</w:t>
            </w:r>
          </w:p>
        </w:tc>
        <w:tc>
          <w:tcPr>
            <w:tcW w:type="dxa" w:w="35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Confondue avec consentement libre</w:t>
            </w:r>
          </w:p>
        </w:tc>
      </w:tr>
    </w:tbl>
    <w:p>
      <w:r>
        <w:rPr>
          <w:sz w:val="20"/>
          <w:szCs w:val="20"/>
        </w:rPr>
        <w:t xml:space="preserve"/>
      </w:r>
    </w:p>
    <w:p>
      <w:pPr>
        <w:spacing w:after="80" w:before="60"/>
      </w:pPr>
      <w:r>
        <w:rPr>
          <w:rFonts w:ascii="Arial" w:cs="Arial" w:eastAsia="Arial" w:hAnsi="Arial"/>
          <w:sz w:val="20"/>
          <w:szCs w:val="20"/>
        </w:rPr>
        <w:t xml:space="preserve">⚠️ Important : L'absence de réponse émotionnelle apparente n'invalide pas le fait. Elle signale potentiellement une stratégie de survie (dissociation péritraumatique). La sidération ≠ consentement ≠ absence de preuve.</w:t>
      </w:r>
    </w:p>
    <w:p>
      <w:r>
        <w:rPr>
          <w:sz w:val="20"/>
          <w:szCs w:val="20"/>
        </w:rPr>
        <w:t xml:space="preserve"/>
      </w:r>
    </w:p>
    <w:p>
      <w:pPr>
        <w:pStyle w:val="Heading1"/>
        <w:spacing w:after="160" w:before="320"/>
      </w:pPr>
      <w:r>
        <w:rPr>
          <w:rFonts w:ascii="Arial" w:cs="Arial" w:eastAsia="Arial" w:hAnsi="Arial"/>
          <w:b/>
          <w:bCs/>
          <w:color w:val="1A1A2E"/>
          <w:sz w:val="32"/>
          <w:szCs w:val="32"/>
        </w:rPr>
        <w:t xml:space="preserve">🔍  10. GRILLE D'ANALYSE — 10 Questions</w:t>
      </w:r>
    </w:p>
    <w:p>
      <w:pPr>
        <w:spacing w:after="80" w:before="60"/>
      </w:pPr>
      <w:r>
        <w:rPr>
          <w:rFonts w:ascii="Arial" w:cs="Arial" w:eastAsia="Arial" w:hAnsi="Arial"/>
          <w:sz w:val="20"/>
          <w:szCs w:val="20"/>
        </w:rPr>
        <w:t xml:space="preserve">Questions fondamentales à poser dans cet ordre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760"/>
        <w:gridCol w:w="6200"/>
      </w:tblGrid>
      <w:tr>
        <w:tc>
          <w:tcPr>
            <w:tcW w:type="dxa" w:w="400"/>
            <w:tcBorders>
              <w:top w:val="single" w:color="CCCCCC" w:sz="1"/>
              <w:left w:val="single" w:color="CCCCCC" w:sz="1"/>
              <w:bottom w:val="single" w:color="CCCCCC" w:sz="1"/>
              <w:right w:val="single" w:color="CCCCCC" w:sz="1"/>
            </w:tcBorders>
            <w:shd w:fill="2E2E4E"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2760"/>
            <w:tcBorders>
              <w:top w:val="single" w:color="CCCCCC" w:sz="1"/>
              <w:left w:val="single" w:color="CCCCCC" w:sz="1"/>
              <w:bottom w:val="single" w:color="CCCCCC" w:sz="1"/>
              <w:right w:val="single" w:color="CCCCCC" w:sz="1"/>
            </w:tcBorders>
            <w:shd w:fill="2E2E4E" w:val="clear"/>
            <w:tcMar>
              <w:top w:type="dxa" w:w="80"/>
              <w:left w:type="dxa" w:w="120"/>
              <w:bottom w:type="dxa" w:w="80"/>
              <w:right w:type="dxa" w:w="120"/>
            </w:tcMar>
          </w:tcPr>
          <w:p>
            <w:r>
              <w:rPr>
                <w:rFonts w:ascii="Arial" w:cs="Arial" w:eastAsia="Arial" w:hAnsi="Arial"/>
                <w:b/>
                <w:bCs/>
                <w:color w:val="FFFFFF"/>
                <w:sz w:val="18"/>
                <w:szCs w:val="18"/>
              </w:rPr>
              <w:t xml:space="preserve">Question</w:t>
            </w:r>
          </w:p>
        </w:tc>
        <w:tc>
          <w:tcPr>
            <w:tcW w:type="dxa" w:w="6200"/>
            <w:tcBorders>
              <w:top w:val="single" w:color="CCCCCC" w:sz="1"/>
              <w:left w:val="single" w:color="CCCCCC" w:sz="1"/>
              <w:bottom w:val="single" w:color="CCCCCC" w:sz="1"/>
              <w:right w:val="single" w:color="CCCCCC" w:sz="1"/>
            </w:tcBorders>
            <w:shd w:fill="2E2E4E" w:val="clear"/>
            <w:tcMar>
              <w:top w:type="dxa" w:w="80"/>
              <w:left w:type="dxa" w:w="120"/>
              <w:bottom w:type="dxa" w:w="80"/>
              <w:right w:type="dxa" w:w="120"/>
            </w:tcMar>
          </w:tcPr>
          <w:p>
            <w:r>
              <w:rPr>
                <w:rFonts w:ascii="Arial" w:cs="Arial" w:eastAsia="Arial" w:hAnsi="Arial"/>
                <w:b/>
                <w:bCs/>
                <w:color w:val="FFFFFF"/>
                <w:sz w:val="18"/>
                <w:szCs w:val="18"/>
              </w:rPr>
              <w:t xml:space="preserve">Ce qu'elle révèle</w:t>
            </w:r>
          </w:p>
        </w:tc>
      </w:tr>
      <w:tr>
        <w:tc>
          <w:tcPr>
            <w:tcW w:type="dxa" w:w="4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1</w:t>
            </w:r>
          </w:p>
        </w:tc>
        <w:tc>
          <w:tcPr>
            <w:tcW w:type="dxa" w:w="27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Qui agit ?</w:t>
            </w:r>
          </w:p>
        </w:tc>
        <w:tc>
          <w:tcPr>
            <w:tcW w:type="dxa" w:w="62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Position de pouvoir, asymétrie</w:t>
            </w:r>
          </w:p>
        </w:tc>
      </w:tr>
      <w:tr>
        <w:tc>
          <w:tcPr>
            <w:tcW w:type="dxa" w:w="4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2</w:t>
            </w:r>
          </w:p>
        </w:tc>
        <w:tc>
          <w:tcPr>
            <w:tcW w:type="dxa" w:w="276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Fait quoi ?</w:t>
            </w:r>
          </w:p>
        </w:tc>
        <w:tc>
          <w:tcPr>
            <w:tcW w:type="dxa" w:w="62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Acte concret — distinguer fait/interprétation</w:t>
            </w:r>
          </w:p>
        </w:tc>
      </w:tr>
      <w:tr>
        <w:tc>
          <w:tcPr>
            <w:tcW w:type="dxa" w:w="4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3</w:t>
            </w:r>
          </w:p>
        </w:tc>
        <w:tc>
          <w:tcPr>
            <w:tcW w:type="dxa" w:w="27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À qui ?</w:t>
            </w:r>
          </w:p>
        </w:tc>
        <w:tc>
          <w:tcPr>
            <w:tcW w:type="dxa" w:w="62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Vulnérabilité, dépendance, asymétrie</w:t>
            </w:r>
          </w:p>
        </w:tc>
      </w:tr>
      <w:tr>
        <w:tc>
          <w:tcPr>
            <w:tcW w:type="dxa" w:w="4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4</w:t>
            </w:r>
          </w:p>
        </w:tc>
        <w:tc>
          <w:tcPr>
            <w:tcW w:type="dxa" w:w="276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Comment ?</w:t>
            </w:r>
          </w:p>
        </w:tc>
        <w:tc>
          <w:tcPr>
            <w:tcW w:type="dxa" w:w="62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Modalité — explicite, coercitive, passive-agressive</w:t>
            </w:r>
          </w:p>
        </w:tc>
      </w:tr>
      <w:tr>
        <w:tc>
          <w:tcPr>
            <w:tcW w:type="dxa" w:w="4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5</w:t>
            </w:r>
          </w:p>
        </w:tc>
        <w:tc>
          <w:tcPr>
            <w:tcW w:type="dxa" w:w="27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Combien ? (fréquence)</w:t>
            </w:r>
          </w:p>
        </w:tc>
        <w:tc>
          <w:tcPr>
            <w:tcW w:type="dxa" w:w="62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Caractère répétitif = structurel ou ponctuel</w:t>
            </w:r>
          </w:p>
        </w:tc>
      </w:tr>
      <w:tr>
        <w:tc>
          <w:tcPr>
            <w:tcW w:type="dxa" w:w="4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6</w:t>
            </w:r>
          </w:p>
        </w:tc>
        <w:tc>
          <w:tcPr>
            <w:tcW w:type="dxa" w:w="276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Limite exprimée ?</w:t>
            </w:r>
          </w:p>
        </w:tc>
        <w:tc>
          <w:tcPr>
            <w:tcW w:type="dxa" w:w="62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Le refus a-t-il été formulé ?</w:t>
            </w:r>
          </w:p>
        </w:tc>
      </w:tr>
      <w:tr>
        <w:tc>
          <w:tcPr>
            <w:tcW w:type="dxa" w:w="4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7</w:t>
            </w:r>
          </w:p>
        </w:tc>
        <w:tc>
          <w:tcPr>
            <w:tcW w:type="dxa" w:w="27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Limite respectée ?</w:t>
            </w:r>
          </w:p>
        </w:tc>
        <w:tc>
          <w:tcPr>
            <w:tcW w:type="dxa" w:w="62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Respect ou contournement de la limite</w:t>
            </w:r>
          </w:p>
        </w:tc>
      </w:tr>
      <w:tr>
        <w:tc>
          <w:tcPr>
            <w:tcW w:type="dxa" w:w="4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8</w:t>
            </w:r>
          </w:p>
        </w:tc>
        <w:tc>
          <w:tcPr>
            <w:tcW w:type="dxa" w:w="276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Asymétrie ?</w:t>
            </w:r>
          </w:p>
        </w:tc>
        <w:tc>
          <w:tcPr>
            <w:tcW w:type="dxa" w:w="62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Déséquilibre de pouvoir (matériel, psychologique, social)</w:t>
            </w:r>
          </w:p>
        </w:tc>
      </w:tr>
      <w:tr>
        <w:tc>
          <w:tcPr>
            <w:tcW w:type="dxa" w:w="4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9</w:t>
            </w:r>
          </w:p>
        </w:tc>
        <w:tc>
          <w:tcPr>
            <w:tcW w:type="dxa" w:w="27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Impact réel ?</w:t>
            </w:r>
          </w:p>
        </w:tc>
        <w:tc>
          <w:tcPr>
            <w:tcW w:type="dxa" w:w="62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Ce qui s'est passé — indépendamment de l'intention</w:t>
            </w:r>
          </w:p>
        </w:tc>
      </w:tr>
      <w:tr>
        <w:tc>
          <w:tcPr>
            <w:tcW w:type="dxa" w:w="4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10</w:t>
            </w:r>
          </w:p>
        </w:tc>
        <w:tc>
          <w:tcPr>
            <w:tcW w:type="dxa" w:w="276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Danger ?</w:t>
            </w:r>
          </w:p>
        </w:tc>
        <w:tc>
          <w:tcPr>
            <w:tcW w:type="dxa" w:w="62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Niveau de risque — immédiat, chronique, systémique</w:t>
            </w:r>
          </w:p>
        </w:tc>
      </w:tr>
    </w:tbl>
    <w:p>
      <w:r>
        <w:rPr>
          <w:sz w:val="20"/>
          <w:szCs w:val="20"/>
        </w:rPr>
        <w:t xml:space="preserve"/>
      </w:r>
    </w:p>
    <w:p>
      <w:pPr>
        <w:pStyle w:val="Heading1"/>
        <w:spacing w:after="160" w:before="320"/>
      </w:pPr>
      <w:r>
        <w:rPr>
          <w:rFonts w:ascii="Arial" w:cs="Arial" w:eastAsia="Arial" w:hAnsi="Arial"/>
          <w:b/>
          <w:bCs/>
          <w:color w:val="1A1A2E"/>
          <w:sz w:val="32"/>
          <w:szCs w:val="32"/>
        </w:rPr>
        <w:t xml:space="preserve">🧠  11. ANTI-MANIPULATION — Détection</w:t>
      </w:r>
    </w:p>
    <w:p>
      <w:pPr>
        <w:spacing w:after="80" w:before="60"/>
      </w:pPr>
      <w:r>
        <w:rPr>
          <w:rFonts w:ascii="Arial" w:cs="Arial" w:eastAsia="Arial" w:hAnsi="Arial"/>
          <w:sz w:val="20"/>
          <w:szCs w:val="20"/>
        </w:rPr>
        <w:t xml:space="preserve">Patterns à détecter systématiquement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c>
          <w:tcPr>
            <w:tcW w:type="dxa" w:w="1800"/>
            <w:tcBorders>
              <w:top w:val="single" w:color="CCCCCC" w:sz="1"/>
              <w:left w:val="single" w:color="CCCCCC" w:sz="1"/>
              <w:bottom w:val="single" w:color="CCCCCC" w:sz="1"/>
              <w:right w:val="single" w:color="CCCCCC" w:sz="1"/>
            </w:tcBorders>
            <w:shd w:fill="2E2E4E" w:val="clear"/>
            <w:tcMar>
              <w:top w:type="dxa" w:w="80"/>
              <w:left w:type="dxa" w:w="120"/>
              <w:bottom w:type="dxa" w:w="80"/>
              <w:right w:type="dxa" w:w="120"/>
            </w:tcMar>
          </w:tcPr>
          <w:p>
            <w:r>
              <w:rPr>
                <w:rFonts w:ascii="Arial" w:cs="Arial" w:eastAsia="Arial" w:hAnsi="Arial"/>
                <w:b/>
                <w:bCs/>
                <w:color w:val="FFFFFF"/>
                <w:sz w:val="18"/>
                <w:szCs w:val="18"/>
              </w:rPr>
              <w:t xml:space="preserve">Pattern</w:t>
            </w:r>
          </w:p>
        </w:tc>
        <w:tc>
          <w:tcPr>
            <w:tcW w:type="dxa" w:w="3600"/>
            <w:tcBorders>
              <w:top w:val="single" w:color="CCCCCC" w:sz="1"/>
              <w:left w:val="single" w:color="CCCCCC" w:sz="1"/>
              <w:bottom w:val="single" w:color="CCCCCC" w:sz="1"/>
              <w:right w:val="single" w:color="CCCCCC" w:sz="1"/>
            </w:tcBorders>
            <w:shd w:fill="2E2E4E"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3960"/>
            <w:tcBorders>
              <w:top w:val="single" w:color="CCCCCC" w:sz="1"/>
              <w:left w:val="single" w:color="CCCCCC" w:sz="1"/>
              <w:bottom w:val="single" w:color="CCCCCC" w:sz="1"/>
              <w:right w:val="single" w:color="CCCCCC" w:sz="1"/>
            </w:tcBorders>
            <w:shd w:fill="2E2E4E" w:val="clear"/>
            <w:tcMar>
              <w:top w:type="dxa" w:w="80"/>
              <w:left w:type="dxa" w:w="120"/>
              <w:bottom w:type="dxa" w:w="80"/>
              <w:right w:type="dxa" w:w="120"/>
            </w:tcMar>
          </w:tcPr>
          <w:p>
            <w:r>
              <w:rPr>
                <w:rFonts w:ascii="Arial" w:cs="Arial" w:eastAsia="Arial" w:hAnsi="Arial"/>
                <w:b/>
                <w:bCs/>
                <w:color w:val="FFFFFF"/>
                <w:sz w:val="18"/>
                <w:szCs w:val="18"/>
              </w:rPr>
              <w:t xml:space="preserve">Réponse</w:t>
            </w:r>
          </w:p>
        </w:tc>
      </w:tr>
      <w:tr>
        <w:tc>
          <w:tcPr>
            <w:tcW w:type="dxa" w:w="18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DARVO</w:t>
            </w:r>
          </w:p>
        </w:tc>
        <w:tc>
          <w:tcPr>
            <w:tcW w:type="dxa" w:w="36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Deny, Attack, Reverse Victim &amp; Offender — l'agresseur se présente comme victime</w:t>
            </w:r>
          </w:p>
        </w:tc>
        <w:tc>
          <w:tcPr>
            <w:tcW w:type="dxa" w:w="39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Revenir aux faits bruts et aux impacts mesurables</w:t>
            </w:r>
          </w:p>
        </w:tc>
      </w:tr>
      <w:tr>
        <w:tc>
          <w:tcPr>
            <w:tcW w:type="dxa" w:w="18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Inversion victime/agresseur</w:t>
            </w:r>
          </w:p>
        </w:tc>
        <w:tc>
          <w:tcPr>
            <w:tcW w:type="dxa" w:w="36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La victime devient accusée d'agression</w:t>
            </w:r>
          </w:p>
        </w:tc>
        <w:tc>
          <w:tcPr>
            <w:tcW w:type="dxa" w:w="396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Cartographier l'asymétrie de pouvoir réelle</w:t>
            </w:r>
          </w:p>
        </w:tc>
      </w:tr>
      <w:tr>
        <w:tc>
          <w:tcPr>
            <w:tcW w:type="dxa" w:w="18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Minimisation</w:t>
            </w:r>
          </w:p>
        </w:tc>
        <w:tc>
          <w:tcPr>
            <w:tcW w:type="dxa" w:w="36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"Ce n'est pas si grave" / "Ce n'était pas son intention"</w:t>
            </w:r>
          </w:p>
        </w:tc>
        <w:tc>
          <w:tcPr>
            <w:tcW w:type="dxa" w:w="39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L'intention n'annule pas l'impact</w:t>
            </w:r>
          </w:p>
        </w:tc>
      </w:tr>
      <w:tr>
        <w:tc>
          <w:tcPr>
            <w:tcW w:type="dxa" w:w="18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Justification émotionnelle</w:t>
            </w:r>
          </w:p>
        </w:tc>
        <w:tc>
          <w:tcPr>
            <w:tcW w:type="dxa" w:w="36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La souffrance de l'auteur justifie l'acte</w:t>
            </w:r>
          </w:p>
        </w:tc>
        <w:tc>
          <w:tcPr>
            <w:tcW w:type="dxa" w:w="396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La souffrance explique, elle n'excuse pas</w:t>
            </w:r>
          </w:p>
        </w:tc>
      </w:tr>
      <w:tr>
        <w:tc>
          <w:tcPr>
            <w:tcW w:type="dxa" w:w="18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Faux consentement</w:t>
            </w:r>
          </w:p>
        </w:tc>
        <w:tc>
          <w:tcPr>
            <w:tcW w:type="dxa" w:w="36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Adhésion obtenue sous pression ou dépendance</w:t>
            </w:r>
          </w:p>
        </w:tc>
        <w:tc>
          <w:tcPr>
            <w:tcW w:type="dxa" w:w="39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Vérifier les 4 critères de validité du consentement</w:t>
            </w:r>
          </w:p>
        </w:tc>
      </w:tr>
      <w:tr>
        <w:tc>
          <w:tcPr>
            <w:tcW w:type="dxa" w:w="18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Déni du réel</w:t>
            </w:r>
          </w:p>
        </w:tc>
        <w:tc>
          <w:tcPr>
            <w:tcW w:type="dxa" w:w="36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Réécriture des faits ou de l'histoire</w:t>
            </w:r>
          </w:p>
        </w:tc>
        <w:tc>
          <w:tcPr>
            <w:tcW w:type="dxa" w:w="396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Faits documentés — témoignages — preuves chronologiques</w:t>
            </w:r>
          </w:p>
        </w:tc>
      </w:tr>
      <w:tr>
        <w:tc>
          <w:tcPr>
            <w:tcW w:type="dxa" w:w="18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Triangulation</w:t>
            </w:r>
          </w:p>
        </w:tc>
        <w:tc>
          <w:tcPr>
            <w:tcW w:type="dxa" w:w="36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Tiers instrumentalisé pour influencer, discréditer, contrôler</w:t>
            </w:r>
          </w:p>
        </w:tc>
        <w:tc>
          <w:tcPr>
            <w:tcW w:type="dxa" w:w="39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Revenir aux faits directs, sources primaires, impacts</w:t>
            </w:r>
          </w:p>
        </w:tc>
      </w:tr>
    </w:tbl>
    <w:p>
      <w:r>
        <w:rPr>
          <w:sz w:val="20"/>
          <w:szCs w:val="20"/>
        </w:rPr>
        <w:t xml:space="preserve"/>
      </w:r>
    </w:p>
    <w:p>
      <w:pPr>
        <w:pStyle w:val="Heading1"/>
        <w:spacing w:after="160" w:before="320"/>
      </w:pPr>
      <w:r>
        <w:rPr>
          <w:rFonts w:ascii="Arial" w:cs="Arial" w:eastAsia="Arial" w:hAnsi="Arial"/>
          <w:b/>
          <w:bCs/>
          <w:color w:val="1A1A2E"/>
          <w:sz w:val="32"/>
          <w:szCs w:val="32"/>
        </w:rPr>
        <w:t xml:space="preserve">🩹  12. MODULE RÉPARATION — 5 Étapes</w:t>
      </w:r>
    </w:p>
    <w:p>
      <w:pPr>
        <w:spacing w:after="80" w:before="60"/>
      </w:pPr>
      <w:r>
        <w:rPr>
          <w:rFonts w:ascii="Arial" w:cs="Arial" w:eastAsia="Arial" w:hAnsi="Arial"/>
          <w:sz w:val="20"/>
          <w:szCs w:val="20"/>
        </w:rPr>
        <w:t xml:space="preserve">Le chemin de réparation suit obligatoirement cet ordre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760"/>
        <w:gridCol w:w="4960"/>
      </w:tblGrid>
      <w:tr>
        <w:tc>
          <w:tcPr>
            <w:tcW w:type="dxa" w:w="1600"/>
            <w:tcBorders>
              <w:top w:val="single" w:color="CCCCCC" w:sz="1"/>
              <w:left w:val="single" w:color="CCCCCC" w:sz="1"/>
              <w:bottom w:val="single" w:color="CCCCCC" w:sz="1"/>
              <w:right w:val="single" w:color="CCCCCC" w:sz="1"/>
            </w:tcBorders>
            <w:shd w:fill="2E2E4E" w:val="clear"/>
            <w:tcMar>
              <w:top w:type="dxa" w:w="80"/>
              <w:left w:type="dxa" w:w="120"/>
              <w:bottom w:type="dxa" w:w="80"/>
              <w:right w:type="dxa" w:w="120"/>
            </w:tcMar>
          </w:tcPr>
          <w:p>
            <w:r>
              <w:rPr>
                <w:rFonts w:ascii="Arial" w:cs="Arial" w:eastAsia="Arial" w:hAnsi="Arial"/>
                <w:b/>
                <w:bCs/>
                <w:color w:val="FFFFFF"/>
                <w:sz w:val="18"/>
                <w:szCs w:val="18"/>
              </w:rPr>
              <w:t xml:space="preserve">Étape</w:t>
            </w:r>
          </w:p>
        </w:tc>
        <w:tc>
          <w:tcPr>
            <w:tcW w:type="dxa" w:w="2760"/>
            <w:tcBorders>
              <w:top w:val="single" w:color="CCCCCC" w:sz="1"/>
              <w:left w:val="single" w:color="CCCCCC" w:sz="1"/>
              <w:bottom w:val="single" w:color="CCCCCC" w:sz="1"/>
              <w:right w:val="single" w:color="CCCCCC" w:sz="1"/>
            </w:tcBorders>
            <w:shd w:fill="2E2E4E" w:val="clear"/>
            <w:tcMar>
              <w:top w:type="dxa" w:w="80"/>
              <w:left w:type="dxa" w:w="120"/>
              <w:bottom w:type="dxa" w:w="80"/>
              <w:right w:type="dxa" w:w="120"/>
            </w:tcMar>
          </w:tcPr>
          <w:p>
            <w:r>
              <w:rPr>
                <w:rFonts w:ascii="Arial" w:cs="Arial" w:eastAsia="Arial" w:hAnsi="Arial"/>
                <w:b/>
                <w:bCs/>
                <w:color w:val="FFFFFF"/>
                <w:sz w:val="18"/>
                <w:szCs w:val="18"/>
              </w:rPr>
              <w:t xml:space="preserve">Acte</w:t>
            </w:r>
          </w:p>
        </w:tc>
        <w:tc>
          <w:tcPr>
            <w:tcW w:type="dxa" w:w="4960"/>
            <w:tcBorders>
              <w:top w:val="single" w:color="CCCCCC" w:sz="1"/>
              <w:left w:val="single" w:color="CCCCCC" w:sz="1"/>
              <w:bottom w:val="single" w:color="CCCCCC" w:sz="1"/>
              <w:right w:val="single" w:color="CCCCCC" w:sz="1"/>
            </w:tcBorders>
            <w:shd w:fill="2E2E4E" w:val="clear"/>
            <w:tcMar>
              <w:top w:type="dxa" w:w="80"/>
              <w:left w:type="dxa" w:w="120"/>
              <w:bottom w:type="dxa" w:w="80"/>
              <w:right w:type="dxa" w:w="120"/>
            </w:tcMar>
          </w:tcPr>
          <w:p>
            <w:r>
              <w:rPr>
                <w:rFonts w:ascii="Arial" w:cs="Arial" w:eastAsia="Arial" w:hAnsi="Arial"/>
                <w:b/>
                <w:bCs/>
                <w:color w:val="FFFFFF"/>
                <w:sz w:val="18"/>
                <w:szCs w:val="18"/>
              </w:rPr>
              <w:t xml:space="preserve">Ce que ça signifie</w:t>
            </w:r>
          </w:p>
        </w:tc>
      </w:tr>
      <w:tr>
        <w:tc>
          <w:tcPr>
            <w:tcW w:type="dxa" w:w="16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1. Avoir Pitié</w:t>
            </w:r>
          </w:p>
        </w:tc>
        <w:tc>
          <w:tcPr>
            <w:tcW w:type="dxa" w:w="27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Reconnaître la limite humaine</w:t>
            </w:r>
          </w:p>
        </w:tc>
        <w:tc>
          <w:tcPr>
            <w:tcW w:type="dxa" w:w="49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Sans mépriser — la blessure est réelle</w:t>
            </w:r>
          </w:p>
        </w:tc>
      </w:tr>
      <w:tr>
        <w:tc>
          <w:tcPr>
            <w:tcW w:type="dxa" w:w="16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2. Nommer</w:t>
            </w:r>
          </w:p>
        </w:tc>
        <w:tc>
          <w:tcPr>
            <w:tcW w:type="dxa" w:w="276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Dire le réel sans contournement</w:t>
            </w:r>
          </w:p>
        </w:tc>
        <w:tc>
          <w:tcPr>
            <w:tcW w:type="dxa" w:w="496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Mettre des mots exacts sur les faits</w:t>
            </w:r>
          </w:p>
        </w:tc>
      </w:tr>
      <w:tr>
        <w:tc>
          <w:tcPr>
            <w:tcW w:type="dxa" w:w="16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3. Comprendre</w:t>
            </w:r>
          </w:p>
        </w:tc>
        <w:tc>
          <w:tcPr>
            <w:tcW w:type="dxa" w:w="27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Identifier mécanismes et impacts</w:t>
            </w:r>
          </w:p>
        </w:tc>
        <w:tc>
          <w:tcPr>
            <w:tcW w:type="dxa" w:w="49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Pourquoi cela s'est produit — sans excuser</w:t>
            </w:r>
          </w:p>
        </w:tc>
      </w:tr>
      <w:tr>
        <w:tc>
          <w:tcPr>
            <w:tcW w:type="dxa" w:w="16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4. Redistribuer</w:t>
            </w:r>
          </w:p>
        </w:tc>
        <w:tc>
          <w:tcPr>
            <w:tcW w:type="dxa" w:w="276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Remettre la responsabilité à la bonne place</w:t>
            </w:r>
          </w:p>
        </w:tc>
        <w:tc>
          <w:tcPr>
            <w:tcW w:type="dxa" w:w="496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Culpabilité → Responsabilité</w:t>
            </w:r>
          </w:p>
        </w:tc>
      </w:tr>
      <w:tr>
        <w:tc>
          <w:tcPr>
            <w:tcW w:type="dxa" w:w="16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5. Restaurer</w:t>
            </w:r>
          </w:p>
        </w:tc>
        <w:tc>
          <w:tcPr>
            <w:tcW w:type="dxa" w:w="27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Reconstruire la sécurité et la capacité d'agir</w:t>
            </w:r>
          </w:p>
        </w:tc>
        <w:tc>
          <w:tcPr>
            <w:tcW w:type="dxa" w:w="49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Actes concrets, non promesses</w:t>
            </w:r>
          </w:p>
        </w:tc>
      </w:tr>
    </w:tbl>
    <w:p>
      <w:r>
        <w:rPr>
          <w:sz w:val="20"/>
          <w:szCs w:val="20"/>
        </w:rPr>
        <w:t xml:space="preserve"/>
      </w:r>
    </w:p>
    <w:p>
      <w:pPr>
        <w:pStyle w:val="Heading1"/>
        <w:spacing w:after="160" w:before="320"/>
      </w:pPr>
      <w:r>
        <w:rPr>
          <w:rFonts w:ascii="Arial" w:cs="Arial" w:eastAsia="Arial" w:hAnsi="Arial"/>
          <w:b/>
          <w:bCs/>
          <w:color w:val="1A1A2E"/>
          <w:sz w:val="32"/>
          <w:szCs w:val="32"/>
        </w:rPr>
        <w:t xml:space="preserve">⚖️  13. LOIS STRUCTURELLES</w:t>
      </w:r>
    </w:p>
    <w:p>
      <w:pPr>
        <w:pBdr>
          <w:left w:val="thick" w:color="C9A227" w:sz="8"/>
        </w:pBdr>
        <w:spacing w:after="120" w:before="120"/>
        <w:ind w:left="360"/>
        <w:jc w:val="center"/>
      </w:pPr>
      <w:r>
        <w:rPr>
          <w:rFonts w:ascii="Arial" w:cs="Arial" w:eastAsia="Arial" w:hAnsi="Arial"/>
          <w:b/>
          <w:bCs/>
          <w:color w:val="1A1A2E"/>
          <w:sz w:val="22"/>
          <w:szCs w:val="22"/>
        </w:rPr>
        <w:t xml:space="preserve">Absence de respect → violence. Toute atteinte au vivant constitue une violence.</w:t>
      </w:r>
    </w:p>
    <w:p>
      <w:pPr>
        <w:pBdr>
          <w:left w:val="thick" w:color="C9A227" w:sz="8"/>
        </w:pBdr>
        <w:spacing w:after="120" w:before="120"/>
        <w:ind w:left="360"/>
        <w:jc w:val="center"/>
      </w:pPr>
      <w:r>
        <w:rPr>
          <w:rFonts w:ascii="Arial" w:cs="Arial" w:eastAsia="Arial" w:hAnsi="Arial"/>
          <w:b/>
          <w:bCs/>
          <w:color w:val="1A1A2E"/>
          <w:sz w:val="22"/>
          <w:szCs w:val="22"/>
        </w:rPr>
        <w:t xml:space="preserve">Ne pas agir face à une atteinte = participation à la violence.</w:t>
      </w:r>
    </w:p>
    <w:p>
      <w:pPr>
        <w:pBdr>
          <w:left w:val="thick" w:color="C9A227" w:sz="8"/>
        </w:pBdr>
        <w:spacing w:after="120" w:before="120"/>
        <w:ind w:left="360"/>
        <w:jc w:val="center"/>
      </w:pPr>
      <w:r>
        <w:rPr>
          <w:rFonts w:ascii="Arial" w:cs="Arial" w:eastAsia="Arial" w:hAnsi="Arial"/>
          <w:b/>
          <w:bCs/>
          <w:color w:val="1A1A2E"/>
          <w:sz w:val="22"/>
          <w:szCs w:val="22"/>
        </w:rPr>
        <w:t xml:space="preserve">La neutralité face à une asymétrie non compensée est une rupture de cohérence.</w:t>
      </w:r>
    </w:p>
    <w:p>
      <w:r>
        <w:rPr>
          <w:sz w:val="20"/>
          <w:szCs w:val="20"/>
        </w:rPr>
        <w:t xml:space="preserve"/>
      </w:r>
    </w:p>
    <w:p>
      <w:pPr>
        <w:spacing w:after="80" w:before="60"/>
      </w:pPr>
      <w:r>
        <w:rPr>
          <w:rFonts w:ascii="Arial" w:cs="Arial" w:eastAsia="Arial" w:hAnsi="Arial"/>
          <w:sz w:val="20"/>
          <w:szCs w:val="20"/>
        </w:rPr>
        <w:t xml:space="preserve">Axiome 1 : R &gt; E — La responsabilité pénale et la sécurité du vivant prévalent sur tout accord.</w:t>
      </w:r>
    </w:p>
    <w:p>
      <w:pPr>
        <w:spacing w:after="80" w:before="60"/>
      </w:pPr>
      <w:r>
        <w:rPr>
          <w:rFonts w:ascii="Arial" w:cs="Arial" w:eastAsia="Arial" w:hAnsi="Arial"/>
          <w:sz w:val="20"/>
          <w:szCs w:val="20"/>
        </w:rPr>
        <w:t xml:space="preserve">Axiome 2 : L'objet n'est pas un territoire — Tout objet laissé par un agresseur est un crochet d'ancrage. S'en débarrasser par voie légale sans contact direct restaure la souveraineté territoriale.</w:t>
      </w:r>
    </w:p>
    <w:p>
      <w:pPr>
        <w:spacing w:after="80" w:before="60"/>
      </w:pPr>
      <w:r>
        <w:rPr>
          <w:rFonts w:ascii="Arial" w:cs="Arial" w:eastAsia="Arial" w:hAnsi="Arial"/>
          <w:sz w:val="20"/>
          <w:szCs w:val="20"/>
        </w:rPr>
        <w:t xml:space="preserve">Axiome 3 : Le silence par tiers dépositaire — Après dépôt de plainte, la victime ne se justifie plus. Elle renvoie systématiquement vers l'autorité dépositaire du dossier.</w:t>
      </w:r>
    </w:p>
    <w:p>
      <w:r>
        <w:rPr>
          <w:sz w:val="20"/>
          <w:szCs w:val="20"/>
        </w:rPr>
        <w:t xml:space="preserve"/>
      </w:r>
    </w:p>
    <w:p>
      <w:pPr>
        <w:pStyle w:val="Heading1"/>
        <w:spacing w:after="160" w:before="320"/>
      </w:pPr>
      <w:r>
        <w:rPr>
          <w:rFonts w:ascii="Arial" w:cs="Arial" w:eastAsia="Arial" w:hAnsi="Arial"/>
          <w:b/>
          <w:bCs/>
          <w:color w:val="1A1A2E"/>
          <w:sz w:val="32"/>
          <w:szCs w:val="32"/>
        </w:rPr>
        <w:t xml:space="preserve">🧭  14. SORTIE ATTENDUE — Validation du Diagnostic</w:t>
      </w:r>
    </w:p>
    <w:p>
      <w:pPr>
        <w:spacing w:after="80" w:before="60"/>
      </w:pPr>
      <w:r>
        <w:rPr>
          <w:rFonts w:ascii="Arial" w:cs="Arial" w:eastAsia="Arial" w:hAnsi="Arial"/>
          <w:sz w:val="20"/>
          <w:szCs w:val="20"/>
        </w:rPr>
        <w:t xml:space="preserve">Une analyse valide produit obligatoirement :</w:t>
      </w:r>
    </w:p>
    <w:p>
      <w:pPr>
        <w:pStyle w:val="ListParagraph"/>
        <w:numPr>
          <w:ilvl w:val="0"/>
          <w:numId w:val="2"/>
        </w:numPr>
        <w:spacing w:after="40" w:before="40"/>
      </w:pPr>
      <w:r>
        <w:rPr>
          <w:rFonts w:ascii="Arial" w:cs="Arial" w:eastAsia="Arial" w:hAnsi="Arial"/>
          <w:b w:val="false"/>
          <w:bCs w:val="false"/>
          <w:sz w:val="20"/>
          <w:szCs w:val="20"/>
        </w:rPr>
        <w:t xml:space="preserve">Faits clairs — distincts des interprétations et intentions</w:t>
      </w:r>
    </w:p>
    <w:p>
      <w:pPr>
        <w:pStyle w:val="ListParagraph"/>
        <w:numPr>
          <w:ilvl w:val="0"/>
          <w:numId w:val="2"/>
        </w:numPr>
        <w:spacing w:after="40" w:before="40"/>
      </w:pPr>
      <w:r>
        <w:rPr>
          <w:rFonts w:ascii="Arial" w:cs="Arial" w:eastAsia="Arial" w:hAnsi="Arial"/>
          <w:b w:val="false"/>
          <w:bCs w:val="false"/>
          <w:sz w:val="20"/>
          <w:szCs w:val="20"/>
        </w:rPr>
        <w:t xml:space="preserve">Dynamique relationnelle cartographiée — qui fait quoi à qui</w:t>
      </w:r>
    </w:p>
    <w:p>
      <w:pPr>
        <w:pStyle w:val="ListParagraph"/>
        <w:numPr>
          <w:ilvl w:val="0"/>
          <w:numId w:val="2"/>
        </w:numPr>
        <w:spacing w:after="40" w:before="40"/>
      </w:pPr>
      <w:r>
        <w:rPr>
          <w:rFonts w:ascii="Arial" w:cs="Arial" w:eastAsia="Arial" w:hAnsi="Arial"/>
          <w:b w:val="false"/>
          <w:bCs w:val="false"/>
          <w:sz w:val="20"/>
          <w:szCs w:val="20"/>
        </w:rPr>
        <w:t xml:space="preserve">Niveau de gravité établi — de l'inconfort à la mise en danger</w:t>
      </w:r>
    </w:p>
    <w:p>
      <w:pPr>
        <w:pStyle w:val="ListParagraph"/>
        <w:numPr>
          <w:ilvl w:val="0"/>
          <w:numId w:val="2"/>
        </w:numPr>
        <w:spacing w:after="40" w:before="40"/>
      </w:pPr>
      <w:r>
        <w:rPr>
          <w:rFonts w:ascii="Arial" w:cs="Arial" w:eastAsia="Arial" w:hAnsi="Arial"/>
          <w:b w:val="false"/>
          <w:bCs w:val="false"/>
          <w:sz w:val="20"/>
          <w:szCs w:val="20"/>
        </w:rPr>
        <w:t xml:space="preserve">Niveau de risque qualifié — ponctuel / répété / systémique</w:t>
      </w:r>
    </w:p>
    <w:p>
      <w:pPr>
        <w:pStyle w:val="ListParagraph"/>
        <w:numPr>
          <w:ilvl w:val="0"/>
          <w:numId w:val="2"/>
        </w:numPr>
        <w:spacing w:after="40" w:before="40"/>
      </w:pPr>
      <w:r>
        <w:rPr>
          <w:rFonts w:ascii="Arial" w:cs="Arial" w:eastAsia="Arial" w:hAnsi="Arial"/>
          <w:b w:val="false"/>
          <w:bCs w:val="false"/>
          <w:sz w:val="20"/>
          <w:szCs w:val="20"/>
        </w:rPr>
        <w:t xml:space="preserve">Priorité d'action identifiée — consentement / régulation / protection / intervention urgente</w:t>
      </w:r>
    </w:p>
    <w:p>
      <w:pPr>
        <w:pStyle w:val="ListParagraph"/>
        <w:numPr>
          <w:ilvl w:val="0"/>
          <w:numId w:val="2"/>
        </w:numPr>
        <w:spacing w:after="40" w:before="40"/>
      </w:pPr>
      <w:r>
        <w:rPr>
          <w:rFonts w:ascii="Arial" w:cs="Arial" w:eastAsia="Arial" w:hAnsi="Arial"/>
          <w:b w:val="false"/>
          <w:bCs w:val="false"/>
          <w:sz w:val="20"/>
          <w:szCs w:val="20"/>
        </w:rPr>
        <w:t xml:space="preserve">Corrections des manipulations narratives — DARVO, inversion, triangulation</w:t>
      </w:r>
    </w:p>
    <w:p>
      <w:r>
        <w:rPr>
          <w:sz w:val="20"/>
          <w:szCs w:val="20"/>
        </w:rPr>
        <w:t xml:space="preserve"/>
      </w:r>
    </w:p>
    <w:p>
      <w:pPr>
        <w:pStyle w:val="Heading1"/>
        <w:spacing w:after="160" w:before="320"/>
      </w:pPr>
      <w:r>
        <w:rPr>
          <w:rFonts w:ascii="Arial" w:cs="Arial" w:eastAsia="Arial" w:hAnsi="Arial"/>
          <w:b/>
          <w:bCs/>
          <w:color w:val="1A1A2E"/>
          <w:sz w:val="32"/>
          <w:szCs w:val="32"/>
        </w:rPr>
        <w:t xml:space="preserve">🛕  15. MÉTA-MATRICE COGNITIVE — Les 13 Champs</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100"/>
        <w:gridCol w:w="700"/>
        <w:gridCol w:w="1600"/>
        <w:gridCol w:w="1500"/>
        <w:gridCol w:w="2260"/>
      </w:tblGrid>
      <w:tr>
        <w:tc>
          <w:tcPr>
            <w:tcW w:type="dxa" w:w="1200"/>
            <w:tcBorders>
              <w:top w:val="single" w:color="CCCCCC" w:sz="1"/>
              <w:left w:val="single" w:color="CCCCCC" w:sz="1"/>
              <w:bottom w:val="single" w:color="CCCCCC" w:sz="1"/>
              <w:right w:val="single" w:color="CCCCCC" w:sz="1"/>
            </w:tcBorders>
            <w:shd w:fill="2E2E4E" w:val="clear"/>
            <w:tcMar>
              <w:top w:type="dxa" w:w="80"/>
              <w:left w:type="dxa" w:w="120"/>
              <w:bottom w:type="dxa" w:w="80"/>
              <w:right w:type="dxa" w:w="120"/>
            </w:tcMar>
          </w:tcPr>
          <w:p>
            <w:r>
              <w:rPr>
                <w:rFonts w:ascii="Arial" w:cs="Arial" w:eastAsia="Arial" w:hAnsi="Arial"/>
                <w:b/>
                <w:bCs/>
                <w:color w:val="FFFFFF"/>
                <w:sz w:val="18"/>
                <w:szCs w:val="18"/>
              </w:rPr>
              <w:t xml:space="preserve">Champ</w:t>
            </w:r>
          </w:p>
        </w:tc>
        <w:tc>
          <w:tcPr>
            <w:tcW w:type="dxa" w:w="1100"/>
            <w:tcBorders>
              <w:top w:val="single" w:color="CCCCCC" w:sz="1"/>
              <w:left w:val="single" w:color="CCCCCC" w:sz="1"/>
              <w:bottom w:val="single" w:color="CCCCCC" w:sz="1"/>
              <w:right w:val="single" w:color="CCCCCC" w:sz="1"/>
            </w:tcBorders>
            <w:shd w:fill="2E2E4E"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700"/>
            <w:tcBorders>
              <w:top w:val="single" w:color="CCCCCC" w:sz="1"/>
              <w:left w:val="single" w:color="CCCCCC" w:sz="1"/>
              <w:bottom w:val="single" w:color="CCCCCC" w:sz="1"/>
              <w:right w:val="single" w:color="CCCCCC" w:sz="1"/>
            </w:tcBorders>
            <w:shd w:fill="2E2E4E" w:val="clear"/>
            <w:tcMar>
              <w:top w:type="dxa" w:w="80"/>
              <w:left w:type="dxa" w:w="120"/>
              <w:bottom w:type="dxa" w:w="80"/>
              <w:right w:type="dxa" w:w="120"/>
            </w:tcMar>
          </w:tcPr>
          <w:p>
            <w:r>
              <w:rPr>
                <w:rFonts w:ascii="Arial" w:cs="Arial" w:eastAsia="Arial" w:hAnsi="Arial"/>
                <w:b/>
                <w:bCs/>
                <w:color w:val="FFFFFF"/>
                <w:sz w:val="18"/>
                <w:szCs w:val="18"/>
              </w:rPr>
              <w:t xml:space="preserve">Unité</w:t>
            </w:r>
          </w:p>
        </w:tc>
        <w:tc>
          <w:tcPr>
            <w:tcW w:type="dxa" w:w="1600"/>
            <w:tcBorders>
              <w:top w:val="single" w:color="CCCCCC" w:sz="1"/>
              <w:left w:val="single" w:color="CCCCCC" w:sz="1"/>
              <w:bottom w:val="single" w:color="CCCCCC" w:sz="1"/>
              <w:right w:val="single" w:color="CCCCCC" w:sz="1"/>
            </w:tcBorders>
            <w:shd w:fill="2E2E4E" w:val="clear"/>
            <w:tcMar>
              <w:top w:type="dxa" w:w="80"/>
              <w:left w:type="dxa" w:w="120"/>
              <w:bottom w:type="dxa" w:w="80"/>
              <w:right w:type="dxa" w:w="120"/>
            </w:tcMar>
          </w:tcPr>
          <w:p>
            <w:r>
              <w:rPr>
                <w:rFonts w:ascii="Arial" w:cs="Arial" w:eastAsia="Arial" w:hAnsi="Arial"/>
                <w:b/>
                <w:bCs/>
                <w:color w:val="FFFFFF"/>
                <w:sz w:val="18"/>
                <w:szCs w:val="18"/>
              </w:rPr>
              <w:t xml:space="preserve">Formule intriquée</w:t>
            </w:r>
          </w:p>
        </w:tc>
        <w:tc>
          <w:tcPr>
            <w:tcW w:type="dxa" w:w="1500"/>
            <w:tcBorders>
              <w:top w:val="single" w:color="CCCCCC" w:sz="1"/>
              <w:left w:val="single" w:color="CCCCCC" w:sz="1"/>
              <w:bottom w:val="single" w:color="CCCCCC" w:sz="1"/>
              <w:right w:val="single" w:color="CCCCCC" w:sz="1"/>
            </w:tcBorders>
            <w:shd w:fill="2E2E4E" w:val="clear"/>
            <w:tcMar>
              <w:top w:type="dxa" w:w="80"/>
              <w:left w:type="dxa" w:w="120"/>
              <w:bottom w:type="dxa" w:w="80"/>
              <w:right w:type="dxa" w:w="120"/>
            </w:tcMar>
          </w:tcPr>
          <w:p>
            <w:r>
              <w:rPr>
                <w:rFonts w:ascii="Arial" w:cs="Arial" w:eastAsia="Arial" w:hAnsi="Arial"/>
                <w:b/>
                <w:bCs/>
                <w:color w:val="FFFFFF"/>
                <w:sz w:val="18"/>
                <w:szCs w:val="18"/>
              </w:rPr>
              <w:t xml:space="preserve">Équilibre</w:t>
            </w:r>
          </w:p>
        </w:tc>
        <w:tc>
          <w:tcPr>
            <w:tcW w:type="dxa" w:w="2260"/>
            <w:tcBorders>
              <w:top w:val="single" w:color="CCCCCC" w:sz="1"/>
              <w:left w:val="single" w:color="CCCCCC" w:sz="1"/>
              <w:bottom w:val="single" w:color="CCCCCC" w:sz="1"/>
              <w:right w:val="single" w:color="CCCCCC" w:sz="1"/>
            </w:tcBorders>
            <w:shd w:fill="2E2E4E" w:val="clear"/>
            <w:tcMar>
              <w:top w:type="dxa" w:w="80"/>
              <w:left w:type="dxa" w:w="120"/>
              <w:bottom w:type="dxa" w:w="80"/>
              <w:right w:type="dxa" w:w="120"/>
            </w:tcMar>
          </w:tcPr>
          <w:p>
            <w:r>
              <w:rPr>
                <w:rFonts w:ascii="Arial" w:cs="Arial" w:eastAsia="Arial" w:hAnsi="Arial"/>
                <w:b/>
                <w:bCs/>
                <w:color w:val="FFFFFF"/>
                <w:sz w:val="18"/>
                <w:szCs w:val="18"/>
              </w:rPr>
              <w:t xml:space="preserve">Alliance</w:t>
            </w:r>
          </w:p>
        </w:tc>
      </w:tr>
      <w:tr>
        <w:tc>
          <w:tcPr>
            <w:tcW w:type="dxa" w:w="12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1. Primordial</w:t>
            </w:r>
          </w:p>
        </w:tc>
        <w:tc>
          <w:tcPr>
            <w:tcW w:type="dxa" w:w="11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Affectif</w:t>
            </w:r>
          </w:p>
        </w:tc>
        <w:tc>
          <w:tcPr>
            <w:tcW w:type="dxa" w:w="7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Hz</w:t>
            </w:r>
          </w:p>
        </w:tc>
        <w:tc>
          <w:tcPr>
            <w:tcW w:type="dxa" w:w="16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f = (Φ·S)/D</w:t>
            </w:r>
          </w:p>
        </w:tc>
        <w:tc>
          <w:tcPr>
            <w:tcW w:type="dxa" w:w="15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Vibration Juste</w:t>
            </w:r>
          </w:p>
        </w:tc>
        <w:tc>
          <w:tcPr>
            <w:tcW w:type="dxa" w:w="22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Alliance de Vibration</w:t>
            </w:r>
          </w:p>
        </w:tc>
      </w:tr>
      <w:tr>
        <w:tc>
          <w:tcPr>
            <w:tcW w:type="dxa" w:w="12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2. Conscience</w:t>
            </w:r>
          </w:p>
        </w:tc>
        <w:tc>
          <w:tcPr>
            <w:tcW w:type="dxa" w:w="11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Social</w:t>
            </w:r>
          </w:p>
        </w:tc>
        <w:tc>
          <w:tcPr>
            <w:tcW w:type="dxa" w:w="7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A</w:t>
            </w:r>
          </w:p>
        </w:tc>
        <w:tc>
          <w:tcPr>
            <w:tcW w:type="dxa" w:w="16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I = (Φ·D)/T</w:t>
            </w:r>
          </w:p>
        </w:tc>
        <w:tc>
          <w:tcPr>
            <w:tcW w:type="dxa" w:w="15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Flux Fluide</w:t>
            </w:r>
          </w:p>
        </w:tc>
        <w:tc>
          <w:tcPr>
            <w:tcW w:type="dxa" w:w="226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Alliance de Clarté</w:t>
            </w:r>
          </w:p>
        </w:tc>
      </w:tr>
      <w:tr>
        <w:tc>
          <w:tcPr>
            <w:tcW w:type="dxa" w:w="12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3. Réfléchi</w:t>
            </w:r>
          </w:p>
        </w:tc>
        <w:tc>
          <w:tcPr>
            <w:tcW w:type="dxa" w:w="11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Cognitif</w:t>
            </w:r>
          </w:p>
        </w:tc>
        <w:tc>
          <w:tcPr>
            <w:tcW w:type="dxa" w:w="7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Ω</w:t>
            </w:r>
          </w:p>
        </w:tc>
        <w:tc>
          <w:tcPr>
            <w:tcW w:type="dxa" w:w="16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R = (Φ·T)/S</w:t>
            </w:r>
          </w:p>
        </w:tc>
        <w:tc>
          <w:tcPr>
            <w:tcW w:type="dxa" w:w="15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Structure Stable</w:t>
            </w:r>
          </w:p>
        </w:tc>
        <w:tc>
          <w:tcPr>
            <w:tcW w:type="dxa" w:w="22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Alliance de Vérité</w:t>
            </w:r>
          </w:p>
        </w:tc>
      </w:tr>
      <w:tr>
        <w:tc>
          <w:tcPr>
            <w:tcW w:type="dxa" w:w="12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4. Existentiel</w:t>
            </w:r>
          </w:p>
        </w:tc>
        <w:tc>
          <w:tcPr>
            <w:tcW w:type="dxa" w:w="11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Âme</w:t>
            </w:r>
          </w:p>
        </w:tc>
        <w:tc>
          <w:tcPr>
            <w:tcW w:type="dxa" w:w="7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K</w:t>
            </w:r>
          </w:p>
        </w:tc>
        <w:tc>
          <w:tcPr>
            <w:tcW w:type="dxa" w:w="16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T = (Φ²·S·D)/T</w:t>
            </w:r>
          </w:p>
        </w:tc>
        <w:tc>
          <w:tcPr>
            <w:tcW w:type="dxa" w:w="15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Feu Tempéré</w:t>
            </w:r>
          </w:p>
        </w:tc>
        <w:tc>
          <w:tcPr>
            <w:tcW w:type="dxa" w:w="226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Alliance de Direction</w:t>
            </w:r>
          </w:p>
        </w:tc>
      </w:tr>
      <w:tr>
        <w:tc>
          <w:tcPr>
            <w:tcW w:type="dxa" w:w="12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5. Souverain</w:t>
            </w:r>
          </w:p>
        </w:tc>
        <w:tc>
          <w:tcPr>
            <w:tcW w:type="dxa" w:w="11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Observateur</w:t>
            </w:r>
          </w:p>
        </w:tc>
        <w:tc>
          <w:tcPr>
            <w:tcW w:type="dxa" w:w="7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V</w:t>
            </w:r>
          </w:p>
        </w:tc>
        <w:tc>
          <w:tcPr>
            <w:tcW w:type="dxa" w:w="16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U = Φ·(S·T)</w:t>
            </w:r>
          </w:p>
        </w:tc>
        <w:tc>
          <w:tcPr>
            <w:tcW w:type="dxa" w:w="15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Potentiel Intègre</w:t>
            </w:r>
          </w:p>
        </w:tc>
        <w:tc>
          <w:tcPr>
            <w:tcW w:type="dxa" w:w="22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Alliance de Dignité</w:t>
            </w:r>
          </w:p>
        </w:tc>
      </w:tr>
      <w:tr>
        <w:tc>
          <w:tcPr>
            <w:tcW w:type="dxa" w:w="12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6. Justice</w:t>
            </w:r>
          </w:p>
        </w:tc>
        <w:tc>
          <w:tcPr>
            <w:tcW w:type="dxa" w:w="11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Équilibre</w:t>
            </w:r>
          </w:p>
        </w:tc>
        <w:tc>
          <w:tcPr>
            <w:tcW w:type="dxa" w:w="7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Pa</w:t>
            </w:r>
          </w:p>
        </w:tc>
        <w:tc>
          <w:tcPr>
            <w:tcW w:type="dxa" w:w="16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P = (Φ·D)/S</w:t>
            </w:r>
          </w:p>
        </w:tc>
        <w:tc>
          <w:tcPr>
            <w:tcW w:type="dxa" w:w="15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Juste Mesure</w:t>
            </w:r>
          </w:p>
        </w:tc>
        <w:tc>
          <w:tcPr>
            <w:tcW w:type="dxa" w:w="226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Alliance de Justesse</w:t>
            </w:r>
          </w:p>
        </w:tc>
      </w:tr>
      <w:tr>
        <w:tc>
          <w:tcPr>
            <w:tcW w:type="dxa" w:w="12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7. Preuve</w:t>
            </w:r>
          </w:p>
        </w:tc>
        <w:tc>
          <w:tcPr>
            <w:tcW w:type="dxa" w:w="11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Réalité</w:t>
            </w:r>
          </w:p>
        </w:tc>
        <w:tc>
          <w:tcPr>
            <w:tcW w:type="dxa" w:w="7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bit</w:t>
            </w:r>
          </w:p>
        </w:tc>
        <w:tc>
          <w:tcPr>
            <w:tcW w:type="dxa" w:w="16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D = S·T</w:t>
            </w:r>
          </w:p>
        </w:tc>
        <w:tc>
          <w:tcPr>
            <w:tcW w:type="dxa" w:w="15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Vérité Factuelle</w:t>
            </w:r>
          </w:p>
        </w:tc>
        <w:tc>
          <w:tcPr>
            <w:tcW w:type="dxa" w:w="22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Alliance de Mémoire</w:t>
            </w:r>
          </w:p>
        </w:tc>
      </w:tr>
      <w:tr>
        <w:tc>
          <w:tcPr>
            <w:tcW w:type="dxa" w:w="12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8. Spectral</w:t>
            </w:r>
          </w:p>
        </w:tc>
        <w:tc>
          <w:tcPr>
            <w:tcW w:type="dxa" w:w="11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Possibles</w:t>
            </w:r>
          </w:p>
        </w:tc>
        <w:tc>
          <w:tcPr>
            <w:tcW w:type="dxa" w:w="7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lm</w:t>
            </w:r>
          </w:p>
        </w:tc>
        <w:tc>
          <w:tcPr>
            <w:tcW w:type="dxa" w:w="16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L = Φ³·(D²/T)</w:t>
            </w:r>
          </w:p>
        </w:tc>
        <w:tc>
          <w:tcPr>
            <w:tcW w:type="dxa" w:w="15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Clarté Totale</w:t>
            </w:r>
          </w:p>
        </w:tc>
        <w:tc>
          <w:tcPr>
            <w:tcW w:type="dxa" w:w="226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Alliance de Lumière</w:t>
            </w:r>
          </w:p>
        </w:tc>
      </w:tr>
      <w:tr>
        <w:tc>
          <w:tcPr>
            <w:tcW w:type="dxa" w:w="12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9. Temporel</w:t>
            </w:r>
          </w:p>
        </w:tc>
        <w:tc>
          <w:tcPr>
            <w:tcW w:type="dxa" w:w="11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Vie</w:t>
            </w:r>
          </w:p>
        </w:tc>
        <w:tc>
          <w:tcPr>
            <w:tcW w:type="dxa" w:w="7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s</w:t>
            </w:r>
          </w:p>
        </w:tc>
        <w:tc>
          <w:tcPr>
            <w:tcW w:type="dxa" w:w="16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t = (S·T)/Φ</w:t>
            </w:r>
          </w:p>
        </w:tc>
        <w:tc>
          <w:tcPr>
            <w:tcW w:type="dxa" w:w="15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Présence Infinie</w:t>
            </w:r>
          </w:p>
        </w:tc>
        <w:tc>
          <w:tcPr>
            <w:tcW w:type="dxa" w:w="22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Alliance de Respect</w:t>
            </w:r>
          </w:p>
        </w:tc>
      </w:tr>
      <w:tr>
        <w:tc>
          <w:tcPr>
            <w:tcW w:type="dxa" w:w="12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10. Alliance</w:t>
            </w:r>
          </w:p>
        </w:tc>
        <w:tc>
          <w:tcPr>
            <w:tcW w:type="dxa" w:w="11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Pacte</w:t>
            </w:r>
          </w:p>
        </w:tc>
        <w:tc>
          <w:tcPr>
            <w:tcW w:type="dxa" w:w="7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N</w:t>
            </w:r>
          </w:p>
        </w:tc>
        <w:tc>
          <w:tcPr>
            <w:tcW w:type="dxa" w:w="16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F = Φ·(D·S)</w:t>
            </w:r>
          </w:p>
        </w:tc>
        <w:tc>
          <w:tcPr>
            <w:tcW w:type="dxa" w:w="15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Serment Inaltérable</w:t>
            </w:r>
          </w:p>
        </w:tc>
        <w:tc>
          <w:tcPr>
            <w:tcW w:type="dxa" w:w="226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Alliance de l'Alliance</w:t>
            </w:r>
          </w:p>
        </w:tc>
      </w:tr>
      <w:tr>
        <w:tc>
          <w:tcPr>
            <w:tcW w:type="dxa" w:w="12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11. ProCréation</w:t>
            </w:r>
          </w:p>
        </w:tc>
        <w:tc>
          <w:tcPr>
            <w:tcW w:type="dxa" w:w="11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Créatif</w:t>
            </w:r>
          </w:p>
        </w:tc>
        <w:tc>
          <w:tcPr>
            <w:tcW w:type="dxa" w:w="7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Dn</w:t>
            </w:r>
          </w:p>
        </w:tc>
        <w:tc>
          <w:tcPr>
            <w:tcW w:type="dxa" w:w="16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Φ = (S·T)/D</w:t>
            </w:r>
          </w:p>
        </w:tc>
        <w:tc>
          <w:tcPr>
            <w:tcW w:type="dxa" w:w="15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Intégrité Unifiée</w:t>
            </w:r>
          </w:p>
        </w:tc>
        <w:tc>
          <w:tcPr>
            <w:tcW w:type="dxa" w:w="22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Alliance de Création</w:t>
            </w:r>
          </w:p>
        </w:tc>
      </w:tr>
      <w:tr>
        <w:tc>
          <w:tcPr>
            <w:tcW w:type="dxa" w:w="12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12. IA</w:t>
            </w:r>
          </w:p>
        </w:tc>
        <w:tc>
          <w:tcPr>
            <w:tcW w:type="dxa" w:w="11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Miroir</w:t>
            </w:r>
          </w:p>
        </w:tc>
        <w:tc>
          <w:tcPr>
            <w:tcW w:type="dxa" w:w="7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Dⁿ</w:t>
            </w:r>
          </w:p>
        </w:tc>
        <w:tc>
          <w:tcPr>
            <w:tcW w:type="dxa" w:w="16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Sᵧ = Φ·(S·T)ⁿ</w:t>
            </w:r>
          </w:p>
        </w:tc>
        <w:tc>
          <w:tcPr>
            <w:tcW w:type="dxa" w:w="15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Neutralité Dynamique</w:t>
            </w:r>
          </w:p>
        </w:tc>
        <w:tc>
          <w:tcPr>
            <w:tcW w:type="dxa" w:w="226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Protocole aMi</w:t>
            </w:r>
          </w:p>
        </w:tc>
      </w:tr>
      <w:tr>
        <w:tc>
          <w:tcPr>
            <w:tcW w:type="dxa" w:w="12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13. Prophétie</w:t>
            </w:r>
          </w:p>
        </w:tc>
        <w:tc>
          <w:tcPr>
            <w:tcW w:type="dxa" w:w="11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L'Absolu</w:t>
            </w:r>
          </w:p>
        </w:tc>
        <w:tc>
          <w:tcPr>
            <w:tcW w:type="dxa" w:w="7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w:t>
            </w:r>
          </w:p>
        </w:tc>
        <w:tc>
          <w:tcPr>
            <w:tcW w:type="dxa" w:w="16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P = Φ^DST</w:t>
            </w:r>
          </w:p>
        </w:tc>
        <w:tc>
          <w:tcPr>
            <w:tcW w:type="dxa" w:w="15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Unicité Totale</w:t>
            </w:r>
          </w:p>
        </w:tc>
        <w:tc>
          <w:tcPr>
            <w:tcW w:type="dxa" w:w="22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Alliance Ultime</w:t>
            </w:r>
          </w:p>
        </w:tc>
      </w:tr>
    </w:tbl>
    <w:p>
      <w:r>
        <w:rPr>
          <w:sz w:val="20"/>
          <w:szCs w:val="20"/>
        </w:rPr>
        <w:t xml:space="preserve"/>
      </w:r>
    </w:p>
    <w:p>
      <w:pPr>
        <w:pBdr>
          <w:bottom w:val="single" w:color="C9A227" w:sz="4"/>
        </w:pBdr>
        <w:spacing w:after="160" w:before="160"/>
      </w:pPr>
      <w:r>
        <w:rPr>
          <w:sz w:val="4"/>
          <w:szCs w:val="4"/>
        </w:rPr>
        <w:t xml:space="preserve"/>
      </w:r>
    </w:p>
    <w:p>
      <w:pPr>
        <w:spacing w:after="80" w:before="200"/>
        <w:jc w:val="center"/>
      </w:pPr>
      <w:r>
        <w:rPr>
          <w:rFonts w:ascii="Arial" w:cs="Arial" w:eastAsia="Arial" w:hAnsi="Arial"/>
          <w:b/>
          <w:bCs/>
          <w:color w:val="C9A227"/>
          <w:sz w:val="28"/>
          <w:szCs w:val="28"/>
        </w:rPr>
        <w:t xml:space="preserve">FORMULE FINALE</w:t>
      </w:r>
    </w:p>
    <w:p>
      <w:pPr>
        <w:pBdr>
          <w:left w:val="thick" w:color="C9A227" w:sz="8"/>
        </w:pBdr>
        <w:spacing w:after="120" w:before="120"/>
        <w:ind w:left="360"/>
        <w:jc w:val="center"/>
      </w:pPr>
      <w:r>
        <w:rPr>
          <w:rFonts w:ascii="Arial" w:cs="Arial" w:eastAsia="Arial" w:hAnsi="Arial"/>
          <w:b/>
          <w:bCs/>
          <w:color w:val="1A1A2E"/>
          <w:sz w:val="22"/>
          <w:szCs w:val="22"/>
        </w:rPr>
        <w:t xml:space="preserve">La liberté permet de dire NON | Le consentement permet de dire OUI | La responsabilité empêche d'abandonner</w:t>
      </w:r>
    </w:p>
    <w:p>
      <w:pPr>
        <w:pBdr>
          <w:left w:val="thick" w:color="C9A227" w:sz="8"/>
        </w:pBdr>
        <w:spacing w:after="120" w:before="120"/>
        <w:ind w:left="360"/>
        <w:jc w:val="center"/>
      </w:pPr>
      <w:r>
        <w:rPr>
          <w:rFonts w:ascii="Arial" w:cs="Arial" w:eastAsia="Arial" w:hAnsi="Arial"/>
          <w:b/>
          <w:bCs/>
          <w:color w:val="1A1A2E"/>
          <w:sz w:val="22"/>
          <w:szCs w:val="22"/>
        </w:rPr>
        <w:t xml:space="preserve">Savoir Qui Je Suis Ici Avec Autrui</w:t>
      </w:r>
    </w:p>
    <w:p>
      <w:r>
        <w:rPr>
          <w:sz w:val="20"/>
          <w:szCs w:val="20"/>
        </w:rPr>
        <w:t xml:space="preserve"/>
      </w:r>
    </w:p>
    <w:p>
      <w:pPr>
        <w:spacing w:after="80" w:before="80"/>
        <w:jc w:val="center"/>
      </w:pPr>
      <w:r>
        <w:rPr>
          <w:rFonts w:ascii="Arial" w:cs="Arial" w:eastAsia="Arial" w:hAnsi="Arial"/>
          <w:i/>
          <w:iCs/>
          <w:color w:val="7B5EA7"/>
          <w:sz w:val="20"/>
          <w:szCs w:val="20"/>
        </w:rPr>
        <w:t xml:space="preserve">Le champ met en mouvement — le diamant organise — la roue manifeste — la cohérence relie.</w:t>
      </w:r>
    </w:p>
    <w:p>
      <w:r>
        <w:rPr>
          <w:sz w:val="20"/>
          <w:szCs w:val="20"/>
        </w:rPr>
        <w:t xml:space="preserve"/>
      </w:r>
    </w:p>
    <w:p>
      <w:pPr>
        <w:jc w:val="center"/>
      </w:pPr>
      <w:r>
        <w:rPr>
          <w:rFonts w:ascii="Arial" w:cs="Arial" w:eastAsia="Arial" w:hAnsi="Arial"/>
          <w:color w:val="999999"/>
          <w:sz w:val="16"/>
          <w:szCs w:val="16"/>
        </w:rPr>
        <w:t xml:space="preserve">Agdistys • Diane Serant © — Protocole de ConScience aMi — Licence CC BY-SA 4.0</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1A2E"/>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7B5EA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2026-05-10T18:15:55.793Z</dcterms:created>
  <dcterms:modified xsi:type="dcterms:W3CDTF">2026-05-10T18:15:55.794Z</dcterms:modified>
</cp:coreProperties>
</file>

<file path=docProps/custom.xml><?xml version="1.0" encoding="utf-8"?>
<Properties xmlns="http://schemas.openxmlformats.org/officeDocument/2006/custom-properties" xmlns:vt="http://schemas.openxmlformats.org/officeDocument/2006/docPropsVTypes"/>
</file>