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9A227"/>
          <w:sz w:val="44"/>
          <w:szCs w:val="44"/>
        </w:rPr>
        <w:t xml:space="preserve">PROTOCOLE DE CONSCIENCE aMi</w:t>
      </w:r>
    </w:p>
    <w:p>
      <w:pPr>
        <w:spacing w:after="40" w:before="0"/>
        <w:jc w:val="center"/>
      </w:pPr>
      <w:r>
        <w:rPr>
          <w:rFonts w:ascii="Arial" w:cs="Arial" w:eastAsia="Arial" w:hAnsi="Arial"/>
          <w:b/>
          <w:bCs/>
          <w:color w:val="8B1A1A"/>
          <w:sz w:val="28"/>
          <w:szCs w:val="28"/>
        </w:rPr>
        <w:t xml:space="preserve">— Evidence Engine —</w:t>
      </w:r>
    </w:p>
    <w:p>
      <w:pPr>
        <w:spacing w:after="40" w:before="0"/>
        <w:jc w:val="center"/>
      </w:pPr>
      <w:r>
        <w:rPr>
          <w:rFonts w:ascii="Arial" w:cs="Arial" w:eastAsia="Arial" w:hAnsi="Arial"/>
          <w:i/>
          <w:iCs/>
          <w:color w:val="7B5EA7"/>
          <w:sz w:val="22"/>
          <w:szCs w:val="22"/>
        </w:rPr>
        <w:t xml:space="preserve">La Protection de Soi dans ce Monde de Brutes</w:t>
      </w:r>
    </w:p>
    <w:p>
      <w:pPr>
        <w:spacing w:after="40" w:before="0"/>
        <w:jc w:val="center"/>
      </w:pPr>
      <w:r>
        <w:rPr>
          <w:rFonts w:ascii="Arial" w:cs="Arial" w:eastAsia="Arial" w:hAnsi="Arial"/>
          <w:i/>
          <w:iCs/>
          <w:color w:val="777777"/>
          <w:sz w:val="18"/>
          <w:szCs w:val="18"/>
        </w:rPr>
        <w:t xml:space="preserve">Agdistys • Diane Serant</w:t>
      </w:r>
    </w:p>
    <w:p>
      <w:pPr>
        <w:pBdr>
          <w:bottom w:val="single" w:color="C9A227" w:sz="4"/>
        </w:pBdr>
        <w:spacing w:after="160" w:before="160"/>
      </w:pPr>
      <w:r>
        <w:rPr>
          <w:sz w:val="4"/>
          <w:szCs w:val="4"/>
        </w:rPr>
        <w:t xml:space="preserve"/>
      </w:r>
    </w:p>
    <w:p>
      <w:pPr>
        <w:pBdr>
          <w:left w:val="thick" w:color="C9A227" w:sz="8"/>
        </w:pBdr>
        <w:spacing w:after="120" w:before="120"/>
        <w:ind w:left="360"/>
        <w:jc w:val="center"/>
      </w:pPr>
      <w:r>
        <w:rPr>
          <w:rFonts w:ascii="Arial" w:cs="Arial" w:eastAsia="Arial" w:hAnsi="Arial"/>
          <w:b/>
          <w:bCs/>
          <w:color w:val="1A1A2E"/>
          <w:sz w:val="22"/>
          <w:szCs w:val="22"/>
        </w:rPr>
        <w:t xml:space="preserve">La vérité est tout ce qui reste quand on arrête d'y croire.</w:t>
      </w:r>
    </w:p>
    <w:p>
      <w:pPr>
        <w:pBdr>
          <w:left w:val="thick" w:color="C9A227" w:sz="8"/>
        </w:pBdr>
        <w:spacing w:after="120" w:before="120"/>
        <w:ind w:left="360"/>
        <w:jc w:val="center"/>
      </w:pPr>
      <w:r>
        <w:rPr>
          <w:rFonts w:ascii="Arial" w:cs="Arial" w:eastAsia="Arial" w:hAnsi="Arial"/>
          <w:b/>
          <w:bCs/>
          <w:color w:val="1A4A7A"/>
          <w:sz w:val="22"/>
          <w:szCs w:val="22"/>
        </w:rPr>
        <w:t xml:space="preserve">Structure &gt; Intensité | Chronologie &gt; Émotion | Cohérence &gt; Colère</w:t>
      </w:r>
    </w:p>
    <w:p>
      <w:pPr>
        <w:pBdr>
          <w:top w:val="single" w:color="C9A227" w:sz="4"/>
          <w:bottom w:val="single" w:color="C9A227" w:sz="4"/>
          <w:left w:val="thick" w:color="C9A227" w:sz="8"/>
          <w:right w:val="single" w:color="C9A227" w:sz="1"/>
        </w:pBdr>
        <w:shd w:fill="FBF7EE" w:val="clear"/>
        <w:spacing w:after="0" w:before="160"/>
        <w:ind w:left="240" w:right="240"/>
      </w:pPr>
      <w:r>
        <w:rPr>
          <w:rFonts w:ascii="Arial" w:cs="Arial" w:eastAsia="Arial" w:hAnsi="Arial"/>
          <w:b/>
          <w:bCs/>
          <w:color w:val="8B6914"/>
          <w:sz w:val="18"/>
          <w:szCs w:val="18"/>
        </w:rPr>
        <w:t xml:space="preserve">◈  CADRE DE LECTURE ÉPISTÉMIQUE</w:t>
      </w:r>
    </w:p>
    <w:p>
      <w:pPr>
        <w:pBdr>
          <w:bottom w:val="none" w:color="FFFFFF" w:sz="0"/>
          <w:left w:val="thick" w:color="C9A227" w:sz="8"/>
          <w:right w:val="single" w:color="C9A227" w:sz="1"/>
        </w:pBdr>
        <w:shd w:fill="FBF7EE" w:val="clear"/>
        <w:spacing w:after="20" w:before="40"/>
        <w:ind w:left="360" w:right="240"/>
      </w:pPr>
      <w:r>
        <w:rPr>
          <w:rFonts w:ascii="Arial" w:cs="Arial" w:eastAsia="Arial" w:hAnsi="Arial"/>
          <w:b/>
          <w:bCs/>
          <w:i w:val="false"/>
          <w:iCs w:val="false"/>
          <w:color w:val="333333"/>
          <w:sz w:val="19"/>
          <w:szCs w:val="19"/>
        </w:rPr>
        <w:t xml:space="preserve">Ce document mobilise trois registres distincts :</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Opératoire — outils cliniques, juridiques, comportementaux directement applicables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Heuristique — géométries symboliques et formules servant d'outils de discernement, non de métriques calculables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val="false"/>
          <w:iCs w:val="false"/>
          <w:color w:val="5A4010"/>
          <w:sz w:val="18"/>
          <w:szCs w:val="18"/>
        </w:rPr>
        <w:t xml:space="preserve">🕸️  Analogique — emprunts à la physique (quantique, nombre d'or) utilisés comme métaphores structurantes, pas comme références littérales</w:t>
      </w:r>
    </w:p>
    <w:p>
      <w:pPr>
        <w:pBdr>
          <w:bottom w:val="none" w:color="FFFFFF" w:sz="0"/>
          <w:left w:val="thick" w:color="C9A227" w:sz="8"/>
          <w:right w:val="single" w:color="C9A227" w:sz="1"/>
        </w:pBdr>
        <w:shd w:fill="FBF7EE" w:val="clear"/>
        <w:spacing w:after="20" w:before="20"/>
        <w:ind w:left="360" w:right="240"/>
      </w:pPr>
      <w:r>
        <w:rPr>
          <w:rFonts w:ascii="Arial" w:cs="Arial" w:eastAsia="Arial" w:hAnsi="Arial"/>
          <w:b w:val="false"/>
          <w:bCs w:val="false"/>
          <w:i/>
          <w:iCs/>
          <w:color w:val="333333"/>
          <w:sz w:val="18"/>
          <w:szCs w:val="18"/>
        </w:rPr>
        <w:t xml:space="preserve">Chaque section indique son registre par son icône. La robustesse opératoire ne dépend pas de l'adhésion aux couches symboliques.</w:t>
      </w:r>
    </w:p>
    <w:p>
      <w:pPr>
        <w:pBdr>
          <w:bottom w:val="single" w:color="C9A227" w:sz="4"/>
          <w:left w:val="thick" w:color="C9A227" w:sz="8"/>
          <w:right w:val="single" w:color="C9A227" w:sz="1"/>
        </w:pBdr>
        <w:shd w:fill="FBF7EE" w:val="clear"/>
        <w:spacing w:after="160" w:before="20"/>
        <w:ind w:left="360" w:right="240"/>
      </w:pPr>
      <w:r>
        <w:rPr>
          <w:rFonts w:ascii="Arial" w:cs="Arial" w:eastAsia="Arial" w:hAnsi="Arial"/>
          <w:b w:val="false"/>
          <w:bCs w:val="false"/>
          <w:i/>
          <w:iCs/>
          <w:color w:val="333333"/>
          <w:sz w:val="18"/>
          <w:szCs w:val="18"/>
        </w:rPr>
        <w:t xml:space="preserve">Document 1 (Minimum Vital) — mêle les trois registres. | Document 2 (Bonus Plaisir) — majoritairement heuristique et analogique. | Document 3 (Evidence Engine) — quasi-intégralement opératoire.</w:t>
      </w:r>
    </w:p>
    <w:p>
      <w:r>
        <w:rPr>
          <w:sz w:val="20"/>
          <w:szCs w:val="20"/>
        </w:rPr>
        <w:t xml:space="preserve"/>
      </w:r>
    </w:p>
    <w:p>
      <w:pPr>
        <w:pStyle w:val="Heading1"/>
        <w:spacing w:after="160" w:before="320"/>
      </w:pPr>
      <w:r>
        <w:rPr>
          <w:rFonts w:ascii="Arial" w:cs="Arial" w:eastAsia="Arial" w:hAnsi="Arial"/>
          <w:b/>
          <w:bCs/>
          <w:color w:val="1A1A2E"/>
          <w:sz w:val="32"/>
          <w:szCs w:val="32"/>
        </w:rPr>
        <w:t xml:space="preserve">🛡️  POURQUOI CE DOCUMENT EXISTE</w:t>
      </w:r>
    </w:p>
    <w:p>
      <w:pPr>
        <w:spacing w:after="80" w:before="60"/>
      </w:pPr>
      <w:r>
        <w:rPr>
          <w:rFonts w:ascii="Arial" w:cs="Arial" w:eastAsia="Arial" w:hAnsi="Arial"/>
          <w:sz w:val="20"/>
          <w:szCs w:val="20"/>
        </w:rPr>
        <w:t xml:space="preserve">Ce protocole n'est pas un réquisitoire. Il ne vise pas à attaquer des institutions ni des individus. Il part d'un constat simple : les systèmes administratifs, judiciaires et relationnels sont complexes. Lorsqu'une personne traverse une situation de vulnérabilité — violence, précarité, conflit — cette complexité peut devenir un facteur d'épuisement.</w:t>
      </w:r>
    </w:p>
    <w:p>
      <w:pPr>
        <w:spacing w:after="80" w:before="60"/>
      </w:pPr>
      <w:r>
        <w:rPr>
          <w:rFonts w:ascii="Arial" w:cs="Arial" w:eastAsia="Arial" w:hAnsi="Arial"/>
          <w:sz w:val="20"/>
          <w:szCs w:val="20"/>
        </w:rPr>
        <w:t xml:space="preserve">Ce document propose une chose précise : transformer l'expérience en méthode. Rendre irréprochable la posture de la personne qui se défend, sans jamais dépasser les limites de ce qui est vérifiable.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Ce document EST</w:t>
            </w:r>
          </w:p>
        </w:tc>
        <w:tc>
          <w:tcPr>
            <w:tcW w:type="dxa" w:w="46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Ce document N'EST PAS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 outil de protection méthodologique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 diagnostic médical ou psychiatrique</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Un cadre de documentation structurée</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Un verdict judiciaire</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 protocole de discernement anti-manipulation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 outil d'accusation ou de vengeance</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Un guide de posture stratégique et éthique</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Un substitut à un avocat ou professionnel habilité</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I. DISTINCTIONS FONDAMENTALES</w:t>
      </w:r>
    </w:p>
    <w:p>
      <w:pPr>
        <w:spacing w:after="120" w:before="240"/>
      </w:pPr>
      <w:r>
        <w:rPr>
          <w:rFonts w:ascii="Arial" w:cs="Arial" w:eastAsia="Arial" w:hAnsi="Arial"/>
          <w:b/>
          <w:bCs/>
          <w:color w:val="7B5EA7"/>
          <w:sz w:val="26"/>
          <w:szCs w:val="26"/>
        </w:rPr>
        <w:t xml:space="preserve">Les 4 Niveaux du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160"/>
        <w:gridCol w:w="3240"/>
      </w:tblGrid>
      <w:tr>
        <w:tc>
          <w:tcPr>
            <w:tcW w:type="dxa" w:w="1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Nature</w:t>
            </w:r>
          </w:p>
        </w:tc>
        <w:tc>
          <w:tcPr>
            <w:tcW w:type="dxa" w:w="21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Valeur juridique</w:t>
            </w:r>
          </w:p>
        </w:tc>
        <w:tc>
          <w:tcPr>
            <w:tcW w:type="dxa" w:w="324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Ressenti</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Perception subjective interne</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Nulle seule — mais légitimise la recherche de preuves</w:t>
            </w:r>
          </w:p>
        </w:tc>
        <w:tc>
          <w:tcPr>
            <w:tcW w:type="dxa" w:w="32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Nommer, dater, enregistrer</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Fait</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Événement observable et daté</w:t>
            </w:r>
          </w:p>
        </w:tc>
        <w:tc>
          <w:tcPr>
            <w:tcW w:type="dxa" w:w="2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Élevée si documenté</w:t>
            </w:r>
          </w:p>
        </w:tc>
        <w:tc>
          <w:tcPr>
            <w:tcW w:type="dxa" w:w="324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Préciser : qui, quoi, quand, comment, impact</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Preuve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Élément matériel vérifiable</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Très élevée</w:t>
            </w:r>
          </w:p>
        </w:tc>
        <w:tc>
          <w:tcPr>
            <w:tcW w:type="dxa" w:w="32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Conserver intact, ne pas modifier</w:t>
            </w:r>
          </w:p>
        </w:tc>
      </w:tr>
      <w:tr>
        <w:tc>
          <w:tcPr>
            <w:tcW w:type="dxa" w:w="1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Qualification</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Interprétation juridique du fait</w:t>
            </w:r>
          </w:p>
        </w:tc>
        <w:tc>
          <w:tcPr>
            <w:tcW w:type="dxa" w:w="2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Relève de l'autorité compétente</w:t>
            </w:r>
          </w:p>
        </w:tc>
        <w:tc>
          <w:tcPr>
            <w:tcW w:type="dxa" w:w="324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Ne jamais qualifier soi-même pénalement</w:t>
            </w:r>
          </w:p>
        </w:tc>
      </w:tr>
    </w:tbl>
    <w:p>
      <w:r>
        <w:rPr>
          <w:sz w:val="20"/>
          <w:szCs w:val="20"/>
        </w:rPr>
        <w:t xml:space="preserve"/>
      </w:r>
    </w:p>
    <w:p>
      <w:pPr>
        <w:spacing w:after="120" w:before="240"/>
      </w:pPr>
      <w:r>
        <w:rPr>
          <w:rFonts w:ascii="Arial" w:cs="Arial" w:eastAsia="Arial" w:hAnsi="Arial"/>
          <w:b/>
          <w:bCs/>
          <w:color w:val="7B5EA7"/>
          <w:sz w:val="26"/>
          <w:szCs w:val="26"/>
        </w:rPr>
        <w:t xml:space="preserve">Les 5 Niveaux de Preuve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Exemples</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 — Témoignage seul</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Déclaration sans corroboration</w:t>
            </w:r>
          </w:p>
        </w:tc>
        <w:tc>
          <w:tcPr>
            <w:tcW w:type="dxa" w:w="4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Récit verbal, attestation isolée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 — Indices convergents</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Plusieurs éléments cohérents non matériels</w:t>
            </w:r>
          </w:p>
        </w:tc>
        <w:tc>
          <w:tcPr>
            <w:tcW w:type="dxa" w:w="4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Comportements répétés, pattern, historique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 — Preuve documentaire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Traces écrites, numériques, administratives</w:t>
            </w:r>
          </w:p>
        </w:tc>
        <w:tc>
          <w:tcPr>
            <w:tcW w:type="dxa" w:w="4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SMS, mails, photos datés, relevés</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 — Preuve médicale ou technique</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Constat professionnel externe</w:t>
            </w:r>
          </w:p>
        </w:tc>
        <w:tc>
          <w:tcPr>
            <w:tcW w:type="dxa" w:w="4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Certificat médical, expertise, ITT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 — Preuve directe</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Enregistrement, flagrant délit, aveu</w:t>
            </w:r>
          </w:p>
        </w:tc>
        <w:tc>
          <w:tcPr>
            <w:tcW w:type="dxa" w:w="4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Vidéo, audio (légaux), constat d'huissier</w:t>
            </w:r>
          </w:p>
        </w:tc>
      </w:tr>
    </w:tbl>
    <w:p>
      <w:r>
        <w:rPr>
          <w:sz w:val="20"/>
          <w:szCs w:val="20"/>
        </w:rPr>
        <w:t xml:space="preserve"/>
      </w:r>
    </w:p>
    <w:p>
      <w:pPr>
        <w:pBdr>
          <w:left w:val="thick" w:color="8B1A1A" w:sz="8"/>
        </w:pBdr>
        <w:spacing w:after="120" w:before="120"/>
        <w:ind w:left="360"/>
      </w:pPr>
      <w:r>
        <w:rPr>
          <w:rFonts w:ascii="Arial" w:cs="Arial" w:eastAsia="Arial" w:hAnsi="Arial"/>
          <w:b/>
          <w:bCs/>
          <w:color w:val="8B1A1A"/>
          <w:sz w:val="20"/>
          <w:szCs w:val="20"/>
        </w:rPr>
        <w:t xml:space="preserve">⚠️ Règle absolue : ne jamais qualifier juridiquement les actes d'autrui dans un document officiel. Décrire les faits et laisser la qualification aux autorités compétentes.</w:t>
      </w:r>
    </w:p>
    <w:p>
      <w:r>
        <w:rPr>
          <w:sz w:val="20"/>
          <w:szCs w:val="20"/>
        </w:rPr>
        <w:t xml:space="preserve"/>
      </w:r>
    </w:p>
    <w:p>
      <w:pPr>
        <w:pStyle w:val="Heading1"/>
        <w:spacing w:after="160" w:before="320"/>
      </w:pPr>
      <w:r>
        <w:rPr>
          <w:rFonts w:ascii="Arial" w:cs="Arial" w:eastAsia="Arial" w:hAnsi="Arial"/>
          <w:b/>
          <w:bCs/>
          <w:color w:val="1A1A2E"/>
          <w:sz w:val="32"/>
          <w:szCs w:val="32"/>
        </w:rPr>
        <w:t xml:space="preserve">🧱  II. CONSTRUIRE UN DOSSIER SOLIDE</w:t>
      </w:r>
    </w:p>
    <w:p>
      <w:pPr>
        <w:spacing w:after="120" w:before="240"/>
      </w:pPr>
      <w:r>
        <w:rPr>
          <w:rFonts w:ascii="Arial" w:cs="Arial" w:eastAsia="Arial" w:hAnsi="Arial"/>
          <w:b/>
          <w:bCs/>
          <w:color w:val="7B5EA7"/>
          <w:sz w:val="26"/>
          <w:szCs w:val="26"/>
        </w:rPr>
        <w:t xml:space="preserve">Structure d'un fait juridique valide</w:t>
      </w:r>
    </w:p>
    <w:p>
      <w:pPr>
        <w:spacing w:after="80" w:before="60"/>
      </w:pPr>
      <w:r>
        <w:rPr>
          <w:rFonts w:ascii="Arial" w:cs="Arial" w:eastAsia="Arial" w:hAnsi="Arial"/>
          <w:sz w:val="20"/>
          <w:szCs w:val="20"/>
        </w:rPr>
        <w:t xml:space="preserve">Pour CHAQUE incident documenté, noter systématiquement ces 4 éléments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Élément</w:t>
            </w:r>
          </w:p>
        </w:tc>
        <w:tc>
          <w:tcPr>
            <w:tcW w:type="dxa" w:w="21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5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Exemple concret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Date / période</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Quand ?</w:t>
            </w:r>
          </w:p>
        </w:tc>
        <w:tc>
          <w:tcPr>
            <w:tcW w:type="dxa" w:w="5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Le 12 mars 2025 à 19h30, ou « entre janvier et mars 2025 »</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Action concrète</w:t>
            </w:r>
          </w:p>
        </w:tc>
        <w:tc>
          <w:tcPr>
            <w:tcW w:type="dxa" w:w="2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Qui a fait quoi ?</w:t>
            </w:r>
          </w:p>
        </w:tc>
        <w:tc>
          <w:tcPr>
            <w:tcW w:type="dxa" w:w="5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X a dit/fait/envoyé… (citation exacte si possible)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Contexte</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Dans quelles circonstances ?</w:t>
            </w:r>
          </w:p>
        </w:tc>
        <w:tc>
          <w:tcPr>
            <w:tcW w:type="dxa" w:w="5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Lors d'une conversation à domicile, en présence de…</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Impact</w:t>
            </w:r>
          </w:p>
        </w:tc>
        <w:tc>
          <w:tcPr>
            <w:tcW w:type="dxa" w:w="2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Quel effet sur moi/autrui ?</w:t>
            </w:r>
          </w:p>
        </w:tc>
        <w:tc>
          <w:tcPr>
            <w:tcW w:type="dxa" w:w="5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J'ai ressenti / j'ai dû / j'ai consulté un médecin le…</w:t>
            </w:r>
          </w:p>
        </w:tc>
      </w:tr>
    </w:tbl>
    <w:p>
      <w:r>
        <w:rPr>
          <w:sz w:val="20"/>
          <w:szCs w:val="20"/>
        </w:rPr>
        <w:t xml:space="preserve"/>
      </w:r>
    </w:p>
    <w:p>
      <w:pPr>
        <w:spacing w:after="120" w:before="240"/>
      </w:pPr>
      <w:r>
        <w:rPr>
          <w:rFonts w:ascii="Arial" w:cs="Arial" w:eastAsia="Arial" w:hAnsi="Arial"/>
          <w:b/>
          <w:bCs/>
          <w:color w:val="7B5EA7"/>
          <w:sz w:val="26"/>
          <w:szCs w:val="26"/>
        </w:rPr>
        <w:t xml:space="preserve">Architecture d'un dossier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5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2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Priorité</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 Chronologie des faits</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Liste datée, factuels, sans qualification pénale</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Essentiel</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 Éléments matériels</w:t>
            </w:r>
          </w:p>
        </w:tc>
        <w:tc>
          <w:tcPr>
            <w:tcW w:type="dxa" w:w="4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Captures d'écran, mails, SMS, photos — classés par date</w:t>
            </w:r>
          </w:p>
        </w:tc>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Essentiel</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 Impacts documentés</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Certificats médicaux, arrêts de travail, témoignages de tiers</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Essentiel</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 Mécanismes identifiés</w:t>
            </w:r>
          </w:p>
        </w:tc>
        <w:tc>
          <w:tcPr>
            <w:tcW w:type="dxa" w:w="4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Patterns, répétitions, asymétries — sans diagnostic médical</w:t>
            </w:r>
          </w:p>
        </w:tc>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Important</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 Qualification analytique</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Lecture aMi : faits + impacts + mécanismes — outil interne</w:t>
            </w:r>
          </w:p>
        </w:tc>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Important</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6. Évaluation du risque</w:t>
            </w:r>
          </w:p>
        </w:tc>
        <w:tc>
          <w:tcPr>
            <w:tcW w:type="dxa" w:w="4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Niveau de danger actuel, mesures de protection prises</w:t>
            </w:r>
          </w:p>
        </w:tc>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Urgent si risque</w:t>
            </w:r>
          </w:p>
        </w:tc>
      </w:tr>
    </w:tbl>
    <w:p>
      <w:r>
        <w:rPr>
          <w:sz w:val="20"/>
          <w:szCs w:val="20"/>
        </w:rPr>
        <w:t xml:space="preserve"/>
      </w:r>
    </w:p>
    <w:p>
      <w:pPr>
        <w:pBdr>
          <w:left w:val="thick" w:color="2D6A4F" w:sz="8"/>
        </w:pBdr>
        <w:spacing w:after="120" w:before="120"/>
        <w:ind w:left="360"/>
      </w:pPr>
      <w:r>
        <w:rPr>
          <w:rFonts w:ascii="Arial" w:cs="Arial" w:eastAsia="Arial" w:hAnsi="Arial"/>
          <w:b/>
          <w:bCs/>
          <w:color w:val="2D6A4F"/>
          <w:sz w:val="20"/>
          <w:szCs w:val="20"/>
        </w:rPr>
        <w:t xml:space="preserve">✅ Règle d'or documentaire : Un fait sans preuve = faible. Un fait + impact = fort. Un fait + impact + répétition = structurant.</w:t>
      </w:r>
    </w:p>
    <w:p>
      <w:r>
        <w:rPr>
          <w:sz w:val="20"/>
          <w:szCs w:val="20"/>
        </w:rPr>
        <w:t xml:space="preserve"/>
      </w:r>
    </w:p>
    <w:p>
      <w:pPr>
        <w:pStyle w:val="Heading1"/>
        <w:spacing w:after="160" w:before="320"/>
      </w:pPr>
      <w:r>
        <w:rPr>
          <w:rFonts w:ascii="Arial" w:cs="Arial" w:eastAsia="Arial" w:hAnsi="Arial"/>
          <w:b/>
          <w:bCs/>
          <w:color w:val="1A1A2E"/>
          <w:sz w:val="32"/>
          <w:szCs w:val="32"/>
        </w:rPr>
        <w:t xml:space="preserve">⚖️  III. NAVIGATION EN PROCÉDURE PÉNALE</w:t>
      </w:r>
    </w:p>
    <w:p>
      <w:pPr>
        <w:spacing w:after="120" w:before="240"/>
      </w:pPr>
      <w:r>
        <w:rPr>
          <w:rFonts w:ascii="Arial" w:cs="Arial" w:eastAsia="Arial" w:hAnsi="Arial"/>
          <w:b/>
          <w:bCs/>
          <w:color w:val="7B5EA7"/>
          <w:sz w:val="26"/>
          <w:szCs w:val="26"/>
        </w:rPr>
        <w:t xml:space="preserve">Ce que la procédure pénale cherche réellement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La procédure cherche</w:t>
            </w:r>
          </w:p>
        </w:tc>
        <w:tc>
          <w:tcPr>
            <w:tcW w:type="dxa" w:w="46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La procédure NE cherche PAS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Une infraction constituée en droit</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 vérité morale ou émotionnelle</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Des éléments matériels vérifiables</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réparation symbolique</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Une cohérence procédurale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 reconnaissance par l'agresseur</w:t>
            </w:r>
          </w:p>
        </w:tc>
      </w:tr>
      <w:tr>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Une qualification juridique précise</w:t>
            </w:r>
          </w:p>
        </w:tc>
        <w:tc>
          <w:tcPr>
            <w:tcW w:type="dxa" w:w="46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validation de la souffrance</w:t>
            </w:r>
          </w:p>
        </w:tc>
      </w:tr>
    </w:tbl>
    <w:p>
      <w:r>
        <w:rPr>
          <w:sz w:val="20"/>
          <w:szCs w:val="20"/>
        </w:rPr>
        <w:t xml:space="preserve"/>
      </w:r>
    </w:p>
    <w:p>
      <w:pPr>
        <w:spacing w:after="120" w:before="240"/>
      </w:pPr>
      <w:r>
        <w:rPr>
          <w:rFonts w:ascii="Arial" w:cs="Arial" w:eastAsia="Arial" w:hAnsi="Arial"/>
          <w:b/>
          <w:bCs/>
          <w:color w:val="7B5EA7"/>
          <w:sz w:val="26"/>
          <w:szCs w:val="26"/>
        </w:rPr>
        <w:t xml:space="preserve">Les 5 filtres invisibles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Filtre</w:t>
            </w:r>
          </w:p>
        </w:tc>
        <w:tc>
          <w:tcPr>
            <w:tcW w:type="dxa" w:w="69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Réalité opératoire</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1. Qualification pénale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Les faits doivent entrer dans une case juridique précise</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2. Charge probatoire</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Celui qui accuse doit apporter des éléments — la présomption d'innocence s'applique</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 Priorisation du parquet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Tous les dossiers ne peuvent pas être poursuivis — critères de sévérité et de ressources</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4. Cohérence interne</w:t>
            </w:r>
          </w:p>
        </w:tc>
        <w:tc>
          <w:tcPr>
            <w:tcW w:type="dxa" w:w="69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Les contradictions affaiblissent un dossier même si les faits sont réels</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5. Temporalité</w:t>
            </w:r>
          </w:p>
        </w:tc>
        <w:tc>
          <w:tcPr>
            <w:tcW w:type="dxa" w:w="69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Plus les preuves sont précoces et datées, plus elles pèsent</w:t>
            </w:r>
          </w:p>
        </w:tc>
      </w:tr>
    </w:tbl>
    <w:p>
      <w:r>
        <w:rPr>
          <w:sz w:val="20"/>
          <w:szCs w:val="20"/>
        </w:rPr>
        <w:t xml:space="preserve"/>
      </w:r>
    </w:p>
    <w:p>
      <w:pPr>
        <w:spacing w:after="120" w:before="240"/>
      </w:pPr>
      <w:r>
        <w:rPr>
          <w:rFonts w:ascii="Arial" w:cs="Arial" w:eastAsia="Arial" w:hAnsi="Arial"/>
          <w:b/>
          <w:bCs/>
          <w:color w:val="7B5EA7"/>
          <w:sz w:val="26"/>
          <w:szCs w:val="26"/>
        </w:rPr>
        <w:t xml:space="preserve">Posture stratégique en audition</w:t>
      </w:r>
    </w:p>
    <w:p>
      <w:pPr>
        <w:pStyle w:val="ListParagraph"/>
        <w:numPr>
          <w:ilvl w:val="0"/>
          <w:numId w:val="2"/>
        </w:numPr>
        <w:spacing w:after="40" w:before="40"/>
      </w:pPr>
      <w:r>
        <w:rPr>
          <w:rFonts w:ascii="Arial" w:cs="Arial" w:eastAsia="Arial" w:hAnsi="Arial"/>
          <w:b w:val="false"/>
          <w:bCs w:val="false"/>
          <w:sz w:val="20"/>
          <w:szCs w:val="20"/>
        </w:rPr>
        <w:t xml:space="preserve">Répondre court — une réponse par question, pas de récit spontané non sollicité</w:t>
      </w:r>
    </w:p>
    <w:p>
      <w:pPr>
        <w:pStyle w:val="ListParagraph"/>
        <w:numPr>
          <w:ilvl w:val="0"/>
          <w:numId w:val="2"/>
        </w:numPr>
        <w:spacing w:after="40" w:before="40"/>
      </w:pPr>
      <w:r>
        <w:rPr>
          <w:rFonts w:ascii="Arial" w:cs="Arial" w:eastAsia="Arial" w:hAnsi="Arial"/>
          <w:b w:val="false"/>
          <w:bCs w:val="false"/>
          <w:sz w:val="20"/>
          <w:szCs w:val="20"/>
        </w:rPr>
        <w:t xml:space="preserve">Répondre factuel — ce qui s'est passé, pas ce que ça signifie</w:t>
      </w:r>
    </w:p>
    <w:p>
      <w:pPr>
        <w:pStyle w:val="ListParagraph"/>
        <w:numPr>
          <w:ilvl w:val="0"/>
          <w:numId w:val="2"/>
        </w:numPr>
        <w:spacing w:after="40" w:before="40"/>
      </w:pPr>
      <w:r>
        <w:rPr>
          <w:rFonts w:ascii="Arial" w:cs="Arial" w:eastAsia="Arial" w:hAnsi="Arial"/>
          <w:b w:val="false"/>
          <w:bCs w:val="false"/>
          <w:sz w:val="20"/>
          <w:szCs w:val="20"/>
        </w:rPr>
        <w:t xml:space="preserve">Ne pas spéculer sur les intentions — décrire les actes et leurs effets</w:t>
      </w:r>
    </w:p>
    <w:p>
      <w:pPr>
        <w:pStyle w:val="ListParagraph"/>
        <w:numPr>
          <w:ilvl w:val="0"/>
          <w:numId w:val="2"/>
        </w:numPr>
        <w:spacing w:after="40" w:before="40"/>
      </w:pPr>
      <w:r>
        <w:rPr>
          <w:rFonts w:ascii="Arial" w:cs="Arial" w:eastAsia="Arial" w:hAnsi="Arial"/>
          <w:b w:val="false"/>
          <w:bCs w:val="false"/>
          <w:sz w:val="20"/>
          <w:szCs w:val="20"/>
        </w:rPr>
        <w:t xml:space="preserve">Ne pas combler les silences — l'inconfort du silence est un outil d'enquête</w:t>
      </w:r>
    </w:p>
    <w:p>
      <w:pPr>
        <w:pStyle w:val="ListParagraph"/>
        <w:numPr>
          <w:ilvl w:val="0"/>
          <w:numId w:val="2"/>
        </w:numPr>
        <w:spacing w:after="40" w:before="40"/>
      </w:pPr>
      <w:r>
        <w:rPr>
          <w:rFonts w:ascii="Arial" w:cs="Arial" w:eastAsia="Arial" w:hAnsi="Arial"/>
          <w:b w:val="false"/>
          <w:bCs w:val="false"/>
          <w:sz w:val="20"/>
          <w:szCs w:val="20"/>
        </w:rPr>
        <w:t xml:space="preserve">Ne pas qualifier pénalement l'adversaire — c'est le rôle du parquet</w:t>
      </w:r>
    </w:p>
    <w:p>
      <w:r>
        <w:rPr>
          <w:sz w:val="20"/>
          <w:szCs w:val="20"/>
        </w:rPr>
        <w:t xml:space="preserve"/>
      </w:r>
    </w:p>
    <w:p>
      <w:pPr>
        <w:spacing w:after="80" w:before="60"/>
      </w:pPr>
      <w:r>
        <w:rPr>
          <w:rFonts w:ascii="Arial" w:cs="Arial" w:eastAsia="Arial" w:hAnsi="Arial"/>
          <w:i/>
          <w:iCs/>
          <w:color w:val="7B5EA7"/>
          <w:sz w:val="20"/>
          <w:szCs w:val="20"/>
        </w:rPr>
        <w:t xml:space="preserve">Formules-clés : « À ma connaissance… » | « Selon les éléments en ma possession… » | « Je m'en tiens aux faits objectivables. »</w:t>
      </w:r>
    </w:p>
    <w:p>
      <w:r>
        <w:rPr>
          <w:sz w:val="20"/>
          <w:szCs w:val="20"/>
        </w:rPr>
        <w:t xml:space="preserve"/>
      </w:r>
    </w:p>
    <w:p>
      <w:pPr>
        <w:spacing w:after="120" w:before="240"/>
      </w:pPr>
      <w:r>
        <w:rPr>
          <w:rFonts w:ascii="Arial" w:cs="Arial" w:eastAsia="Arial" w:hAnsi="Arial"/>
          <w:b/>
          <w:bCs/>
          <w:color w:val="7B5EA7"/>
          <w:sz w:val="26"/>
          <w:szCs w:val="26"/>
        </w:rPr>
        <w:t xml:space="preserve">En cas de classement sans suite</w:t>
      </w:r>
    </w:p>
    <w:p>
      <w:pPr>
        <w:spacing w:after="80" w:before="60"/>
      </w:pPr>
      <w:r>
        <w:rPr>
          <w:rFonts w:ascii="Arial" w:cs="Arial" w:eastAsia="Arial" w:hAnsi="Arial"/>
          <w:sz w:val="20"/>
          <w:szCs w:val="20"/>
        </w:rPr>
        <w:t xml:space="preserve">Un classement signifie que les éléments sont jugés insuffisants, ou que la qualification n'est pas retenue, ou que la priorité pénale est ailleurs. Cela ne signifie pas nécessairement que les faits sont faux ou que la personne ment. Mais juridiquement, le dossier est clos à ce stade.</w:t>
      </w:r>
    </w:p>
    <w:p>
      <w:pPr>
        <w:pStyle w:val="ListParagraph"/>
        <w:numPr>
          <w:ilvl w:val="0"/>
          <w:numId w:val="2"/>
        </w:numPr>
        <w:spacing w:after="40" w:before="40"/>
      </w:pPr>
      <w:r>
        <w:rPr>
          <w:rFonts w:ascii="Arial" w:cs="Arial" w:eastAsia="Arial" w:hAnsi="Arial"/>
          <w:b w:val="false"/>
          <w:bCs w:val="false"/>
          <w:sz w:val="20"/>
          <w:szCs w:val="20"/>
        </w:rPr>
        <w:t xml:space="preserve">Option 1 : Recours devant le procureur général</w:t>
      </w:r>
    </w:p>
    <w:p>
      <w:pPr>
        <w:pStyle w:val="ListParagraph"/>
        <w:numPr>
          <w:ilvl w:val="0"/>
          <w:numId w:val="2"/>
        </w:numPr>
        <w:spacing w:after="40" w:before="40"/>
      </w:pPr>
      <w:r>
        <w:rPr>
          <w:rFonts w:ascii="Arial" w:cs="Arial" w:eastAsia="Arial" w:hAnsi="Arial"/>
          <w:b w:val="false"/>
          <w:bCs w:val="false"/>
          <w:sz w:val="20"/>
          <w:szCs w:val="20"/>
        </w:rPr>
        <w:t xml:space="preserve">Option 2 : Constitution de partie civile devant le juge d'instruction</w:t>
      </w:r>
    </w:p>
    <w:p>
      <w:pPr>
        <w:pStyle w:val="ListParagraph"/>
        <w:numPr>
          <w:ilvl w:val="0"/>
          <w:numId w:val="2"/>
        </w:numPr>
        <w:spacing w:after="40" w:before="40"/>
      </w:pPr>
      <w:r>
        <w:rPr>
          <w:rFonts w:ascii="Arial" w:cs="Arial" w:eastAsia="Arial" w:hAnsi="Arial"/>
          <w:b w:val="false"/>
          <w:bCs w:val="false"/>
          <w:sz w:val="20"/>
          <w:szCs w:val="20"/>
        </w:rPr>
        <w:t xml:space="preserve">Option 3 : Citation directe si infraction de 5e classe ou délictuelle</w:t>
      </w:r>
    </w:p>
    <w:p>
      <w:pPr>
        <w:pStyle w:val="ListParagraph"/>
        <w:numPr>
          <w:ilvl w:val="0"/>
          <w:numId w:val="2"/>
        </w:numPr>
        <w:spacing w:after="40" w:before="40"/>
      </w:pPr>
      <w:r>
        <w:rPr>
          <w:rFonts w:ascii="Arial" w:cs="Arial" w:eastAsia="Arial" w:hAnsi="Arial"/>
          <w:b w:val="false"/>
          <w:bCs w:val="false"/>
          <w:sz w:val="20"/>
          <w:szCs w:val="20"/>
        </w:rPr>
        <w:t xml:space="preserve">Option 4 : Saisine du Défenseur des droits si défaillance institutionnelle</w:t>
      </w:r>
    </w:p>
    <w:p>
      <w:r>
        <w:rPr>
          <w:sz w:val="20"/>
          <w:szCs w:val="20"/>
        </w:rPr>
        <w:t xml:space="preserve"/>
      </w:r>
    </w:p>
    <w:p>
      <w:pPr>
        <w:pStyle w:val="Heading1"/>
        <w:spacing w:after="160" w:before="320"/>
      </w:pPr>
      <w:r>
        <w:rPr>
          <w:rFonts w:ascii="Arial" w:cs="Arial" w:eastAsia="Arial" w:hAnsi="Arial"/>
          <w:b/>
          <w:bCs/>
          <w:color w:val="1A1A2E"/>
          <w:sz w:val="32"/>
          <w:szCs w:val="32"/>
        </w:rPr>
        <w:t xml:space="preserve">🪞  IV. ANTI-MANIPULATION JURIDIQUE</w:t>
      </w:r>
    </w:p>
    <w:p>
      <w:pPr>
        <w:spacing w:after="120" w:before="240"/>
      </w:pPr>
      <w:r>
        <w:rPr>
          <w:rFonts w:ascii="Arial" w:cs="Arial" w:eastAsia="Arial" w:hAnsi="Arial"/>
          <w:b/>
          <w:bCs/>
          <w:color w:val="7B5EA7"/>
          <w:sz w:val="26"/>
          <w:szCs w:val="26"/>
        </w:rPr>
        <w:t xml:space="preserve">La Plainte-Miroir / Procédure-Bâillon</w:t>
      </w:r>
    </w:p>
    <w:p>
      <w:pPr>
        <w:spacing w:after="80" w:before="60"/>
      </w:pPr>
      <w:r>
        <w:rPr>
          <w:rFonts w:ascii="Arial" w:cs="Arial" w:eastAsia="Arial" w:hAnsi="Arial"/>
          <w:sz w:val="20"/>
          <w:szCs w:val="20"/>
        </w:rPr>
        <w:t xml:space="preserve">La plainte-miroir est une contre-attaque stratégique : l'agresseur dépose une plainte contre la victime pour inverser les rôles et épuiser ses ressources. Reconnaissance : elle suit généralement une plainte légitime, elle est souvent vague (« harcèlement moral », « diffamation »), elle vise à créer la confusion narratrice.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Face à une plainte-miroir</w:t>
            </w:r>
          </w:p>
        </w:tc>
        <w:tc>
          <w:tcPr>
            <w:tcW w:type="dxa" w:w="35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Ne JAMAIS faire</w:t>
            </w:r>
          </w:p>
        </w:tc>
        <w:tc>
          <w:tcPr>
            <w:tcW w:type="dxa" w:w="35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Toujours faire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Réaction immédiate</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Paniquer, répondre émotionnellement, supprimer des preuves</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Documenter la chronologie — montrer l'antériorité</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Sur le fond</w:t>
            </w:r>
          </w:p>
        </w:tc>
        <w:tc>
          <w:tcPr>
            <w:tcW w:type="dxa" w:w="35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Attaquer, qualifier, diagnostiquer l'adversaire</w:t>
            </w:r>
          </w:p>
        </w:tc>
        <w:tc>
          <w:tcPr>
            <w:tcW w:type="dxa" w:w="35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Revenir aux faits : dates, actes, impacts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Sur la forme</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Multiplier les déclarations non coordonnées</w:t>
            </w:r>
          </w:p>
        </w:tc>
        <w:tc>
          <w:tcPr>
            <w:tcW w:type="dxa" w:w="35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Concentrer : un avocat, un récit cohérent</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Stratégie globale</w:t>
            </w:r>
          </w:p>
        </w:tc>
        <w:tc>
          <w:tcPr>
            <w:tcW w:type="dxa" w:w="35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Essayer de tout prouver en même temps</w:t>
            </w:r>
          </w:p>
        </w:tc>
        <w:tc>
          <w:tcPr>
            <w:tcW w:type="dxa" w:w="35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Prioriser les faits les plus solides et les plus récents</w:t>
            </w:r>
          </w:p>
        </w:tc>
      </w:tr>
    </w:tbl>
    <w:p>
      <w:r>
        <w:rPr>
          <w:sz w:val="20"/>
          <w:szCs w:val="20"/>
        </w:rPr>
        <w:t xml:space="preserve"/>
      </w:r>
    </w:p>
    <w:p>
      <w:pPr>
        <w:spacing w:after="120" w:before="240"/>
      </w:pPr>
      <w:r>
        <w:rPr>
          <w:rFonts w:ascii="Arial" w:cs="Arial" w:eastAsia="Arial" w:hAnsi="Arial"/>
          <w:b/>
          <w:bCs/>
          <w:color w:val="7B5EA7"/>
          <w:sz w:val="26"/>
          <w:szCs w:val="26"/>
        </w:rPr>
        <w:t xml:space="preserve">Le Saccage d'Impunité — Définition opératoire</w:t>
      </w:r>
    </w:p>
    <w:p>
      <w:pPr>
        <w:spacing w:after="80" w:before="60"/>
      </w:pPr>
      <w:r>
        <w:rPr>
          <w:rFonts w:ascii="Arial" w:cs="Arial" w:eastAsia="Arial" w:hAnsi="Arial"/>
          <w:sz w:val="20"/>
          <w:szCs w:val="20"/>
        </w:rPr>
        <w:t xml:space="preserve">Dynamique par laquelle l'auteur d'une violence cherche à récupérer ses effets personnels ou à maintenir une présence sur le territoire de la victime immédiatement après l'acte, tout en refusant d'en assumer la responsabilité. Objectif : effacer la trace, maintenir l'emprise, retourner la culpabilité.</w:t>
      </w:r>
    </w:p>
    <w:p>
      <w:r>
        <w:rPr>
          <w:sz w:val="20"/>
          <w:szCs w:val="20"/>
        </w:rPr>
        <w:t xml:space="preserve"/>
      </w:r>
    </w:p>
    <w:p>
      <w:pPr>
        <w:pBdr>
          <w:left w:val="thick" w:color="2D6A4F" w:sz="8"/>
        </w:pBdr>
        <w:spacing w:after="120" w:before="120"/>
        <w:ind w:left="360"/>
      </w:pPr>
      <w:r>
        <w:rPr>
          <w:rFonts w:ascii="Arial" w:cs="Arial" w:eastAsia="Arial" w:hAnsi="Arial"/>
          <w:b/>
          <w:bCs/>
          <w:color w:val="2D6A4F"/>
          <w:sz w:val="20"/>
          <w:szCs w:val="20"/>
        </w:rPr>
        <w:t xml:space="preserve">✅ Protocole face au Saccage d'Impunité : Aucun contact direct. Tout objet laissé constitue un outil de pression — en informer son avocat. Communiquer uniquement par écrit tracé. Conserver tous les échanges.</w:t>
      </w:r>
    </w:p>
    <w:p>
      <w:r>
        <w:rPr>
          <w:sz w:val="20"/>
          <w:szCs w:val="20"/>
        </w:rPr>
        <w:t xml:space="preserve"/>
      </w:r>
    </w:p>
    <w:p>
      <w:pPr>
        <w:spacing w:after="120" w:before="240"/>
      </w:pPr>
      <w:r>
        <w:rPr>
          <w:rFonts w:ascii="Arial" w:cs="Arial" w:eastAsia="Arial" w:hAnsi="Arial"/>
          <w:b/>
          <w:bCs/>
          <w:color w:val="7B5EA7"/>
          <w:sz w:val="26"/>
          <w:szCs w:val="26"/>
        </w:rPr>
        <w:t xml:space="preserve">DARVO — Détection et neutralisation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Étape DARVO</w:t>
            </w:r>
          </w:p>
        </w:tc>
        <w:tc>
          <w:tcPr>
            <w:tcW w:type="dxa" w:w="34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Ce que dit l'agresseur</w:t>
            </w:r>
          </w:p>
        </w:tc>
        <w:tc>
          <w:tcPr>
            <w:tcW w:type="dxa" w:w="38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Réponse structurelle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 — Deny (Nier)</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Je n'ai jamais fait ça » / « Tu inventes »</w:t>
            </w:r>
          </w:p>
        </w:tc>
        <w:tc>
          <w:tcPr>
            <w:tcW w:type="dxa" w:w="3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Dater et matérialiser chaque fait. L'antériorité prime.</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 — Attack (Attaquer)</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Tu es instable » / « Tu harcèles »</w:t>
            </w:r>
          </w:p>
        </w:tc>
        <w:tc>
          <w:tcPr>
            <w:tcW w:type="dxa" w:w="38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Ne pas répondre aux qualifications. Revenir aux faits.</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 — Reverse (Inverser)</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C'est toi l'agresseur » / « Tu me persécutes »</w:t>
            </w:r>
          </w:p>
        </w:tc>
        <w:tc>
          <w:tcPr>
            <w:tcW w:type="dxa" w:w="3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Cartographier l'asymétrie de pouvoir réelle. Qui dépend de qui ?</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V — Victim (Se victimiser)</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Je suis la vraie victime ici »</w:t>
            </w:r>
          </w:p>
        </w:tc>
        <w:tc>
          <w:tcPr>
            <w:tcW w:type="dxa" w:w="38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La chronologie et l'antériorité documentée parlent d'elles-mêmes.</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O — Offender (Mettre en faute)</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Tu m'as forcé à faire ça »</w:t>
            </w:r>
          </w:p>
        </w:tc>
        <w:tc>
          <w:tcPr>
            <w:tcW w:type="dxa" w:w="3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L'intention n'annule pas l'impact. Chaque acte reste responsable.</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V. BIAIS INSTITUTIONNELS — LES RECONNAÎTRE</w:t>
      </w:r>
    </w:p>
    <w:p>
      <w:pPr>
        <w:spacing w:after="80" w:before="60"/>
      </w:pPr>
      <w:r>
        <w:rPr>
          <w:rFonts w:ascii="Arial" w:cs="Arial" w:eastAsia="Arial" w:hAnsi="Arial"/>
          <w:sz w:val="20"/>
          <w:szCs w:val="20"/>
        </w:rPr>
        <w:t xml:space="preserve">Les institutions ont des angles morts structurels. Les connaître permet de s'y préparer sans hostilité inutile.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Biais</w:t>
            </w:r>
          </w:p>
        </w:tc>
        <w:tc>
          <w:tcPr>
            <w:tcW w:type="dxa" w:w="34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388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Contremesure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Biais de crédibilité</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Calme apparent = fiabilité / émotion = instabilité</w:t>
            </w:r>
          </w:p>
        </w:tc>
        <w:tc>
          <w:tcPr>
            <w:tcW w:type="dxa" w:w="3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Documenter avant audition. Amener les preuves, pas les émotions.</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Biais de cohérence narrative</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Le récit le plus lisse paraît le plus vrai</w:t>
            </w:r>
          </w:p>
        </w:tc>
        <w:tc>
          <w:tcPr>
            <w:tcW w:type="dxa" w:w="38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Récit court, factuels, daté. Pas d'interprétations.</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Biais d'autorité</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Le statut social protège implicitement l'agresseur</w:t>
            </w:r>
          </w:p>
        </w:tc>
        <w:tc>
          <w:tcPr>
            <w:tcW w:type="dxa" w:w="3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Preuves matérielles indépendantes du statut.</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Biais de normalité</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Personne « fonctionnelle » = plus crédible</w:t>
            </w:r>
          </w:p>
        </w:tc>
        <w:tc>
          <w:tcPr>
            <w:tcW w:type="dxa" w:w="38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Certificats médicaux précoces. Le coût de la survie visible.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Neutralité de façade</w:t>
            </w:r>
          </w:p>
        </w:tc>
        <w:tc>
          <w:tcPr>
            <w:tcW w:type="dxa" w:w="3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On traite les deux parties de manière égale »</w:t>
            </w:r>
          </w:p>
        </w:tc>
        <w:tc>
          <w:tcPr>
            <w:tcW w:type="dxa" w:w="38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Pointer l'asymétrie structurelle — ce n'est pas un conflit entre égaux.</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Silence procédural</w:t>
            </w:r>
          </w:p>
        </w:tc>
        <w:tc>
          <w:tcPr>
            <w:tcW w:type="dxa" w:w="34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Paperasse comme neutralisation de la plainte</w:t>
            </w:r>
          </w:p>
        </w:tc>
        <w:tc>
          <w:tcPr>
            <w:tcW w:type="dxa" w:w="388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Relances écrites datées. Accusés de réception systématiques.</w:t>
            </w:r>
          </w:p>
        </w:tc>
      </w:tr>
    </w:tbl>
    <w:p>
      <w:r>
        <w:rPr>
          <w:sz w:val="20"/>
          <w:szCs w:val="20"/>
        </w:rPr>
        <w:t xml:space="preserve"/>
      </w:r>
    </w:p>
    <w:p>
      <w:pPr>
        <w:pBdr>
          <w:left w:val="thick" w:color="8B1A1A" w:sz="8"/>
        </w:pBdr>
        <w:spacing w:after="120" w:before="120"/>
        <w:ind w:left="360"/>
      </w:pPr>
      <w:r>
        <w:rPr>
          <w:rFonts w:ascii="Arial" w:cs="Arial" w:eastAsia="Arial" w:hAnsi="Arial"/>
          <w:b/>
          <w:bCs/>
          <w:color w:val="8B1A1A"/>
          <w:sz w:val="20"/>
          <w:szCs w:val="20"/>
        </w:rPr>
        <w:t xml:space="preserve">⚠️ Attention médiation : La médiation n'est pas adaptée lorsqu'il existe une asymétrie de pouvoir ou une situation de violence. Elle peut invisibiliser la violence et exposer la victime à une pression supplémentaire. Référence : Convention d'Istanbul.</w:t>
      </w:r>
    </w:p>
    <w:p>
      <w:r>
        <w:rPr>
          <w:sz w:val="20"/>
          <w:szCs w:val="20"/>
        </w:rPr>
        <w:t xml:space="preserve"/>
      </w:r>
    </w:p>
    <w:p>
      <w:pPr>
        <w:pStyle w:val="Heading1"/>
        <w:spacing w:after="160" w:before="320"/>
      </w:pPr>
      <w:r>
        <w:rPr>
          <w:rFonts w:ascii="Arial" w:cs="Arial" w:eastAsia="Arial" w:hAnsi="Arial"/>
          <w:b/>
          <w:bCs/>
          <w:color w:val="1A1A2E"/>
          <w:sz w:val="32"/>
          <w:szCs w:val="32"/>
        </w:rPr>
        <w:t xml:space="preserve">🔍  VI. SCANNER ANTI-BIAIS DE L'ANALYSTE</w:t>
      </w:r>
    </w:p>
    <w:p>
      <w:pPr>
        <w:spacing w:after="80" w:before="60"/>
      </w:pPr>
      <w:r>
        <w:rPr>
          <w:rFonts w:ascii="Arial" w:cs="Arial" w:eastAsia="Arial" w:hAnsi="Arial"/>
          <w:sz w:val="20"/>
          <w:szCs w:val="20"/>
        </w:rPr>
        <w:t xml:space="preserve">Avant toute analyse ou démarche, vérifier ces points. Si ≥ 3 cases cochées → suspendre et revenir aux faits.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Question d'auto-vérification</w:t>
            </w:r>
          </w:p>
        </w:tc>
        <w:tc>
          <w:tcPr>
            <w:tcW w:type="dxa" w:w="3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Si OUI → Action</w:t>
            </w:r>
          </w:p>
        </w:tc>
      </w:tr>
      <w:tr>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Suis-je influencé par une première impression ? (effet de halo)</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Revenir aux faits bruts, ignorer l'apparence</w:t>
            </w:r>
          </w:p>
        </w:tc>
      </w:tr>
      <w:tr>
        <w:tc>
          <w:tcPr>
            <w:tcW w:type="dxa" w:w="5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Ai-je tendance à croire davantage une personne ? (biais d'autorité/genre)</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Appliquer les mêmes critères à toutes les parties</w:t>
            </w:r>
          </w:p>
        </w:tc>
      </w:tr>
      <w:tr>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Suis-je en train de confirmer une hypothèse déjà formée ?</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Chercher activement les éléments qui contredisent</w:t>
            </w:r>
          </w:p>
        </w:tc>
      </w:tr>
      <w:tr>
        <w:tc>
          <w:tcPr>
            <w:tcW w:type="dxa" w:w="5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Ai-je minimisé des faits qui me mettent mal à l'aise ?</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Nommer le malaise, puis analyser le fait</w:t>
            </w:r>
          </w:p>
        </w:tc>
      </w:tr>
      <w:tr>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Ai-je interprété au lieu de rester sur des faits observables ?</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Séparer description et interprétation</w:t>
            </w:r>
          </w:p>
        </w:tc>
      </w:tr>
      <w:tr>
        <w:tc>
          <w:tcPr>
            <w:tcW w:type="dxa" w:w="5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Ai-je ignoré une asymétrie de pouvoir ?</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Cartographier le rapport de forces réel</w:t>
            </w:r>
          </w:p>
        </w:tc>
      </w:tr>
      <w:tr>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Ai-je traité deux personnes comme égales alors qu'elles ne le sont pas ?</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Différencier équité et équivalence</w:t>
            </w:r>
          </w:p>
        </w:tc>
      </w:tr>
      <w:tr>
        <w:tc>
          <w:tcPr>
            <w:tcW w:type="dxa" w:w="5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Ai-je confondu intention et impact ?</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L'intention est secondaire — l'impact est le fait</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VII. PROTOCOLE STOP-R — TRIAGE D'URGENCE</w:t>
      </w:r>
    </w:p>
    <w:p>
      <w:pPr>
        <w:pBdr>
          <w:left w:val="thick" w:color="C9A227" w:sz="8"/>
        </w:pBdr>
        <w:spacing w:after="120" w:before="120"/>
        <w:ind w:left="360"/>
        <w:jc w:val="center"/>
      </w:pPr>
      <w:r>
        <w:rPr>
          <w:rFonts w:ascii="Arial" w:cs="Arial" w:eastAsia="Arial" w:hAnsi="Arial"/>
          <w:b/>
          <w:bCs/>
          <w:color w:val="1A1A2E"/>
          <w:sz w:val="22"/>
          <w:szCs w:val="22"/>
        </w:rPr>
        <w:t xml:space="preserve">Sécurité → Trajectoire → Observation → Pouvoir → Réversibilité</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c>
          <w:tcPr>
            <w:tcW w:type="dxa" w:w="1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Étape</w:t>
            </w:r>
          </w:p>
        </w:tc>
        <w:tc>
          <w:tcPr>
            <w:tcW w:type="dxa" w:w="27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5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Action immédiate</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 — Sécurité</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Y a-t-il un danger immédiat pour soi ou autrui ?</w:t>
            </w:r>
          </w:p>
        </w:tc>
        <w:tc>
          <w:tcPr>
            <w:tcW w:type="dxa" w:w="5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Si OUI → sortie physique, appel 17/3919, mise en sécurité avant tout</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T — Trajectoire</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Est-ce ponctuel ou répété ? Pattern ou incident ?</w:t>
            </w:r>
          </w:p>
        </w:tc>
        <w:tc>
          <w:tcPr>
            <w:tcW w:type="dxa" w:w="5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Dater, compter, identifier la courbe : amélioration ou aggravation</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O — Observation</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Quels faits sont objectivables ? Quelles preuves existent ?</w:t>
            </w:r>
          </w:p>
        </w:tc>
        <w:tc>
          <w:tcPr>
            <w:tcW w:type="dxa" w:w="5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Sauvegarder immédiatement : captures, mails, messages — avec dates</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 — Pouvoir</w:t>
            </w:r>
          </w:p>
        </w:tc>
        <w:tc>
          <w:tcPr>
            <w:tcW w:type="dxa" w:w="27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Qui détient quoi ? Quelle asymétrie réelle ?</w:t>
            </w:r>
          </w:p>
        </w:tc>
        <w:tc>
          <w:tcPr>
            <w:tcW w:type="dxa" w:w="5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Cartographier : logement, finances, réseau, crédibilité sociale</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 — Réversibilité</w:t>
            </w:r>
          </w:p>
        </w:tc>
        <w:tc>
          <w:tcPr>
            <w:tcW w:type="dxa" w:w="2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La personne responsable ajuste-t-elle ou répète-t-elle ?</w:t>
            </w:r>
          </w:p>
        </w:tc>
        <w:tc>
          <w:tcPr>
            <w:tcW w:type="dxa" w:w="5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Observer la trajectoire sur 30 jours — pas les promesses</w:t>
            </w:r>
          </w:p>
        </w:tc>
      </w:tr>
    </w:tbl>
    <w:p>
      <w:r>
        <w:rPr>
          <w:sz w:val="20"/>
          <w:szCs w:val="20"/>
        </w:rPr>
        <w:t xml:space="preserve"/>
      </w:r>
    </w:p>
    <w:p>
      <w:pPr>
        <w:spacing w:after="120" w:before="240"/>
      </w:pPr>
      <w:r>
        <w:rPr>
          <w:rFonts w:ascii="Arial" w:cs="Arial" w:eastAsia="Arial" w:hAnsi="Arial"/>
          <w:b/>
          <w:bCs/>
          <w:color w:val="7B5EA7"/>
          <w:sz w:val="26"/>
          <w:szCs w:val="26"/>
        </w:rPr>
        <w:t xml:space="preserve">Règle de triage</w:t>
      </w:r>
    </w:p>
    <w:p>
      <w:pPr>
        <w:pStyle w:val="ListParagraph"/>
        <w:numPr>
          <w:ilvl w:val="0"/>
          <w:numId w:val="2"/>
        </w:numPr>
        <w:spacing w:after="40" w:before="40"/>
      </w:pPr>
      <w:r>
        <w:rPr>
          <w:rFonts w:ascii="Arial" w:cs="Arial" w:eastAsia="Arial" w:hAnsi="Arial"/>
          <w:b w:val="false"/>
          <w:bCs w:val="false"/>
          <w:sz w:val="20"/>
          <w:szCs w:val="20"/>
        </w:rPr>
        <w:t xml:space="preserve">Si le réel est brouillé → Clarifier d'abord</w:t>
      </w:r>
    </w:p>
    <w:p>
      <w:pPr>
        <w:pStyle w:val="ListParagraph"/>
        <w:numPr>
          <w:ilvl w:val="0"/>
          <w:numId w:val="2"/>
        </w:numPr>
        <w:spacing w:after="40" w:before="40"/>
      </w:pPr>
      <w:r>
        <w:rPr>
          <w:rFonts w:ascii="Arial" w:cs="Arial" w:eastAsia="Arial" w:hAnsi="Arial"/>
          <w:b w:val="false"/>
          <w:bCs w:val="false"/>
          <w:sz w:val="20"/>
          <w:szCs w:val="20"/>
        </w:rPr>
        <w:t xml:space="preserve">Si le coût énergétique explose (dette 3+) → Protéger avant tout</w:t>
      </w:r>
    </w:p>
    <w:p>
      <w:pPr>
        <w:pStyle w:val="ListParagraph"/>
        <w:numPr>
          <w:ilvl w:val="0"/>
          <w:numId w:val="2"/>
        </w:numPr>
        <w:spacing w:after="40" w:before="40"/>
      </w:pPr>
      <w:r>
        <w:rPr>
          <w:rFonts w:ascii="Arial" w:cs="Arial" w:eastAsia="Arial" w:hAnsi="Arial"/>
          <w:b w:val="false"/>
          <w:bCs w:val="false"/>
          <w:sz w:val="20"/>
          <w:szCs w:val="20"/>
        </w:rPr>
        <w:t xml:space="preserve">Si le pattern persiste malgré confrontation → Cartographier et documenter</w:t>
      </w:r>
    </w:p>
    <w:p>
      <w:pPr>
        <w:pStyle w:val="ListParagraph"/>
        <w:numPr>
          <w:ilvl w:val="0"/>
          <w:numId w:val="2"/>
        </w:numPr>
        <w:spacing w:after="40" w:before="40"/>
      </w:pPr>
      <w:r>
        <w:rPr>
          <w:rFonts w:ascii="Arial" w:cs="Arial" w:eastAsia="Arial" w:hAnsi="Arial"/>
          <w:b w:val="false"/>
          <w:bCs w:val="false"/>
          <w:sz w:val="20"/>
          <w:szCs w:val="20"/>
        </w:rPr>
        <w:t xml:space="preserve">Si danger physique → Agir immédiatement — Traiter ensuite</w:t>
      </w:r>
    </w:p>
    <w:p>
      <w:r>
        <w:rPr>
          <w:sz w:val="20"/>
          <w:szCs w:val="20"/>
        </w:rPr>
        <w:t xml:space="preserve"/>
      </w:r>
    </w:p>
    <w:p>
      <w:pPr>
        <w:pStyle w:val="Heading1"/>
        <w:spacing w:after="160" w:before="320"/>
      </w:pPr>
      <w:r>
        <w:rPr>
          <w:rFonts w:ascii="Arial" w:cs="Arial" w:eastAsia="Arial" w:hAnsi="Arial"/>
          <w:b/>
          <w:bCs/>
          <w:color w:val="1A1A2E"/>
          <w:sz w:val="32"/>
          <w:szCs w:val="32"/>
        </w:rPr>
        <w:t xml:space="preserve">🧠  VIII. GASLIGHTING INSTITUTIONNEL</w:t>
      </w:r>
    </w:p>
    <w:p>
      <w:pPr>
        <w:spacing w:after="80" w:before="60"/>
      </w:pPr>
      <w:r>
        <w:rPr>
          <w:rFonts w:ascii="Arial" w:cs="Arial" w:eastAsia="Arial" w:hAnsi="Arial"/>
          <w:sz w:val="20"/>
          <w:szCs w:val="20"/>
        </w:rPr>
        <w:t xml:space="preserve">Le gaslighting institutionnel survient quand un système (médical, juridique, social) utilise son autorité pour mettre en doute la perception légitime d'une personne vulnérable. Il produit une violence secondaire : la personne qui a subi une première violence voit sa parole invalidée par l'institution censée la protéger.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Forme</w:t>
            </w:r>
          </w:p>
        </w:tc>
        <w:tc>
          <w:tcPr>
            <w:tcW w:type="dxa" w:w="3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Manifestation</w:t>
            </w:r>
          </w:p>
        </w:tc>
        <w:tc>
          <w:tcPr>
            <w:tcW w:type="dxa" w:w="41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Réponse structurelle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Pathologisation de la lucidité</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Vous semblez très émue / instable »</w:t>
            </w:r>
          </w:p>
        </w:tc>
        <w:tc>
          <w:tcPr>
            <w:tcW w:type="dxa" w:w="4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Certificat médical précoce. Les faits ne sont pas des émotions.</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Équivalence forcée</w:t>
            </w:r>
          </w:p>
        </w:tc>
        <w:tc>
          <w:tcPr>
            <w:tcW w:type="dxa" w:w="3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Les deux parties ont leur part de responsabilité »</w:t>
            </w:r>
          </w:p>
        </w:tc>
        <w:tc>
          <w:tcPr>
            <w:tcW w:type="dxa" w:w="4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Cartographier l'asymétrie. Violence ≠ conflit.</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Neutralité complice</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Nous ne pouvons pas prendre parti »</w:t>
            </w:r>
          </w:p>
        </w:tc>
        <w:tc>
          <w:tcPr>
            <w:tcW w:type="dxa" w:w="4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Demander : quelle protection concrète ? Quel délai ? Par écrit.</w:t>
            </w:r>
          </w:p>
        </w:tc>
      </w:tr>
      <w:tr>
        <w:tc>
          <w:tcPr>
            <w:tcW w:type="dxa" w:w="2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Minimisation technique</w:t>
            </w:r>
          </w:p>
        </w:tc>
        <w:tc>
          <w:tcPr>
            <w:tcW w:type="dxa" w:w="3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 Ce n'est pas qualifiable pénalement »</w:t>
            </w:r>
          </w:p>
        </w:tc>
        <w:tc>
          <w:tcPr>
            <w:tcW w:type="dxa" w:w="41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Séparer qualification pénale et réalité des faits. Les deux coexistent.</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Retournement accusatoire</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 En déposant plainte vous aggravez la situation »</w:t>
            </w:r>
          </w:p>
        </w:tc>
        <w:tc>
          <w:tcPr>
            <w:tcW w:type="dxa" w:w="4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Nommer le mécanisme calmement. Demander des garanties écrites.</w:t>
            </w:r>
          </w:p>
        </w:tc>
      </w:tr>
    </w:tbl>
    <w:p>
      <w:r>
        <w:rPr>
          <w:sz w:val="20"/>
          <w:szCs w:val="20"/>
        </w:rPr>
        <w:t xml:space="preserve"/>
      </w:r>
    </w:p>
    <w:p>
      <w:pPr>
        <w:pBdr>
          <w:left w:val="thick" w:color="2D6A4F" w:sz="8"/>
        </w:pBdr>
        <w:spacing w:after="120" w:before="120"/>
        <w:ind w:left="360"/>
      </w:pPr>
      <w:r>
        <w:rPr>
          <w:rFonts w:ascii="Arial" w:cs="Arial" w:eastAsia="Arial" w:hAnsi="Arial"/>
          <w:b/>
          <w:bCs/>
          <w:color w:val="2D6A4F"/>
          <w:sz w:val="20"/>
          <w:szCs w:val="20"/>
        </w:rPr>
        <w:t xml:space="preserve">✅ Principe : La neutralité face à une asymétrie non compensée n'est pas de l'impartialité — c'est de la complicité structurelle. L'impartialité reconnaît l'asymétrie et la compense.</w:t>
      </w:r>
    </w:p>
    <w:p>
      <w:r>
        <w:rPr>
          <w:sz w:val="20"/>
          <w:szCs w:val="20"/>
        </w:rPr>
        <w:t xml:space="preserve"/>
      </w:r>
    </w:p>
    <w:p>
      <w:pPr>
        <w:pStyle w:val="Heading1"/>
        <w:spacing w:after="160" w:before="320"/>
      </w:pPr>
      <w:r>
        <w:rPr>
          <w:rFonts w:ascii="Arial" w:cs="Arial" w:eastAsia="Arial" w:hAnsi="Arial"/>
          <w:b/>
          <w:bCs/>
          <w:color w:val="1A1A2E"/>
          <w:sz w:val="32"/>
          <w:szCs w:val="32"/>
        </w:rPr>
        <w:t xml:space="preserve">📐  IX. INDICE DE COHÉRENCE APPLIQUÉ — C = ΔI / ΔE</w:t>
      </w:r>
    </w:p>
    <w:p>
      <w:pPr>
        <w:spacing w:after="80" w:before="60"/>
      </w:pPr>
      <w:r>
        <w:rPr>
          <w:rFonts w:ascii="Arial" w:cs="Arial" w:eastAsia="Arial" w:hAnsi="Arial"/>
          <w:sz w:val="20"/>
          <w:szCs w:val="20"/>
        </w:rPr>
        <w:t xml:space="preserve">Dans un contexte de défense juridique ou de protection, l'Indice de Cohérence permet d'évaluer la viabilité d'un système relationnel ou institutionnel indépendamment des déclarations d'intention.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Valeur C</w:t>
            </w:r>
          </w:p>
        </w:tc>
        <w:tc>
          <w:tcPr>
            <w:tcW w:type="dxa" w:w="45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Lecture systémique</w:t>
            </w:r>
          </w:p>
        </w:tc>
        <w:tc>
          <w:tcPr>
            <w:tcW w:type="dxa" w:w="32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Action recommandée</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 &gt; 1</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Système viable — l'énergie investie produit de la clarté et de la sécurité</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Maintenir, nourrir, développer</w:t>
            </w:r>
          </w:p>
        </w:tc>
      </w:tr>
      <w:tr>
        <w:tc>
          <w:tcPr>
            <w:tcW w:type="dxa" w:w="1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0,5 &lt; C ≤ 1</w:t>
            </w:r>
          </w:p>
        </w:tc>
        <w:tc>
          <w:tcPr>
            <w:tcW w:type="dxa" w:w="45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Système fragile — coût supérieur aux bénéfices</w:t>
            </w:r>
          </w:p>
        </w:tc>
        <w:tc>
          <w:tcPr>
            <w:tcW w:type="dxa" w:w="3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Alerte — évaluation, médiation avec tiers garant</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 ≤ 0,5</w:t>
            </w:r>
          </w:p>
        </w:tc>
        <w:tc>
          <w:tcPr>
            <w:tcW w:type="dxa" w:w="45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Système destructeur — deux fois plus de souffrance que de sens</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Protection urgente — extraction si nécessaire</w:t>
            </w:r>
          </w:p>
        </w:tc>
      </w:tr>
    </w:tbl>
    <w:p>
      <w:r>
        <w:rPr>
          <w:sz w:val="20"/>
          <w:szCs w:val="20"/>
        </w:rPr>
        <w:t xml:space="preserve"/>
      </w:r>
    </w:p>
    <w:p>
      <w:pPr>
        <w:spacing w:after="80" w:before="60"/>
      </w:pPr>
      <w:r>
        <w:rPr>
          <w:rFonts w:ascii="Arial" w:cs="Arial" w:eastAsia="Arial" w:hAnsi="Arial"/>
          <w:sz w:val="20"/>
          <w:szCs w:val="20"/>
        </w:rPr>
        <w:t xml:space="preserve">Application pratique : si après 30 jours d'application d'une mesure (séparation, médiation, protocole de contact), la VFC remonte et la clarté narrative augmente → C augmente. Si la dette émotionnelle continue de croître et la mémoire factuelle se fragmente → C diminue.</w:t>
      </w:r>
    </w:p>
    <w:p>
      <w:r>
        <w:rPr>
          <w:sz w:val="20"/>
          <w:szCs w:val="20"/>
        </w:rPr>
        <w:t xml:space="preserve"/>
      </w:r>
    </w:p>
    <w:p>
      <w:pPr>
        <w:pStyle w:val="Heading1"/>
        <w:spacing w:after="160" w:before="320"/>
      </w:pPr>
      <w:r>
        <w:rPr>
          <w:rFonts w:ascii="Arial" w:cs="Arial" w:eastAsia="Arial" w:hAnsi="Arial"/>
          <w:b/>
          <w:bCs/>
          <w:color w:val="1A1A2E"/>
          <w:sz w:val="32"/>
          <w:szCs w:val="32"/>
        </w:rPr>
        <w:t xml:space="preserve">📞  X. RESSOURCES —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336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Ressource</w:t>
            </w:r>
          </w:p>
        </w:tc>
        <w:tc>
          <w:tcPr>
            <w:tcW w:type="dxa" w:w="3600"/>
            <w:tcBorders>
              <w:top w:val="single" w:color="CCCCCC" w:sz="1"/>
              <w:left w:val="single" w:color="CCCCCC" w:sz="1"/>
              <w:bottom w:val="single" w:color="CCCCCC" w:sz="1"/>
              <w:right w:val="single" w:color="CCCCCC" w:sz="1"/>
            </w:tcBorders>
            <w:shd w:fill="2E2E4E"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Violences conjugales / intrafamiliales</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3919 (Violence Femmes Info)</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Gratuit, 24h/24, anonyme</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Danger immédiat</w:t>
            </w:r>
          </w:p>
        </w:tc>
        <w:tc>
          <w:tcPr>
            <w:tcW w:type="dxa" w:w="33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Police / Gendarmerie</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17</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Détresse psychologique</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Numéro national de prévention du suicide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3114</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Violences sexuelles</w:t>
            </w:r>
          </w:p>
        </w:tc>
        <w:tc>
          <w:tcPr>
            <w:tcW w:type="dxa" w:w="33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FNSF / associations locales</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Via 3919 ou www.stop-violences-femmes.gouv.fr</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Aide juridictionnelle</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CDAD (Conseil Départemental d'Accès au Droit)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Via mairie ou tribunal</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Accompagnement victimes</w:t>
            </w:r>
          </w:p>
        </w:tc>
        <w:tc>
          <w:tcPr>
            <w:tcW w:type="dxa" w:w="33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Bureau d'Aide aux Victimes (BAV)</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Dans chaque TGI</w:t>
            </w:r>
          </w:p>
        </w:tc>
      </w:tr>
      <w:tr>
        <w:tc>
          <w:tcPr>
            <w:tcW w:type="dxa" w:w="2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Défenseur des droits</w:t>
            </w:r>
          </w:p>
        </w:tc>
        <w:tc>
          <w:tcPr>
            <w:tcW w:type="dxa" w:w="3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Défaillances institutionnelles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7"/>
                <w:szCs w:val="17"/>
              </w:rPr>
              <w:t xml:space="preserve">www.defenseurdesdroits.fr</w:t>
            </w:r>
          </w:p>
        </w:tc>
      </w:tr>
      <w:tr>
        <w:tc>
          <w:tcPr>
            <w:tcW w:type="dxa" w:w="24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Médecine légale</w:t>
            </w:r>
          </w:p>
        </w:tc>
        <w:tc>
          <w:tcPr>
            <w:tcW w:type="dxa" w:w="336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Constat d'ITT, certificat médical</w:t>
            </w:r>
          </w:p>
        </w:tc>
        <w:tc>
          <w:tcPr>
            <w:tcW w:type="dxa" w:w="3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sz w:val="17"/>
                <w:szCs w:val="17"/>
              </w:rPr>
              <w:t xml:space="preserve">Urgences hospitalières — demander expressément</w:t>
            </w:r>
          </w:p>
        </w:tc>
      </w:tr>
    </w:tbl>
    <w:p>
      <w:r>
        <w:rPr>
          <w:sz w:val="20"/>
          <w:szCs w:val="20"/>
        </w:rPr>
        <w:t xml:space="preserve"/>
      </w:r>
    </w:p>
    <w:p>
      <w:pPr>
        <w:pStyle w:val="Heading1"/>
        <w:spacing w:after="160" w:before="320"/>
      </w:pPr>
      <w:r>
        <w:rPr>
          <w:rFonts w:ascii="Arial" w:cs="Arial" w:eastAsia="Arial" w:hAnsi="Arial"/>
          <w:b/>
          <w:bCs/>
          <w:color w:val="1A1A2E"/>
          <w:sz w:val="32"/>
          <w:szCs w:val="32"/>
        </w:rPr>
        <w:t xml:space="preserve">🔏  XI. SERMENT DE DÉFENSE IRRÉPROCHABLE</w:t>
      </w:r>
    </w:p>
    <w:p>
      <w:pPr>
        <w:spacing w:after="80" w:before="60"/>
      </w:pPr>
      <w:r>
        <w:rPr>
          <w:rFonts w:ascii="Arial" w:cs="Arial" w:eastAsia="Arial" w:hAnsi="Arial"/>
          <w:sz w:val="20"/>
          <w:szCs w:val="20"/>
        </w:rPr>
        <w:t xml:space="preserve">Ce protocole n'est pas une arme. Il est une armure. La différence est fondamentale : l'armure protège sans attaquer, elle absorbe sans détruire, elle permet d'avancer sans s'effondrer.</w:t>
      </w:r>
    </w:p>
    <w:p>
      <w:r>
        <w:rPr>
          <w:sz w:val="20"/>
          <w:szCs w:val="20"/>
        </w:rPr>
        <w:t xml:space="preserve"/>
      </w:r>
    </w:p>
    <w:p>
      <w:pPr>
        <w:spacing w:after="120" w:before="240"/>
      </w:pPr>
      <w:r>
        <w:rPr>
          <w:rFonts w:ascii="Arial" w:cs="Arial" w:eastAsia="Arial" w:hAnsi="Arial"/>
          <w:b/>
          <w:bCs/>
          <w:color w:val="7B5EA7"/>
          <w:sz w:val="26"/>
          <w:szCs w:val="26"/>
        </w:rPr>
        <w:t xml:space="preserve">Je m'engage à :</w:t>
      </w:r>
    </w:p>
    <w:p>
      <w:pPr>
        <w:pStyle w:val="ListParagraph"/>
        <w:numPr>
          <w:ilvl w:val="0"/>
          <w:numId w:val="2"/>
        </w:numPr>
        <w:spacing w:after="40" w:before="40"/>
      </w:pPr>
      <w:r>
        <w:rPr>
          <w:rFonts w:ascii="Arial" w:cs="Arial" w:eastAsia="Arial" w:hAnsi="Arial"/>
          <w:b w:val="false"/>
          <w:bCs w:val="false"/>
          <w:sz w:val="20"/>
          <w:szCs w:val="20"/>
        </w:rPr>
        <w:t xml:space="preserve">Documenter les faits avec précision et objectivité — dates, actes, impacts</w:t>
      </w:r>
    </w:p>
    <w:p>
      <w:pPr>
        <w:pStyle w:val="ListParagraph"/>
        <w:numPr>
          <w:ilvl w:val="0"/>
          <w:numId w:val="2"/>
        </w:numPr>
        <w:spacing w:after="40" w:before="40"/>
      </w:pPr>
      <w:r>
        <w:rPr>
          <w:rFonts w:ascii="Arial" w:cs="Arial" w:eastAsia="Arial" w:hAnsi="Arial"/>
          <w:b w:val="false"/>
          <w:bCs w:val="false"/>
          <w:sz w:val="20"/>
          <w:szCs w:val="20"/>
        </w:rPr>
        <w:t xml:space="preserve">Ne jamais qualifier pénalement les actes d'autrui dans un document officiel</w:t>
      </w:r>
    </w:p>
    <w:p>
      <w:pPr>
        <w:pStyle w:val="ListParagraph"/>
        <w:numPr>
          <w:ilvl w:val="0"/>
          <w:numId w:val="2"/>
        </w:numPr>
        <w:spacing w:after="40" w:before="40"/>
      </w:pPr>
      <w:r>
        <w:rPr>
          <w:rFonts w:ascii="Arial" w:cs="Arial" w:eastAsia="Arial" w:hAnsi="Arial"/>
          <w:b w:val="false"/>
          <w:bCs w:val="false"/>
          <w:sz w:val="20"/>
          <w:szCs w:val="20"/>
        </w:rPr>
        <w:t xml:space="preserve">Ne jamais détruire ni modifier des preuves existantes</w:t>
      </w:r>
    </w:p>
    <w:p>
      <w:pPr>
        <w:pStyle w:val="ListParagraph"/>
        <w:numPr>
          <w:ilvl w:val="0"/>
          <w:numId w:val="2"/>
        </w:numPr>
        <w:spacing w:after="40" w:before="40"/>
      </w:pPr>
      <w:r>
        <w:rPr>
          <w:rFonts w:ascii="Arial" w:cs="Arial" w:eastAsia="Arial" w:hAnsi="Arial"/>
          <w:b w:val="false"/>
          <w:bCs w:val="false"/>
          <w:sz w:val="20"/>
          <w:szCs w:val="20"/>
        </w:rPr>
        <w:t xml:space="preserve">Séparer systématiquement ressenti, fait et preuve dans toute communication</w:t>
      </w:r>
    </w:p>
    <w:p>
      <w:pPr>
        <w:pStyle w:val="ListParagraph"/>
        <w:numPr>
          <w:ilvl w:val="0"/>
          <w:numId w:val="2"/>
        </w:numPr>
        <w:spacing w:after="40" w:before="40"/>
      </w:pPr>
      <w:r>
        <w:rPr>
          <w:rFonts w:ascii="Arial" w:cs="Arial" w:eastAsia="Arial" w:hAnsi="Arial"/>
          <w:b w:val="false"/>
          <w:bCs w:val="false"/>
          <w:sz w:val="20"/>
          <w:szCs w:val="20"/>
        </w:rPr>
        <w:t xml:space="preserve">Revenir aux faits face à toute tentative d'inversion ou de manipulation</w:t>
      </w:r>
    </w:p>
    <w:p>
      <w:pPr>
        <w:pStyle w:val="ListParagraph"/>
        <w:numPr>
          <w:ilvl w:val="0"/>
          <w:numId w:val="2"/>
        </w:numPr>
        <w:spacing w:after="40" w:before="40"/>
      </w:pPr>
      <w:r>
        <w:rPr>
          <w:rFonts w:ascii="Arial" w:cs="Arial" w:eastAsia="Arial" w:hAnsi="Arial"/>
          <w:b w:val="false"/>
          <w:bCs w:val="false"/>
          <w:sz w:val="20"/>
          <w:szCs w:val="20"/>
        </w:rPr>
        <w:t xml:space="preserve">Protéger ma sécurité physique et psychique avant toute autre considération</w:t>
      </w:r>
    </w:p>
    <w:p>
      <w:pPr>
        <w:pStyle w:val="ListParagraph"/>
        <w:numPr>
          <w:ilvl w:val="0"/>
          <w:numId w:val="2"/>
        </w:numPr>
        <w:spacing w:after="40" w:before="40"/>
      </w:pPr>
      <w:r>
        <w:rPr>
          <w:rFonts w:ascii="Arial" w:cs="Arial" w:eastAsia="Arial" w:hAnsi="Arial"/>
          <w:b w:val="false"/>
          <w:bCs w:val="false"/>
          <w:sz w:val="20"/>
          <w:szCs w:val="20"/>
        </w:rPr>
        <w:t xml:space="preserve">Accepter l'aide professionnelle quand la situation le requiert</w:t>
      </w:r>
    </w:p>
    <w:p>
      <w:r>
        <w:rPr>
          <w:sz w:val="20"/>
          <w:szCs w:val="20"/>
        </w:rPr>
        <w:t xml:space="preserve"/>
      </w:r>
    </w:p>
    <w:p>
      <w:pPr>
        <w:spacing w:after="120" w:before="240"/>
      </w:pPr>
      <w:r>
        <w:rPr>
          <w:rFonts w:ascii="Arial" w:cs="Arial" w:eastAsia="Arial" w:hAnsi="Arial"/>
          <w:b/>
          <w:bCs/>
          <w:color w:val="7B5EA7"/>
          <w:sz w:val="26"/>
          <w:szCs w:val="26"/>
        </w:rPr>
        <w:t xml:space="preserve">Je m'engage à ne jamais :</w:t>
      </w:r>
    </w:p>
    <w:p>
      <w:pPr>
        <w:pStyle w:val="ListParagraph"/>
        <w:numPr>
          <w:ilvl w:val="0"/>
          <w:numId w:val="2"/>
        </w:numPr>
        <w:spacing w:after="40" w:before="40"/>
      </w:pPr>
      <w:r>
        <w:rPr>
          <w:rFonts w:ascii="Arial" w:cs="Arial" w:eastAsia="Arial" w:hAnsi="Arial"/>
          <w:b w:val="false"/>
          <w:bCs w:val="false"/>
          <w:sz w:val="20"/>
          <w:szCs w:val="20"/>
        </w:rPr>
        <w:t xml:space="preserve">Utiliser ce cadre pour accuser sans éléments objectivables</w:t>
      </w:r>
    </w:p>
    <w:p>
      <w:pPr>
        <w:pStyle w:val="ListParagraph"/>
        <w:numPr>
          <w:ilvl w:val="0"/>
          <w:numId w:val="2"/>
        </w:numPr>
        <w:spacing w:after="40" w:before="40"/>
      </w:pPr>
      <w:r>
        <w:rPr>
          <w:rFonts w:ascii="Arial" w:cs="Arial" w:eastAsia="Arial" w:hAnsi="Arial"/>
          <w:b w:val="false"/>
          <w:bCs w:val="false"/>
          <w:sz w:val="20"/>
          <w:szCs w:val="20"/>
        </w:rPr>
        <w:t xml:space="preserve">Confondre cohérence interne d'un récit avec vérité des faits</w:t>
      </w:r>
    </w:p>
    <w:p>
      <w:pPr>
        <w:pStyle w:val="ListParagraph"/>
        <w:numPr>
          <w:ilvl w:val="0"/>
          <w:numId w:val="2"/>
        </w:numPr>
        <w:spacing w:after="40" w:before="40"/>
      </w:pPr>
      <w:r>
        <w:rPr>
          <w:rFonts w:ascii="Arial" w:cs="Arial" w:eastAsia="Arial" w:hAnsi="Arial"/>
          <w:b w:val="false"/>
          <w:bCs w:val="false"/>
          <w:sz w:val="20"/>
          <w:szCs w:val="20"/>
        </w:rPr>
        <w:t xml:space="preserve">Psychologiser ou diagnostiquer l'adversaire dans un contexte officiel</w:t>
      </w:r>
    </w:p>
    <w:p>
      <w:pPr>
        <w:pStyle w:val="ListParagraph"/>
        <w:numPr>
          <w:ilvl w:val="0"/>
          <w:numId w:val="2"/>
        </w:numPr>
        <w:spacing w:after="40" w:before="40"/>
      </w:pPr>
      <w:r>
        <w:rPr>
          <w:rFonts w:ascii="Arial" w:cs="Arial" w:eastAsia="Arial" w:hAnsi="Arial"/>
          <w:b w:val="false"/>
          <w:bCs w:val="false"/>
          <w:sz w:val="20"/>
          <w:szCs w:val="20"/>
        </w:rPr>
        <w:t xml:space="preserve">Maintenir une situation dangereuse par refus de chercher de l'aide</w:t>
      </w:r>
    </w:p>
    <w:p>
      <w:r>
        <w:rPr>
          <w:sz w:val="20"/>
          <w:szCs w:val="20"/>
        </w:rPr>
        <w:t xml:space="preserve"/>
      </w:r>
    </w:p>
    <w:p>
      <w:pPr>
        <w:pBdr>
          <w:bottom w:val="single" w:color="C9A227" w:sz="4"/>
        </w:pBdr>
        <w:spacing w:after="160" w:before="160"/>
      </w:pPr>
      <w:r>
        <w:rPr>
          <w:sz w:val="4"/>
          <w:szCs w:val="4"/>
        </w:rPr>
        <w:t xml:space="preserve"/>
      </w:r>
    </w:p>
    <w:p>
      <w:pPr>
        <w:spacing w:after="80" w:before="200"/>
        <w:jc w:val="center"/>
      </w:pPr>
      <w:r>
        <w:rPr>
          <w:rFonts w:ascii="Arial" w:cs="Arial" w:eastAsia="Arial" w:hAnsi="Arial"/>
          <w:b/>
          <w:bCs/>
          <w:color w:val="C9A227"/>
          <w:sz w:val="28"/>
          <w:szCs w:val="28"/>
        </w:rPr>
        <w:t xml:space="preserve">FORMULE FINALE</w:t>
      </w:r>
    </w:p>
    <w:p>
      <w:pPr>
        <w:pBdr>
          <w:left w:val="thick" w:color="C9A227" w:sz="8"/>
        </w:pBdr>
        <w:spacing w:after="120" w:before="120"/>
        <w:ind w:left="360"/>
        <w:jc w:val="center"/>
      </w:pPr>
      <w:r>
        <w:rPr>
          <w:rFonts w:ascii="Arial" w:cs="Arial" w:eastAsia="Arial" w:hAnsi="Arial"/>
          <w:b/>
          <w:bCs/>
          <w:color w:val="1A1A2E"/>
          <w:sz w:val="22"/>
          <w:szCs w:val="22"/>
        </w:rPr>
        <w:t xml:space="preserve">Voir juste. Nommer juste. Vérifier juste. Protéger juste. Réparer juste.</w:t>
      </w:r>
    </w:p>
    <w:p>
      <w:pPr>
        <w:pBdr>
          <w:left w:val="thick" w:color="C9A227" w:sz="8"/>
        </w:pBdr>
        <w:spacing w:after="120" w:before="120"/>
        <w:ind w:left="360"/>
        <w:jc w:val="center"/>
      </w:pPr>
      <w:r>
        <w:rPr>
          <w:rFonts w:ascii="Arial" w:cs="Arial" w:eastAsia="Arial" w:hAnsi="Arial"/>
          <w:b/>
          <w:bCs/>
          <w:color w:val="1A4A7A"/>
          <w:sz w:val="22"/>
          <w:szCs w:val="22"/>
        </w:rPr>
        <w:t xml:space="preserve">Le vivant n'exige pas la perfection — il exige une capacité croissante à réduire la destruction évitable.</w:t>
      </w:r>
    </w:p>
    <w:p>
      <w:r>
        <w:rPr>
          <w:sz w:val="20"/>
          <w:szCs w:val="20"/>
        </w:rPr>
        <w:t xml:space="preserve"/>
      </w:r>
    </w:p>
    <w:p>
      <w:pPr>
        <w:jc w:val="center"/>
      </w:pPr>
      <w:r>
        <w:rPr>
          <w:rFonts w:ascii="Arial" w:cs="Arial" w:eastAsia="Arial" w:hAnsi="Arial"/>
          <w:color w:val="999999"/>
          <w:sz w:val="16"/>
          <w:szCs w:val="16"/>
        </w:rPr>
        <w:t xml:space="preserve">Agdistys • Diane Serant © — Protocole de ConScience aMi — Licence CC BY-SA 4.0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1A2E"/>
      <w:sz w:val="30"/>
      <w:szCs w:val="30"/>
    </w:rPr>
  </w:style>
  <w:style w:type="paragraph" w:styleId="Heading2">
    <w:name w:val="Heading 2"/>
    <w:basedOn w:val="Normal"/>
    <w:next w:val="Normal"/>
    <w:pPr>
      <w:spacing w:after="120" w:before="240"/>
      <w:outlineLvl w:val="1"/>
    </w:pPr>
    <w:rPr>
      <w:rFonts w:ascii="Arial" w:cs="Arial" w:eastAsia="Arial" w:hAnsi="Arial"/>
      <w:b/>
      <w:bCs/>
      <w:color w:val="7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2026-05-10T18:15:56.431Z</dcterms:created>
  <dcterms:modified xsi:type="dcterms:W3CDTF">2026-05-10T18:15:56.432Z</dcterms:modified>
</cp:coreProperties>
</file>

<file path=docProps/custom.xml><?xml version="1.0" encoding="utf-8"?>
<Properties xmlns="http://schemas.openxmlformats.org/officeDocument/2006/custom-properties" xmlns:vt="http://schemas.openxmlformats.org/officeDocument/2006/docPropsVTypes"/>
</file>