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92" w:rsidRDefault="007D2092" w:rsidP="007D2092">
      <w:pPr>
        <w:pStyle w:val="ListParagraph"/>
        <w:numPr>
          <w:ilvl w:val="0"/>
          <w:numId w:val="1"/>
        </w:numPr>
      </w:pPr>
      <w:r>
        <w:t>What are 3 data formats or data tiers of ENA (European Nucleotide Archive)?</w:t>
      </w:r>
    </w:p>
    <w:p w:rsidR="007D2092" w:rsidRDefault="007D2092" w:rsidP="007D2092">
      <w:pPr>
        <w:pStyle w:val="ListParagraph"/>
        <w:ind w:left="360"/>
      </w:pPr>
      <w:r>
        <w:t>Reads, assembly, annotation</w:t>
      </w:r>
    </w:p>
    <w:p w:rsidR="007D2092" w:rsidRDefault="007D2092" w:rsidP="007D2092">
      <w:pPr>
        <w:pStyle w:val="ListParagraph"/>
        <w:numPr>
          <w:ilvl w:val="0"/>
          <w:numId w:val="1"/>
        </w:numPr>
      </w:pPr>
      <w:r>
        <w:t>Provide 4 examples of genome databases and briefly describe the content and structure of these databases.</w:t>
      </w:r>
    </w:p>
    <w:p w:rsidR="007D2092" w:rsidRDefault="007D2092" w:rsidP="007D2092">
      <w:pPr>
        <w:pStyle w:val="ListParagraph"/>
        <w:numPr>
          <w:ilvl w:val="0"/>
          <w:numId w:val="1"/>
        </w:numPr>
      </w:pPr>
      <w:r>
        <w:t>What is an ontology and how does a terminology differ from an ontology?</w:t>
      </w:r>
    </w:p>
    <w:p w:rsidR="007D2092" w:rsidRDefault="007D2092" w:rsidP="007D2092">
      <w:pPr>
        <w:pStyle w:val="ListParagraph"/>
        <w:ind w:left="360"/>
      </w:pPr>
      <w:r>
        <w:t>-</w:t>
      </w:r>
      <w:r w:rsidR="009C098A">
        <w:t xml:space="preserve"> </w:t>
      </w:r>
      <w:r>
        <w:t xml:space="preserve">Ontology is </w:t>
      </w:r>
      <w:proofErr w:type="spellStart"/>
      <w:r>
        <w:t>definied</w:t>
      </w:r>
      <w:proofErr w:type="spellEnd"/>
      <w:r>
        <w:t xml:space="preserve"> as a formal representation of a knowledge domain; it describes the attributes (items, properties) of a particular knowledge domain and creates logical links between these terms. It is represented as a DAG (Directed Acyclic Graph).</w:t>
      </w:r>
    </w:p>
    <w:p w:rsidR="00383DA5" w:rsidRDefault="009C098A" w:rsidP="00383DA5">
      <w:pPr>
        <w:pStyle w:val="ListParagraph"/>
        <w:ind w:left="360"/>
      </w:pPr>
      <w:r>
        <w:t xml:space="preserve">- It differs from a terminology in the sense that the terminology only defines the term or the attributes </w:t>
      </w:r>
      <w:proofErr w:type="spellStart"/>
      <w:r>
        <w:t>where as</w:t>
      </w:r>
      <w:proofErr w:type="spellEnd"/>
      <w:r>
        <w:t xml:space="preserve"> ontology also creates logical connections and is specific to a domain</w:t>
      </w:r>
    </w:p>
    <w:p w:rsidR="00383DA5" w:rsidRDefault="00383DA5" w:rsidP="00383DA5">
      <w:pPr>
        <w:pStyle w:val="ListParagraph"/>
        <w:ind w:left="0"/>
      </w:pPr>
      <w:r>
        <w:t>4. What is meant by curation? Provide at least 2 examples for curated databases and describe the essential curation principles that apply to these databases.</w:t>
      </w:r>
    </w:p>
    <w:p w:rsidR="00383DA5" w:rsidRDefault="00383DA5" w:rsidP="00383DA5">
      <w:pPr>
        <w:pStyle w:val="ListParagraph"/>
        <w:ind w:left="0"/>
      </w:pPr>
      <w:r>
        <w:t xml:space="preserve">- </w:t>
      </w:r>
      <w:proofErr w:type="gramStart"/>
      <w:r>
        <w:t>curation</w:t>
      </w:r>
      <w:proofErr w:type="gramEnd"/>
      <w:r>
        <w:t xml:space="preserve"> is the process of standardizing, annotating and integrating information in such a way that the integrity of the data is maintained over time; curation also reduces redundancy of the data; examples: </w:t>
      </w:r>
      <w:proofErr w:type="spellStart"/>
      <w:r>
        <w:t>UniprotKB</w:t>
      </w:r>
      <w:proofErr w:type="spellEnd"/>
      <w:r>
        <w:t xml:space="preserve">, </w:t>
      </w:r>
      <w:proofErr w:type="spellStart"/>
      <w:r>
        <w:t>Ensembl</w:t>
      </w:r>
      <w:proofErr w:type="spellEnd"/>
    </w:p>
    <w:p w:rsidR="00383DA5" w:rsidRDefault="00383DA5" w:rsidP="00383DA5">
      <w:pPr>
        <w:pStyle w:val="ListParagraph"/>
        <w:ind w:left="0"/>
      </w:pPr>
      <w:r>
        <w:t>- Essential principles of curation involve adding annotations to the data, checking the accuracy of the data, providing unification of semantics when data comes from different sources which also reduces redundancy</w:t>
      </w:r>
    </w:p>
    <w:p w:rsidR="00AF3F32" w:rsidRDefault="00383DA5" w:rsidP="00383DA5">
      <w:pPr>
        <w:pStyle w:val="ListParagraph"/>
        <w:ind w:left="0"/>
      </w:pPr>
      <w:r>
        <w:t>5. What are the server-side programs provided by NCBI to query GEO programmatically?</w:t>
      </w:r>
    </w:p>
    <w:p w:rsidR="00C92809" w:rsidRDefault="00C92809" w:rsidP="00383DA5">
      <w:pPr>
        <w:pStyle w:val="ListParagraph"/>
        <w:ind w:left="0"/>
      </w:pPr>
    </w:p>
    <w:p w:rsidR="00C92809" w:rsidRDefault="00C92809" w:rsidP="00383DA5">
      <w:pPr>
        <w:pStyle w:val="ListParagraph"/>
        <w:ind w:left="0"/>
      </w:pPr>
      <w:r>
        <w:t>Hoffman review:</w:t>
      </w:r>
    </w:p>
    <w:p w:rsidR="00C92809" w:rsidRDefault="00C92809" w:rsidP="00383DA5">
      <w:pPr>
        <w:pStyle w:val="ListParagraph"/>
        <w:ind w:left="0"/>
      </w:pPr>
    </w:p>
    <w:p w:rsidR="00C92809" w:rsidRDefault="00C92809" w:rsidP="00C92809">
      <w:pPr>
        <w:pStyle w:val="ListParagraph"/>
        <w:numPr>
          <w:ilvl w:val="0"/>
          <w:numId w:val="2"/>
        </w:numPr>
      </w:pPr>
      <w:r>
        <w:t>Establish a knowledge tree on gene or protein:</w:t>
      </w:r>
    </w:p>
    <w:p w:rsidR="00C92809" w:rsidRDefault="00C92809" w:rsidP="00C92809">
      <w:pPr>
        <w:ind w:left="360"/>
      </w:pPr>
      <w:proofErr w:type="spellStart"/>
      <w:r>
        <w:t>Ans</w:t>
      </w:r>
      <w:proofErr w:type="spellEnd"/>
      <w:r>
        <w:t xml:space="preserve">: </w:t>
      </w:r>
    </w:p>
    <w:p w:rsidR="00C539C9" w:rsidRDefault="00C92809" w:rsidP="00103378">
      <w:pPr>
        <w:ind w:left="360"/>
      </w:pPr>
      <w:r>
        <w:t>Data wa</w:t>
      </w:r>
      <w:r w:rsidR="00452189">
        <w:t xml:space="preserve">rehousing: </w:t>
      </w:r>
      <w:r>
        <w:t xml:space="preserve"> bringing all the data under one roof in a single database (FIG. 5). </w:t>
      </w:r>
    </w:p>
    <w:p w:rsidR="00C539C9" w:rsidRDefault="00C92809" w:rsidP="00103378">
      <w:pPr>
        <w:ind w:left="360"/>
      </w:pPr>
      <w:r>
        <w:t xml:space="preserve">The first step in data warehousing is to develop a unified data model that can accommodate all the information that is contained in the various source databases. </w:t>
      </w:r>
    </w:p>
    <w:p w:rsidR="00C539C9" w:rsidRDefault="00C92809" w:rsidP="00103378">
      <w:pPr>
        <w:ind w:left="360"/>
      </w:pPr>
      <w:r>
        <w:t xml:space="preserve">The next step is to develop a series of software programs that will fetch the data from the source databases, transform them to match the unified data model and then load them into the warehouse. </w:t>
      </w:r>
    </w:p>
    <w:p w:rsidR="00103378" w:rsidRDefault="00C92809" w:rsidP="00103378">
      <w:pPr>
        <w:ind w:left="360"/>
      </w:pPr>
      <w:bookmarkStart w:id="0" w:name="_GoBack"/>
      <w:bookmarkEnd w:id="0"/>
      <w:r>
        <w:t>The warehouse can then be used as a ‘one-stop shop’ for answering any of the questions that the source databases can handle, as well as those that require integrated knowledge that the individual sources do not have.</w:t>
      </w:r>
    </w:p>
    <w:p w:rsidR="00103378" w:rsidRPr="00103378" w:rsidRDefault="00103378" w:rsidP="00103378">
      <w:pPr>
        <w:pBdr>
          <w:bottom w:val="single" w:sz="6" w:space="0" w:color="CCCCCC"/>
        </w:pBdr>
        <w:shd w:val="clear" w:color="auto" w:fill="FFFFFF"/>
        <w:spacing w:before="100" w:beforeAutospacing="1" w:after="100" w:afterAutospacing="1" w:line="758" w:lineRule="atLeast"/>
        <w:outlineLvl w:val="2"/>
        <w:rPr>
          <w:rFonts w:ascii="Helvetica" w:eastAsia="Times New Roman" w:hAnsi="Helvetica" w:cs="Helvetica"/>
          <w:color w:val="444444"/>
          <w:sz w:val="27"/>
          <w:szCs w:val="27"/>
          <w:lang w:val="en-GB" w:eastAsia="en-GB"/>
        </w:rPr>
      </w:pPr>
      <w:proofErr w:type="spellStart"/>
      <w:r w:rsidRPr="00103378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GB" w:eastAsia="en-GB"/>
        </w:rPr>
        <w:t>UniRef</w:t>
      </w:r>
      <w:proofErr w:type="spellEnd"/>
    </w:p>
    <w:p w:rsidR="00103378" w:rsidRPr="00103378" w:rsidRDefault="00103378" w:rsidP="001033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proofErr w:type="spellStart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UniRef</w:t>
      </w:r>
      <w:proofErr w:type="spellEnd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provides clustered sets of sequences from </w:t>
      </w:r>
      <w:proofErr w:type="spellStart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UniProtKB</w:t>
      </w:r>
      <w:proofErr w:type="spellEnd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(including additional isoforms contained within </w:t>
      </w:r>
      <w:proofErr w:type="spellStart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UniProtKB</w:t>
      </w:r>
      <w:proofErr w:type="spellEnd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/Swiss-</w:t>
      </w:r>
      <w:proofErr w:type="spellStart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Prot</w:t>
      </w:r>
      <w:proofErr w:type="spellEnd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records) and selected </w:t>
      </w:r>
      <w:proofErr w:type="spellStart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UniParc</w:t>
      </w:r>
      <w:proofErr w:type="spellEnd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records. </w:t>
      </w:r>
      <w:proofErr w:type="spellStart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UniRef</w:t>
      </w:r>
      <w:proofErr w:type="spellEnd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offers complete coverage of the sequence space at three resolutions:</w:t>
      </w:r>
    </w:p>
    <w:p w:rsidR="00103378" w:rsidRPr="00103378" w:rsidRDefault="00103378" w:rsidP="001033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lastRenderedPageBreak/>
        <w:t>The </w:t>
      </w:r>
      <w:r w:rsidRPr="0010337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GB" w:eastAsia="en-GB"/>
        </w:rPr>
        <w:t>UniRef100</w:t>
      </w:r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 database combines identical sequences from any organism into a single </w:t>
      </w:r>
      <w:proofErr w:type="spellStart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UniRef</w:t>
      </w:r>
      <w:proofErr w:type="spellEnd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entry, displaying the sequence of a representative protein, the accession numbers of all the merged entries and links to the corresponding </w:t>
      </w:r>
      <w:proofErr w:type="spellStart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UniProtKB</w:t>
      </w:r>
      <w:proofErr w:type="spellEnd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and </w:t>
      </w:r>
      <w:proofErr w:type="spellStart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UniParc</w:t>
      </w:r>
      <w:proofErr w:type="spellEnd"/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records. </w:t>
      </w:r>
    </w:p>
    <w:p w:rsidR="00103378" w:rsidRPr="00103378" w:rsidRDefault="00103378" w:rsidP="008675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10337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GB" w:eastAsia="en-GB"/>
        </w:rPr>
        <w:t>UniRef90</w:t>
      </w:r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 is built by clustering UniRef100 sequences such that each cluster is composed of sequences that have at least 90% sequence identity to the longest sequence (the seed sequence) of the cluster. </w:t>
      </w:r>
    </w:p>
    <w:p w:rsidR="008675B3" w:rsidRDefault="008675B3" w:rsidP="008675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GB" w:eastAsia="en-GB"/>
        </w:rPr>
      </w:pPr>
    </w:p>
    <w:p w:rsidR="00103378" w:rsidRPr="00103378" w:rsidRDefault="00103378" w:rsidP="008675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10337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GB" w:eastAsia="en-GB"/>
        </w:rPr>
        <w:t>UniRef50 </w:t>
      </w:r>
      <w:r w:rsidRPr="00103378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is built by clustering UniRef90 seed sequences that have at least 50% sequence identity to the longest sequence in the cluster.</w:t>
      </w:r>
    </w:p>
    <w:p w:rsidR="00103378" w:rsidRDefault="00103378" w:rsidP="00103378">
      <w:pPr>
        <w:pStyle w:val="ListParagraph"/>
      </w:pPr>
    </w:p>
    <w:p w:rsidR="00383DA5" w:rsidRDefault="00383DA5" w:rsidP="00383DA5">
      <w:pPr>
        <w:pStyle w:val="ListParagraph"/>
        <w:ind w:left="0"/>
      </w:pPr>
    </w:p>
    <w:p w:rsidR="008F1E5D" w:rsidRPr="008F1E5D" w:rsidRDefault="008F1E5D" w:rsidP="008F1E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More than 95% of the protein sequences provided by 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UniProtKB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come from the translations of coding sequences (</w:t>
      </w:r>
      <w:hyperlink r:id="rId5" w:history="1">
        <w:r w:rsidRPr="008F1E5D">
          <w:rPr>
            <w:rFonts w:ascii="Helvetica" w:eastAsia="Times New Roman" w:hAnsi="Helvetica" w:cs="Helvetica"/>
            <w:color w:val="333333"/>
            <w:sz w:val="24"/>
            <w:szCs w:val="24"/>
            <w:shd w:val="clear" w:color="auto" w:fill="DDDDDD"/>
            <w:lang w:val="en-GB" w:eastAsia="en-GB"/>
          </w:rPr>
          <w:t>CDS</w:t>
        </w:r>
      </w:hyperlink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) submitted to the ENA/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GenBank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/DDBJ nucleotide sequence resources of the International Nucleotide Sequence Database Collaboration (INSDC).</w:t>
      </w:r>
    </w:p>
    <w:p w:rsidR="008F1E5D" w:rsidRPr="008F1E5D" w:rsidRDefault="008F1E5D" w:rsidP="008F1E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These CDS are either generated by gene prediction programs or are experimentally proven. The translated CDS sequences are automatically transferred to the 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TrEMBL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section of 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UniProtKB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. The 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TrEMBL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records can be selected for further </w:t>
      </w:r>
      <w:hyperlink r:id="rId6" w:history="1">
        <w:r w:rsidRPr="008F1E5D">
          <w:rPr>
            <w:rFonts w:ascii="Helvetica" w:eastAsia="Times New Roman" w:hAnsi="Helvetica" w:cs="Helvetica"/>
            <w:color w:val="333333"/>
            <w:sz w:val="24"/>
            <w:szCs w:val="24"/>
            <w:shd w:val="clear" w:color="auto" w:fill="DDDDDD"/>
            <w:lang w:val="en-GB" w:eastAsia="en-GB"/>
          </w:rPr>
          <w:t>manual annotation</w:t>
        </w:r>
      </w:hyperlink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 and then integrated into the 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begin"/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instrText xml:space="preserve"> HYPERLINK "https://www.ebi.ac.uk/training/online/glossary/uniprotkbswiss-prot" </w:instrText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separate"/>
      </w:r>
      <w:r w:rsidRPr="008F1E5D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val="en-GB" w:eastAsia="en-GB"/>
        </w:rPr>
        <w:t>UniProtKB</w:t>
      </w:r>
      <w:proofErr w:type="spellEnd"/>
      <w:r w:rsidRPr="008F1E5D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val="en-GB" w:eastAsia="en-GB"/>
        </w:rPr>
        <w:t>/Swiss-</w:t>
      </w:r>
      <w:proofErr w:type="spellStart"/>
      <w:r w:rsidRPr="008F1E5D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val="en-GB" w:eastAsia="en-GB"/>
        </w:rPr>
        <w:t>Prot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end"/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 section.</w:t>
      </w:r>
    </w:p>
    <w:p w:rsidR="008F1E5D" w:rsidRPr="008F1E5D" w:rsidRDefault="008F1E5D" w:rsidP="008F1E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In addition to translated CDS, 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UniProtKB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 xml:space="preserve"> protein sequences may come from:</w:t>
      </w:r>
    </w:p>
    <w:p w:rsidR="008F1E5D" w:rsidRPr="008F1E5D" w:rsidRDefault="008F1E5D" w:rsidP="008F1E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The </w:t>
      </w:r>
      <w:hyperlink r:id="rId7" w:history="1">
        <w:r w:rsidRPr="008F1E5D">
          <w:rPr>
            <w:rFonts w:ascii="Helvetica" w:eastAsia="Times New Roman" w:hAnsi="Helvetica" w:cs="Helvetica"/>
            <w:color w:val="333333"/>
            <w:sz w:val="24"/>
            <w:szCs w:val="24"/>
            <w:shd w:val="clear" w:color="auto" w:fill="DDDDDD"/>
            <w:lang w:val="en-GB" w:eastAsia="en-GB"/>
          </w:rPr>
          <w:t>PDB</w:t>
        </w:r>
      </w:hyperlink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 database;</w:t>
      </w:r>
    </w:p>
    <w:p w:rsidR="008F1E5D" w:rsidRPr="008F1E5D" w:rsidRDefault="008F1E5D" w:rsidP="008F1E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Sequences experimentally obtained by direct protein sequencing and submitted to 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begin"/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instrText xml:space="preserve"> HYPERLINK "https://www.ebi.ac.uk/training/online/glossary/uniprot" </w:instrText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separate"/>
      </w:r>
      <w:r w:rsidRPr="008F1E5D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val="en-GB" w:eastAsia="en-GB"/>
        </w:rPr>
        <w:t>UniProt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end"/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;</w:t>
      </w:r>
    </w:p>
    <w:p w:rsidR="008F1E5D" w:rsidRPr="008F1E5D" w:rsidRDefault="008F1E5D" w:rsidP="008F1E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Sequences scanned from the literature;</w:t>
      </w:r>
    </w:p>
    <w:p w:rsidR="008F1E5D" w:rsidRPr="008F1E5D" w:rsidRDefault="008F1E5D" w:rsidP="008F1E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</w:pP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Sequences derived from gene prediction but which have not been submitted to ENA/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GenBank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/DDBJ. These are imported from resources such as 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begin"/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instrText xml:space="preserve"> HYPERLINK "https://www.ebi.ac.uk/training/online/glossary/ensembl" </w:instrText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separate"/>
      </w:r>
      <w:r w:rsidRPr="008F1E5D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val="en-GB" w:eastAsia="en-GB"/>
        </w:rPr>
        <w:t>Ensembl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end"/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 and </w:t>
      </w:r>
      <w:proofErr w:type="spellStart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begin"/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instrText xml:space="preserve"> HYPERLINK "https://www.ebi.ac.uk/training/online/glossary/refseq" </w:instrText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separate"/>
      </w:r>
      <w:r w:rsidRPr="008F1E5D">
        <w:rPr>
          <w:rFonts w:ascii="Helvetica" w:eastAsia="Times New Roman" w:hAnsi="Helvetica" w:cs="Helvetica"/>
          <w:color w:val="333333"/>
          <w:sz w:val="24"/>
          <w:szCs w:val="24"/>
          <w:shd w:val="clear" w:color="auto" w:fill="DDDDDD"/>
          <w:lang w:val="en-GB" w:eastAsia="en-GB"/>
        </w:rPr>
        <w:t>RefSeq</w:t>
      </w:r>
      <w:proofErr w:type="spellEnd"/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fldChar w:fldCharType="end"/>
      </w:r>
      <w:r w:rsidRPr="008F1E5D">
        <w:rPr>
          <w:rFonts w:ascii="Helvetica" w:eastAsia="Times New Roman" w:hAnsi="Helvetica" w:cs="Helvetica"/>
          <w:color w:val="222222"/>
          <w:sz w:val="24"/>
          <w:szCs w:val="24"/>
          <w:lang w:val="en-GB" w:eastAsia="en-GB"/>
        </w:rPr>
        <w:t>.</w:t>
      </w:r>
    </w:p>
    <w:p w:rsidR="007D2092" w:rsidRDefault="007D2092" w:rsidP="007D2092">
      <w:pPr>
        <w:rPr>
          <w:lang w:val="en-GB"/>
        </w:rPr>
      </w:pPr>
    </w:p>
    <w:p w:rsidR="00E424C3" w:rsidRDefault="00E424C3" w:rsidP="00E424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Notion of a database:</w:t>
      </w:r>
    </w:p>
    <w:p w:rsidR="00000E79" w:rsidRDefault="00000E79" w:rsidP="00E424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to view variation data in ensemble?</w:t>
      </w:r>
    </w:p>
    <w:p w:rsidR="00000E79" w:rsidRPr="00000E79" w:rsidRDefault="00000E79" w:rsidP="00000E7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</w:pPr>
      <w:r w:rsidRPr="00000E79"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  <w:t xml:space="preserve">The </w:t>
      </w:r>
      <w:proofErr w:type="spellStart"/>
      <w:r w:rsidRPr="00000E79"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  <w:t>Ensembl</w:t>
      </w:r>
      <w:proofErr w:type="spellEnd"/>
      <w:r w:rsidRPr="00000E79"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  <w:t xml:space="preserve"> Variation database stores areas of the genome that differ between individual genomes ("variants") and, where available, associated disease and phenotype information.</w:t>
      </w:r>
      <w:r w:rsidRPr="00000E79"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  <w:br/>
        <w:t>There are different types of variants for several </w:t>
      </w:r>
      <w:hyperlink r:id="rId8" w:anchor="source" w:history="1">
        <w:r w:rsidRPr="00000E79">
          <w:rPr>
            <w:rFonts w:ascii="Helvetica" w:eastAsia="Times New Roman" w:hAnsi="Helvetica" w:cs="Helvetica"/>
            <w:color w:val="000066"/>
            <w:sz w:val="19"/>
            <w:szCs w:val="19"/>
            <w:u w:val="single"/>
            <w:lang w:val="en-GB" w:eastAsia="en-GB"/>
          </w:rPr>
          <w:t>species</w:t>
        </w:r>
      </w:hyperlink>
      <w:r w:rsidRPr="00000E79"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  <w:t>:</w:t>
      </w:r>
    </w:p>
    <w:p w:rsidR="00000E79" w:rsidRPr="00000E79" w:rsidRDefault="00000E79" w:rsidP="00000E79">
      <w:pPr>
        <w:numPr>
          <w:ilvl w:val="0"/>
          <w:numId w:val="5"/>
        </w:numPr>
        <w:shd w:val="clear" w:color="auto" w:fill="FFFFFF"/>
        <w:spacing w:before="60" w:after="120" w:line="240" w:lineRule="atLeast"/>
        <w:ind w:left="0"/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</w:pPr>
      <w:r w:rsidRPr="00000E79"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  <w:t>single nucleotide polymorphisms (SNPs)</w:t>
      </w:r>
    </w:p>
    <w:p w:rsidR="00000E79" w:rsidRPr="00000E79" w:rsidRDefault="00000E79" w:rsidP="00000E79">
      <w:pPr>
        <w:numPr>
          <w:ilvl w:val="0"/>
          <w:numId w:val="5"/>
        </w:numPr>
        <w:shd w:val="clear" w:color="auto" w:fill="FFFFFF"/>
        <w:spacing w:before="120" w:after="120" w:line="240" w:lineRule="atLeast"/>
        <w:ind w:left="0"/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</w:pPr>
      <w:r w:rsidRPr="00000E79"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  <w:t>short nucleotide insertions and/or deletions</w:t>
      </w:r>
    </w:p>
    <w:p w:rsidR="00000E79" w:rsidRPr="00000E79" w:rsidRDefault="00000E79" w:rsidP="00000E79">
      <w:pPr>
        <w:numPr>
          <w:ilvl w:val="0"/>
          <w:numId w:val="5"/>
        </w:numPr>
        <w:shd w:val="clear" w:color="auto" w:fill="FFFFFF"/>
        <w:spacing w:before="120" w:after="120" w:line="240" w:lineRule="atLeast"/>
        <w:ind w:left="0"/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</w:pPr>
      <w:r w:rsidRPr="00000E79">
        <w:rPr>
          <w:rFonts w:ascii="Helvetica" w:eastAsia="Times New Roman" w:hAnsi="Helvetica" w:cs="Helvetica"/>
          <w:color w:val="555555"/>
          <w:sz w:val="19"/>
          <w:szCs w:val="19"/>
          <w:lang w:val="en-GB" w:eastAsia="en-GB"/>
        </w:rPr>
        <w:t>longer variants classified as structural variants (including CNVs)</w:t>
      </w:r>
    </w:p>
    <w:p w:rsidR="00000E79" w:rsidRDefault="00000E79" w:rsidP="00000E79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We predict the effects of variants on the </w:t>
      </w:r>
      <w:proofErr w:type="spellStart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Ensembl</w:t>
      </w:r>
      <w:proofErr w:type="spellEnd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 transcripts and regulatory features for each species. You can run the same analysis on your own data using the</w:t>
      </w:r>
      <w:r>
        <w:rPr>
          <w:rStyle w:val="apple-converted-space"/>
          <w:rFonts w:ascii="Helvetica" w:hAnsi="Helvetica" w:cs="Helvetica"/>
          <w:color w:val="555555"/>
          <w:sz w:val="19"/>
          <w:szCs w:val="19"/>
          <w:shd w:val="clear" w:color="auto" w:fill="FFFFFF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000066"/>
            <w:sz w:val="19"/>
            <w:szCs w:val="19"/>
            <w:shd w:val="clear" w:color="auto" w:fill="FFFFFF"/>
          </w:rPr>
          <w:t>Variant Effe</w:t>
        </w:r>
        <w:r>
          <w:rPr>
            <w:rStyle w:val="Hyperlink"/>
            <w:rFonts w:ascii="Helvetica" w:hAnsi="Helvetica" w:cs="Helvetica"/>
            <w:color w:val="000066"/>
            <w:sz w:val="19"/>
            <w:szCs w:val="19"/>
            <w:shd w:val="clear" w:color="auto" w:fill="FFFFFF"/>
          </w:rPr>
          <w:t>c</w:t>
        </w:r>
        <w:r>
          <w:rPr>
            <w:rStyle w:val="Hyperlink"/>
            <w:rFonts w:ascii="Helvetica" w:hAnsi="Helvetica" w:cs="Helvetica"/>
            <w:color w:val="000066"/>
            <w:sz w:val="19"/>
            <w:szCs w:val="19"/>
            <w:shd w:val="clear" w:color="auto" w:fill="FFFFFF"/>
          </w:rPr>
          <w:t>t Predictor</w:t>
        </w:r>
      </w:hyperlink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555555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19"/>
          <w:szCs w:val="19"/>
        </w:rPr>
        <w:br/>
      </w: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lastRenderedPageBreak/>
        <w:t xml:space="preserve">These data are integrated with other data sources in </w:t>
      </w:r>
      <w:proofErr w:type="spellStart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Ensembl</w:t>
      </w:r>
      <w:proofErr w:type="spellEnd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, and can be accessed using the API (see links on the right </w:t>
      </w:r>
      <w:proofErr w:type="spellStart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handside</w:t>
      </w:r>
      <w:proofErr w:type="spellEnd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 menu) or website.</w:t>
      </w:r>
    </w:p>
    <w:p w:rsidR="00000E79" w:rsidRPr="00000E79" w:rsidRDefault="00000E79" w:rsidP="00000E79">
      <w:pPr>
        <w:rPr>
          <w:lang w:val="en-GB"/>
        </w:rPr>
      </w:pP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Find short variants for a gene from </w:t>
      </w:r>
      <w:proofErr w:type="spellStart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dbSNP</w:t>
      </w:r>
      <w:proofErr w:type="spellEnd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, COSMIC, and</w:t>
      </w:r>
      <w:r>
        <w:rPr>
          <w:rStyle w:val="apple-converted-space"/>
          <w:rFonts w:ascii="Helvetica" w:hAnsi="Helvetica" w:cs="Helvetica"/>
          <w:color w:val="555555"/>
          <w:sz w:val="19"/>
          <w:szCs w:val="19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000066"/>
            <w:sz w:val="19"/>
            <w:szCs w:val="19"/>
            <w:shd w:val="clear" w:color="auto" w:fill="FFFFFF"/>
          </w:rPr>
          <w:t>other sources</w:t>
        </w:r>
      </w:hyperlink>
      <w:r>
        <w:rPr>
          <w:rStyle w:val="apple-converted-space"/>
          <w:rFonts w:ascii="Helvetica" w:hAnsi="Helvetica" w:cs="Helvetica"/>
          <w:color w:val="555555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in the</w:t>
      </w:r>
      <w:r>
        <w:rPr>
          <w:rStyle w:val="apple-converted-space"/>
          <w:rFonts w:ascii="Helvetica" w:hAnsi="Helvetica" w:cs="Helvetica"/>
          <w:color w:val="555555"/>
          <w:sz w:val="19"/>
          <w:szCs w:val="19"/>
          <w:shd w:val="clear" w:color="auto" w:fill="FFFFFF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00066"/>
            <w:sz w:val="19"/>
            <w:szCs w:val="19"/>
            <w:shd w:val="clear" w:color="auto" w:fill="FFFFFF"/>
          </w:rPr>
          <w:t>Gene Variation table</w:t>
        </w:r>
      </w:hyperlink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.</w:t>
      </w:r>
    </w:p>
    <w:p w:rsidR="00E424C3" w:rsidRPr="00E424C3" w:rsidRDefault="00E424C3" w:rsidP="00E424C3">
      <w:pPr>
        <w:ind w:left="360"/>
        <w:rPr>
          <w:lang w:val="en-GB"/>
        </w:rPr>
      </w:pPr>
    </w:p>
    <w:sectPr w:rsidR="00E424C3" w:rsidRPr="00E4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719A"/>
    <w:multiLevelType w:val="multilevel"/>
    <w:tmpl w:val="D62E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0500D"/>
    <w:multiLevelType w:val="hybridMultilevel"/>
    <w:tmpl w:val="336AC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411"/>
    <w:multiLevelType w:val="hybridMultilevel"/>
    <w:tmpl w:val="AFF84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446FD"/>
    <w:multiLevelType w:val="multilevel"/>
    <w:tmpl w:val="367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CB65D6"/>
    <w:multiLevelType w:val="multilevel"/>
    <w:tmpl w:val="413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89"/>
    <w:rsid w:val="00000E79"/>
    <w:rsid w:val="00103378"/>
    <w:rsid w:val="00214E99"/>
    <w:rsid w:val="00292574"/>
    <w:rsid w:val="00362344"/>
    <w:rsid w:val="00383DA5"/>
    <w:rsid w:val="00444381"/>
    <w:rsid w:val="00452189"/>
    <w:rsid w:val="00540F89"/>
    <w:rsid w:val="00593BCA"/>
    <w:rsid w:val="005C25A5"/>
    <w:rsid w:val="007D2092"/>
    <w:rsid w:val="00841ADA"/>
    <w:rsid w:val="008675B3"/>
    <w:rsid w:val="008D0561"/>
    <w:rsid w:val="008F1E5D"/>
    <w:rsid w:val="0094644F"/>
    <w:rsid w:val="00973D05"/>
    <w:rsid w:val="009C098A"/>
    <w:rsid w:val="00A45190"/>
    <w:rsid w:val="00AF3F32"/>
    <w:rsid w:val="00C539C9"/>
    <w:rsid w:val="00C92809"/>
    <w:rsid w:val="00E4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2936A-CC4C-4C3F-A543-F53AEFEA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337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103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78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8F1E5D"/>
    <w:rPr>
      <w:i/>
      <w:iCs/>
    </w:rPr>
  </w:style>
  <w:style w:type="character" w:customStyle="1" w:styleId="apple-converted-space">
    <w:name w:val="apple-converted-space"/>
    <w:basedOn w:val="DefaultParagraphFont"/>
    <w:rsid w:val="008F1E5D"/>
  </w:style>
  <w:style w:type="character" w:styleId="Hyperlink">
    <w:name w:val="Hyperlink"/>
    <w:basedOn w:val="DefaultParagraphFont"/>
    <w:uiPriority w:val="99"/>
    <w:semiHidden/>
    <w:unhideWhenUsed/>
    <w:rsid w:val="00000E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sembl.org/info/genome/variation/data_descrip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bi.ac.uk/training/online/glossary/pd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training/online/glossary/manual-annotation" TargetMode="External"/><Relationship Id="rId11" Type="http://schemas.openxmlformats.org/officeDocument/2006/relationships/hyperlink" Target="http://www.ensembl.org/Homo_sapiens/Gene/Variation_Gene/Table?g=ENSG00000139618;r=13:32889611-32973805" TargetMode="External"/><Relationship Id="rId5" Type="http://schemas.openxmlformats.org/officeDocument/2006/relationships/hyperlink" Target="https://www.ebi.ac.uk/training/online/glossary/cds" TargetMode="External"/><Relationship Id="rId10" Type="http://schemas.openxmlformats.org/officeDocument/2006/relationships/hyperlink" Target="http://www.ensembl.org/info/genome/variation/sources_document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sembl.org/info/docs/tools/ve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Đukić</dc:creator>
  <cp:keywords/>
  <dc:description/>
  <cp:lastModifiedBy>Iffat ara mahfuz</cp:lastModifiedBy>
  <cp:revision>6</cp:revision>
  <dcterms:created xsi:type="dcterms:W3CDTF">2017-02-07T12:03:00Z</dcterms:created>
  <dcterms:modified xsi:type="dcterms:W3CDTF">2017-02-15T18:06:00Z</dcterms:modified>
</cp:coreProperties>
</file>