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how many industry-specific storylines it has, the rivals’ names, and how easy, medium and expert rivals play</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762 and ends around line 1437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1506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