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0"/>
      </w:pPr>
      <w:r>
        <w:rPr>
          <w:rFonts w:ascii="Arial" w:cs="Arial" w:eastAsia="Arial" w:hAnsi="Arial"/>
          <w:b/>
          <w:bCs/>
          <w:color w:val="D6A24A"/>
          <w:sz w:val="64"/>
          <w:szCs w:val="64"/>
        </w:rPr>
        <w:t xml:space="preserve">SABERRA</w:t>
      </w:r>
    </w:p>
    <w:p>
      <w:pPr>
        <w:spacing w:after="60" w:before="0"/>
      </w:pPr>
      <w:r>
        <w:rPr>
          <w:rFonts w:ascii="Arial" w:cs="Arial" w:eastAsia="Arial" w:hAnsi="Arial"/>
          <w:color w:val="0A1520"/>
          <w:sz w:val="40"/>
          <w:szCs w:val="40"/>
        </w:rPr>
        <w:t xml:space="preserve">World-Class Growth Strategy</w:t>
      </w:r>
    </w:p>
    <w:p>
      <w:pPr>
        <w:spacing w:after="400" w:before="0"/>
      </w:pPr>
      <w:r>
        <w:rPr>
          <w:rFonts w:ascii="Arial" w:cs="Arial" w:eastAsia="Arial" w:hAnsi="Arial"/>
          <w:color w:val="666666"/>
          <w:sz w:val="22"/>
          <w:szCs w:val="22"/>
        </w:rPr>
        <w:t xml:space="preserve">Positioning  ·  CRO  ·  LinkedIn Outbound  ·  Founder Content  ·  Demo Funnel  ·  Partnerships  ·  Case Studies</w:t>
      </w:r>
    </w:p>
    <w:p>
      <w:pPr>
        <w:spacing w:after="40" w:before="0"/>
      </w:pPr>
      <w:r>
        <w:rPr>
          <w:rFonts w:ascii="Arial" w:cs="Arial" w:eastAsia="Arial" w:hAnsi="Arial"/>
          <w:color w:val="888888"/>
          <w:sz w:val="20"/>
          <w:szCs w:val="20"/>
        </w:rPr>
        <w:t xml:space="preserve">Prepared for Rick · saberra.com</w:t>
      </w:r>
    </w:p>
    <w:p>
      <w:pPr>
        <w:spacing w:after="0" w:before="0"/>
      </w:pPr>
      <w:r>
        <w:rPr>
          <w:rFonts w:ascii="Arial" w:cs="Arial" w:eastAsia="Arial" w:hAnsi="Arial"/>
          <w:color w:val="888888"/>
          <w:sz w:val="20"/>
          <w:szCs w:val="20"/>
        </w:rPr>
        <w:t xml:space="preserve">June 2026  ·  Combined assessment by the world’s leading growth teams</w:t>
      </w:r>
    </w:p>
    <w:p>
      <w:pPr>
        <w:pageBreakBefore/>
      </w:pPr>
      <w:r>
        <w:t xml:space="preserve"/>
      </w:r>
    </w:p>
    <w:p>
      <w:pPr>
        <w:pStyle w:val="Heading1"/>
        <w:spacing w:after="160" w:before="400"/>
      </w:pPr>
      <w:r>
        <w:rPr>
          <w:rFonts w:ascii="Arial" w:cs="Arial" w:eastAsia="Arial" w:hAnsi="Arial"/>
          <w:b/>
          <w:bCs/>
          <w:color w:val="0A1520"/>
          <w:sz w:val="36"/>
          <w:szCs w:val="36"/>
        </w:rPr>
        <w:t xml:space="preserve">Current State Scorecard</w:t>
      </w:r>
    </w:p>
    <w:p>
      <w:pPr>
        <w:spacing w:after="120" w:before="80"/>
      </w:pPr>
      <w:r>
        <w:rPr>
          <w:rFonts w:ascii="Arial" w:cs="Arial" w:eastAsia="Arial" w:hAnsi="Arial"/>
          <w:color w:val="444444"/>
          <w:sz w:val="22"/>
          <w:szCs w:val="22"/>
        </w:rPr>
        <w:t xml:space="preserve">Before recommendations, here is an honest assessment of where Saberra stands today across every dimension that drives revenue.</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rPr>
          <w:tblHeader/>
        </w:trPr>
        <w:tc>
          <w:tcPr>
            <w:tcW w:type="dxa" w:w="3000"/>
            <w:tcBorders>
              <w:top w:val="single" w:color="CCCCCC" w:sz="1"/>
              <w:left w:val="single" w:color="CCCCCC" w:sz="1"/>
              <w:bottom w:val="single" w:color="CCCCCC" w:sz="1"/>
              <w:right w:val="single" w:color="CCCCCC" w:sz="1"/>
            </w:tcBorders>
            <w:shd w:fill="0A1520" w:val="clear"/>
            <w:tcMar>
              <w:top w:type="dxa" w:w="80"/>
              <w:left w:type="dxa" w:w="120"/>
              <w:bottom w:type="dxa" w:w="80"/>
              <w:right w:type="dxa" w:w="80"/>
            </w:tcMar>
          </w:tcPr>
          <w:p>
            <w:r>
              <w:rPr>
                <w:rFonts w:ascii="Arial" w:cs="Arial" w:eastAsia="Arial" w:hAnsi="Arial"/>
                <w:b/>
                <w:bCs/>
                <w:color w:val="FFFFFF"/>
                <w:sz w:val="20"/>
                <w:szCs w:val="20"/>
              </w:rPr>
              <w:t xml:space="preserve">Area</w:t>
            </w:r>
          </w:p>
        </w:tc>
        <w:tc>
          <w:tcPr>
            <w:tcW w:type="dxa" w:w="1200"/>
            <w:tcBorders>
              <w:top w:val="single" w:color="CCCCCC" w:sz="1"/>
              <w:left w:val="single" w:color="CCCCCC" w:sz="1"/>
              <w:bottom w:val="single" w:color="CCCCCC" w:sz="1"/>
              <w:right w:val="single" w:color="CCCCCC" w:sz="1"/>
            </w:tcBorders>
            <w:shd w:fill="0A1520" w:val="clear"/>
            <w:tcMar>
              <w:top w:type="dxa" w:w="80"/>
              <w:left w:type="dxa" w:w="120"/>
              <w:bottom w:type="dxa" w:w="80"/>
              <w:right w:type="dxa" w:w="80"/>
            </w:tcMar>
          </w:tcPr>
          <w:p>
            <w:pPr>
              <w:jc w:val="center"/>
            </w:pPr>
            <w:r>
              <w:rPr>
                <w:rFonts w:ascii="Arial" w:cs="Arial" w:eastAsia="Arial" w:hAnsi="Arial"/>
                <w:b/>
                <w:bCs/>
                <w:color w:val="FFFFFF"/>
                <w:sz w:val="20"/>
                <w:szCs w:val="20"/>
              </w:rPr>
              <w:t xml:space="preserve">Score</w:t>
            </w:r>
          </w:p>
        </w:tc>
        <w:tc>
          <w:tcPr>
            <w:tcW w:type="dxa" w:w="5160"/>
            <w:tcBorders>
              <w:top w:val="single" w:color="CCCCCC" w:sz="1"/>
              <w:left w:val="single" w:color="CCCCCC" w:sz="1"/>
              <w:bottom w:val="single" w:color="CCCCCC" w:sz="1"/>
              <w:right w:val="single" w:color="CCCCCC" w:sz="1"/>
            </w:tcBorders>
            <w:shd w:fill="0A1520" w:val="clear"/>
            <w:tcMar>
              <w:top w:type="dxa" w:w="80"/>
              <w:left w:type="dxa" w:w="120"/>
              <w:bottom w:type="dxa" w:w="80"/>
              <w:right w:type="dxa" w:w="80"/>
            </w:tcMar>
          </w:tcPr>
          <w:p>
            <w:r>
              <w:rPr>
                <w:rFonts w:ascii="Arial" w:cs="Arial" w:eastAsia="Arial" w:hAnsi="Arial"/>
                <w:b/>
                <w:bCs/>
                <w:color w:val="FFFFFF"/>
                <w:sz w:val="20"/>
                <w:szCs w:val="20"/>
              </w:rPr>
              <w:t xml:space="preserve">Honest Assessment</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Positioning Clarity</w:t>
            </w:r>
          </w:p>
        </w:tc>
        <w:tc>
          <w:tcPr>
            <w:tcW w:type="dxa" w:w="1200"/>
            <w:tcBorders>
              <w:top w:val="single" w:color="CCCCCC" w:sz="1"/>
              <w:left w:val="single" w:color="CCCCCC" w:sz="1"/>
              <w:bottom w:val="single" w:color="CCCCCC" w:sz="1"/>
              <w:right w:val="single" w:color="CCCCCC" w:sz="1"/>
            </w:tcBorders>
            <w:shd w:fill="FDF8EE" w:val="clear"/>
            <w:tcMar>
              <w:top w:type="dxa" w:w="80"/>
              <w:left w:type="dxa" w:w="120"/>
              <w:bottom w:type="dxa" w:w="80"/>
              <w:right w:type="dxa" w:w="80"/>
            </w:tcMar>
          </w:tcPr>
          <w:p>
            <w:pPr>
              <w:jc w:val="center"/>
            </w:pPr>
            <w:r>
              <w:rPr>
                <w:rFonts w:ascii="Arial" w:cs="Arial" w:eastAsia="Arial" w:hAnsi="Arial"/>
                <w:b/>
                <w:bCs/>
                <w:color w:val="D6A24A"/>
                <w:sz w:val="22"/>
                <w:szCs w:val="22"/>
              </w:rPr>
              <w:t xml:space="preserve">B+</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Strong pain framing. Category ownership not yet claimed. ICP too diffuse across 4 segments.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Homepage Conversion</w:t>
            </w:r>
          </w:p>
        </w:tc>
        <w:tc>
          <w:tcPr>
            <w:tcW w:type="dxa" w:w="1200"/>
            <w:tcBorders>
              <w:top w:val="single" w:color="CCCCCC" w:sz="1"/>
              <w:left w:val="single" w:color="CCCCCC" w:sz="1"/>
              <w:bottom w:val="single" w:color="CCCCCC" w:sz="1"/>
              <w:right w:val="single" w:color="CCCCCC" w:sz="1"/>
            </w:tcBorders>
            <w:shd w:fill="FDF8EE" w:val="clear"/>
            <w:tcMar>
              <w:top w:type="dxa" w:w="80"/>
              <w:left w:type="dxa" w:w="120"/>
              <w:bottom w:type="dxa" w:w="80"/>
              <w:right w:type="dxa" w:w="80"/>
            </w:tcMar>
          </w:tcPr>
          <w:p>
            <w:pPr>
              <w:jc w:val="center"/>
            </w:pPr>
            <w:r>
              <w:rPr>
                <w:rFonts w:ascii="Arial" w:cs="Arial" w:eastAsia="Arial" w:hAnsi="Arial"/>
                <w:b/>
                <w:bCs/>
                <w:color w:val="D6A24A"/>
                <w:sz w:val="22"/>
                <w:szCs w:val="22"/>
              </w:rPr>
              <w:t xml:space="preserve">B</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Eyebrow + headline + video ATF is good. No social proof visible above fold. CTAs compete.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Demo Funnel</w:t>
            </w:r>
          </w:p>
        </w:tc>
        <w:tc>
          <w:tcPr>
            <w:tcW w:type="dxa" w:w="1200"/>
            <w:tcBorders>
              <w:top w:val="single" w:color="CCCCCC" w:sz="1"/>
              <w:left w:val="single" w:color="CCCCCC" w:sz="1"/>
              <w:bottom w:val="single" w:color="CCCCCC" w:sz="1"/>
              <w:right w:val="single" w:color="CCCCCC" w:sz="1"/>
            </w:tcBorders>
            <w:shd w:fill="FDF8EE" w:val="clear"/>
            <w:tcMar>
              <w:top w:type="dxa" w:w="80"/>
              <w:left w:type="dxa" w:w="120"/>
              <w:bottom w:type="dxa" w:w="80"/>
              <w:right w:type="dxa" w:w="80"/>
            </w:tcMar>
          </w:tcPr>
          <w:p>
            <w:pPr>
              <w:jc w:val="center"/>
            </w:pPr>
            <w:r>
              <w:rPr>
                <w:rFonts w:ascii="Arial" w:cs="Arial" w:eastAsia="Arial" w:hAnsi="Arial"/>
                <w:b/>
                <w:bCs/>
                <w:color w:val="D6A24A"/>
                <w:sz w:val="22"/>
                <w:szCs w:val="22"/>
              </w:rPr>
              <w:t xml:space="preserve">B+</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Three-path demo hub is smart. Forms are heavy for first touch. No qualification gate.</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Audit Lead Magnet</w:t>
            </w:r>
          </w:p>
        </w:tc>
        <w:tc>
          <w:tcPr>
            <w:tcW w:type="dxa" w:w="1200"/>
            <w:tcBorders>
              <w:top w:val="single" w:color="CCCCCC" w:sz="1"/>
              <w:left w:val="single" w:color="CCCCCC" w:sz="1"/>
              <w:bottom w:val="single" w:color="CCCCCC" w:sz="1"/>
              <w:right w:val="single" w:color="CCCCCC" w:sz="1"/>
            </w:tcBorders>
            <w:shd w:fill="EFF8F8" w:val="clear"/>
            <w:tcMar>
              <w:top w:type="dxa" w:w="80"/>
              <w:left w:type="dxa" w:w="120"/>
              <w:bottom w:type="dxa" w:w="80"/>
              <w:right w:type="dxa" w:w="80"/>
            </w:tcMar>
          </w:tcPr>
          <w:p>
            <w:pPr>
              <w:jc w:val="center"/>
            </w:pPr>
            <w:r>
              <w:rPr>
                <w:rFonts w:ascii="Arial" w:cs="Arial" w:eastAsia="Arial" w:hAnsi="Arial"/>
                <w:b/>
                <w:bCs/>
                <w:color w:val="2E8B8B"/>
                <w:sz w:val="22"/>
                <w:szCs w:val="22"/>
              </w:rPr>
              <w:t xml:space="preserve">A-</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Best asset on the site. Criminally underused. Should drive 70% of top-of-funnel.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Social Proof</w:t>
            </w:r>
          </w:p>
        </w:tc>
        <w:tc>
          <w:tcPr>
            <w:tcW w:type="dxa" w:w="1200"/>
            <w:tcBorders>
              <w:top w:val="single" w:color="CCCCCC" w:sz="1"/>
              <w:left w:val="single" w:color="CCCCCC" w:sz="1"/>
              <w:bottom w:val="single" w:color="CCCCCC" w:sz="1"/>
              <w:right w:val="single" w:color="CCCCCC" w:sz="1"/>
            </w:tcBorders>
            <w:shd w:fill="FDF0EF" w:val="clear"/>
            <w:tcMar>
              <w:top w:type="dxa" w:w="80"/>
              <w:left w:type="dxa" w:w="120"/>
              <w:bottom w:type="dxa" w:w="80"/>
              <w:right w:type="dxa" w:w="80"/>
            </w:tcMar>
          </w:tcPr>
          <w:p>
            <w:pPr>
              <w:jc w:val="center"/>
            </w:pPr>
            <w:r>
              <w:rPr>
                <w:rFonts w:ascii="Arial" w:cs="Arial" w:eastAsia="Arial" w:hAnsi="Arial"/>
                <w:b/>
                <w:bCs/>
                <w:color w:val="C0392B"/>
                <w:sz w:val="22"/>
                <w:szCs w:val="22"/>
              </w:rPr>
              <w:t xml:space="preserve">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Near-zero visible proof. No named testimonials, no logos, no case study numbers in ATF.</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Pricing Architecture</w:t>
            </w:r>
          </w:p>
        </w:tc>
        <w:tc>
          <w:tcPr>
            <w:tcW w:type="dxa" w:w="1200"/>
            <w:tcBorders>
              <w:top w:val="single" w:color="CCCCCC" w:sz="1"/>
              <w:left w:val="single" w:color="CCCCCC" w:sz="1"/>
              <w:bottom w:val="single" w:color="CCCCCC" w:sz="1"/>
              <w:right w:val="single" w:color="CCCCCC" w:sz="1"/>
            </w:tcBorders>
            <w:shd w:fill="FDF8EE" w:val="clear"/>
            <w:tcMar>
              <w:top w:type="dxa" w:w="80"/>
              <w:left w:type="dxa" w:w="120"/>
              <w:bottom w:type="dxa" w:w="80"/>
              <w:right w:type="dxa" w:w="80"/>
            </w:tcMar>
          </w:tcPr>
          <w:p>
            <w:pPr>
              <w:jc w:val="center"/>
            </w:pPr>
            <w:r>
              <w:rPr>
                <w:rFonts w:ascii="Arial" w:cs="Arial" w:eastAsia="Arial" w:hAnsi="Arial"/>
                <w:b/>
                <w:bCs/>
                <w:color w:val="D6A24A"/>
                <w:sz w:val="22"/>
                <w:szCs w:val="22"/>
              </w:rPr>
              <w:t xml:space="preserve">B-</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Range pricing ($1,500-$2,500) creates uncertainty. Founding scarcity not felt viscerally.</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LinkedIn Presence</w:t>
            </w:r>
          </w:p>
        </w:tc>
        <w:tc>
          <w:tcPr>
            <w:tcW w:type="dxa" w:w="1200"/>
            <w:tcBorders>
              <w:top w:val="single" w:color="CCCCCC" w:sz="1"/>
              <w:left w:val="single" w:color="CCCCCC" w:sz="1"/>
              <w:bottom w:val="single" w:color="CCCCCC" w:sz="1"/>
              <w:right w:val="single" w:color="CCCCCC" w:sz="1"/>
            </w:tcBorders>
            <w:shd w:fill="FDF0EF" w:val="clear"/>
            <w:tcMar>
              <w:top w:type="dxa" w:w="80"/>
              <w:left w:type="dxa" w:w="120"/>
              <w:bottom w:type="dxa" w:w="80"/>
              <w:right w:type="dxa" w:w="80"/>
            </w:tcMar>
          </w:tcPr>
          <w:p>
            <w:pPr>
              <w:jc w:val="center"/>
            </w:pPr>
            <w:r>
              <w:rPr>
                <w:rFonts w:ascii="Arial" w:cs="Arial" w:eastAsia="Arial" w:hAnsi="Arial"/>
                <w:b/>
                <w:bCs/>
                <w:color w:val="C0392B"/>
                <w:sz w:val="22"/>
                <w:szCs w:val="22"/>
              </w:rPr>
              <w:t xml:space="p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No visible outbound motion. Founder not posting. Highest ROI channel untouched.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Founder-Led Content</w:t>
            </w:r>
          </w:p>
        </w:tc>
        <w:tc>
          <w:tcPr>
            <w:tcW w:type="dxa" w:w="1200"/>
            <w:tcBorders>
              <w:top w:val="single" w:color="CCCCCC" w:sz="1"/>
              <w:left w:val="single" w:color="CCCCCC" w:sz="1"/>
              <w:bottom w:val="single" w:color="CCCCCC" w:sz="1"/>
              <w:right w:val="single" w:color="CCCCCC" w:sz="1"/>
            </w:tcBorders>
            <w:shd w:fill="FDF0EF" w:val="clear"/>
            <w:tcMar>
              <w:top w:type="dxa" w:w="80"/>
              <w:left w:type="dxa" w:w="120"/>
              <w:bottom w:type="dxa" w:w="80"/>
              <w:right w:type="dxa" w:w="80"/>
            </w:tcMar>
          </w:tcPr>
          <w:p>
            <w:pPr>
              <w:jc w:val="center"/>
            </w:pPr>
            <w:r>
              <w:rPr>
                <w:rFonts w:ascii="Arial" w:cs="Arial" w:eastAsia="Arial" w:hAnsi="Arial"/>
                <w:b/>
                <w:bCs/>
                <w:color w:val="C0392B"/>
                <w:sz w:val="22"/>
                <w:szCs w:val="22"/>
              </w:rPr>
              <w:t xml:space="p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Zero posts visible. The founder story is the most powerful asset Saberra has. Not deployed.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SEO / Content Strategy</w:t>
            </w:r>
          </w:p>
        </w:tc>
        <w:tc>
          <w:tcPr>
            <w:tcW w:type="dxa" w:w="1200"/>
            <w:tcBorders>
              <w:top w:val="single" w:color="CCCCCC" w:sz="1"/>
              <w:left w:val="single" w:color="CCCCCC" w:sz="1"/>
              <w:bottom w:val="single" w:color="CCCCCC" w:sz="1"/>
              <w:right w:val="single" w:color="CCCCCC" w:sz="1"/>
            </w:tcBorders>
            <w:shd w:fill="FDF8EE" w:val="clear"/>
            <w:tcMar>
              <w:top w:type="dxa" w:w="80"/>
              <w:left w:type="dxa" w:w="120"/>
              <w:bottom w:type="dxa" w:w="80"/>
              <w:right w:type="dxa" w:w="80"/>
            </w:tcMar>
          </w:tcPr>
          <w:p>
            <w:pPr>
              <w:jc w:val="center"/>
            </w:pPr>
            <w:r>
              <w:rPr>
                <w:rFonts w:ascii="Arial" w:cs="Arial" w:eastAsia="Arial" w:hAnsi="Arial"/>
                <w:b/>
                <w:bCs/>
                <w:color w:val="D6A24A"/>
                <w:sz w:val="22"/>
                <w:szCs w:val="22"/>
              </w:rPr>
              <w:t xml:space="preserve">B-</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Good resource pages. Thin coverage of high-intent buyer queries. Missing comparison pages.</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Partner / Channel</w:t>
            </w:r>
          </w:p>
        </w:tc>
        <w:tc>
          <w:tcPr>
            <w:tcW w:type="dxa" w:w="1200"/>
            <w:tcBorders>
              <w:top w:val="single" w:color="CCCCCC" w:sz="1"/>
              <w:left w:val="single" w:color="CCCCCC" w:sz="1"/>
              <w:bottom w:val="single" w:color="CCCCCC" w:sz="1"/>
              <w:right w:val="single" w:color="CCCCCC" w:sz="1"/>
            </w:tcBorders>
            <w:shd w:fill="FDF0EF" w:val="clear"/>
            <w:tcMar>
              <w:top w:type="dxa" w:w="80"/>
              <w:left w:type="dxa" w:w="120"/>
              <w:bottom w:type="dxa" w:w="80"/>
              <w:right w:type="dxa" w:w="80"/>
            </w:tcMar>
          </w:tcPr>
          <w:p>
            <w:pPr>
              <w:jc w:val="center"/>
            </w:pPr>
            <w:r>
              <w:rPr>
                <w:rFonts w:ascii="Arial" w:cs="Arial" w:eastAsia="Arial" w:hAnsi="Arial"/>
                <w:b/>
                <w:bCs/>
                <w:color w:val="C0392B"/>
                <w:sz w:val="22"/>
                <w:szCs w:val="22"/>
              </w:rPr>
              <w:t xml:space="p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No formal partner motion. Notion ecosystem is an untapped 10x channel.</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Case Studies</w:t>
            </w:r>
          </w:p>
        </w:tc>
        <w:tc>
          <w:tcPr>
            <w:tcW w:type="dxa" w:w="1200"/>
            <w:tcBorders>
              <w:top w:val="single" w:color="CCCCCC" w:sz="1"/>
              <w:left w:val="single" w:color="CCCCCC" w:sz="1"/>
              <w:bottom w:val="single" w:color="CCCCCC" w:sz="1"/>
              <w:right w:val="single" w:color="CCCCCC" w:sz="1"/>
            </w:tcBorders>
            <w:shd w:fill="FDF8EE" w:val="clear"/>
            <w:tcMar>
              <w:top w:type="dxa" w:w="80"/>
              <w:left w:type="dxa" w:w="120"/>
              <w:bottom w:type="dxa" w:w="80"/>
              <w:right w:type="dxa" w:w="80"/>
            </w:tcMar>
          </w:tcPr>
          <w:p>
            <w:pPr>
              <w:jc w:val="center"/>
            </w:pPr>
            <w:r>
              <w:rPr>
                <w:rFonts w:ascii="Arial" w:cs="Arial" w:eastAsia="Arial" w:hAnsi="Arial"/>
                <w:b/>
                <w:bCs/>
                <w:color w:val="D6A24A"/>
                <w:sz w:val="22"/>
                <w:szCs w:val="22"/>
              </w:rPr>
              <w:t xml:space="preserve">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Three pages exist but lack specificity. No named orgs, no hard numbers, no before/after.</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b/>
                <w:bCs/>
                <w:color w:val="0A1520"/>
                <w:sz w:val="21"/>
                <w:szCs w:val="21"/>
              </w:rPr>
              <w:t xml:space="preserve">Email / Nurture</w:t>
            </w:r>
          </w:p>
        </w:tc>
        <w:tc>
          <w:tcPr>
            <w:tcW w:type="dxa" w:w="1200"/>
            <w:tcBorders>
              <w:top w:val="single" w:color="CCCCCC" w:sz="1"/>
              <w:left w:val="single" w:color="CCCCCC" w:sz="1"/>
              <w:bottom w:val="single" w:color="CCCCCC" w:sz="1"/>
              <w:right w:val="single" w:color="CCCCCC" w:sz="1"/>
            </w:tcBorders>
            <w:shd w:fill="FDF0EF" w:val="clear"/>
            <w:tcMar>
              <w:top w:type="dxa" w:w="80"/>
              <w:left w:type="dxa" w:w="120"/>
              <w:bottom w:type="dxa" w:w="80"/>
              <w:right w:type="dxa" w:w="80"/>
            </w:tcMar>
          </w:tcPr>
          <w:p>
            <w:pPr>
              <w:jc w:val="center"/>
            </w:pPr>
            <w:r>
              <w:rPr>
                <w:rFonts w:ascii="Arial" w:cs="Arial" w:eastAsia="Arial" w:hAnsi="Arial"/>
                <w:b/>
                <w:bCs/>
                <w:color w:val="C0392B"/>
                <w:sz w:val="22"/>
                <w:szCs w:val="22"/>
              </w:rPr>
              <w:t xml:space="p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80"/>
            </w:tcMar>
          </w:tcPr>
          <w:p>
            <w:r>
              <w:rPr>
                <w:rFonts w:ascii="Arial" w:cs="Arial" w:eastAsia="Arial" w:hAnsi="Arial"/>
                <w:color w:val="444444"/>
                <w:sz w:val="20"/>
                <w:szCs w:val="20"/>
              </w:rPr>
              <w:t xml:space="preserve">No visible nurture sequence post-audit. Leads go cold after form submission.</w:t>
            </w:r>
          </w:p>
        </w:tc>
      </w:tr>
    </w:tbl>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2E8B8B" w:sz="8"/>
              <w:left w:val="single" w:color="2E8B8B"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2E8B8B"/>
                <w:sz w:val="22"/>
                <w:szCs w:val="22"/>
              </w:rPr>
              <w:t xml:space="preserve">OVERALL VERDICT</w:t>
            </w:r>
          </w:p>
          <w:p>
            <w:pPr>
              <w:spacing w:after="0" w:before="0"/>
            </w:pPr>
            <w:r>
              <w:rPr>
                <w:rFonts w:ascii="Arial" w:cs="Arial" w:eastAsia="Arial" w:hAnsi="Arial"/>
                <w:color w:val="444444"/>
                <w:sz w:val="21"/>
                <w:szCs w:val="21"/>
              </w:rPr>
              <w:t xml:space="preserve">The product and copy are genuinely strong. The conversion infrastructure around them is thin. You have a B+ product in a C+ go-to-market wrapper. The gap is closable in 90 days. Every high-priority fix in this document costs zero dollars and most can be shipped this week.</w:t>
            </w:r>
          </w:p>
        </w:tc>
      </w:tr>
    </w:tbl>
    <w:p>
      <w:pPr>
        <w:pageBreakBefore/>
      </w:pPr>
      <w:r>
        <w:t xml:space="preserve"/>
      </w:r>
    </w:p>
    <w:p>
      <w:pPr>
        <w:pStyle w:val="Heading1"/>
        <w:spacing w:after="160" w:before="400"/>
      </w:pPr>
      <w:r>
        <w:rPr>
          <w:rFonts w:ascii="Arial" w:cs="Arial" w:eastAsia="Arial" w:hAnsi="Arial"/>
          <w:b/>
          <w:bCs/>
          <w:color w:val="0A1520"/>
          <w:sz w:val="36"/>
          <w:szCs w:val="36"/>
        </w:rPr>
        <w:t xml:space="preserve">1. Positioning &amp; Category Strategy</w:t>
      </w:r>
    </w:p>
    <w:p>
      <w:pPr>
        <w:pStyle w:val="Heading2"/>
        <w:spacing w:after="120" w:before="320"/>
      </w:pPr>
      <w:r>
        <w:rPr>
          <w:rFonts w:ascii="Arial" w:cs="Arial" w:eastAsia="Arial" w:hAnsi="Arial"/>
          <w:b/>
          <w:bCs/>
          <w:color w:val="2E8B8B"/>
          <w:sz w:val="28"/>
          <w:szCs w:val="28"/>
        </w:rPr>
        <w:t xml:space="preserve">1.1 The Opportunity: Own a Category Before It Gets Named</w:t>
      </w:r>
    </w:p>
    <w:p>
      <w:pPr>
        <w:spacing w:after="120" w:before="80"/>
      </w:pPr>
      <w:r>
        <w:rPr>
          <w:rFonts w:ascii="Arial" w:cs="Arial" w:eastAsia="Arial" w:hAnsi="Arial"/>
          <w:color w:val="444444"/>
          <w:sz w:val="22"/>
          <w:szCs w:val="22"/>
        </w:rPr>
        <w:t xml:space="preserve">The single most valuable thing Saberra can do in the next 12 months is claim the category before a well-funded competitor does. “Institutional Memory Infrastructure” is an unowned, high-intent search category. The firms that will pay $1,500 to $5,000/month for this already know they have the problem. They do not yet have a word for it. Give them the word.</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D6A24A" w:sz="8"/>
              <w:left w:val="single" w:color="D6A24A"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D6A24A"/>
                <w:sz w:val="22"/>
                <w:szCs w:val="22"/>
              </w:rPr>
              <w:t xml:space="preserve">CATEGORY RECOMMENDATION</w:t>
            </w:r>
          </w:p>
          <w:p>
            <w:pPr>
              <w:spacing w:after="0" w:before="0"/>
            </w:pPr>
            <w:r>
              <w:rPr>
                <w:rFonts w:ascii="Arial" w:cs="Arial" w:eastAsia="Arial" w:hAnsi="Arial"/>
                <w:color w:val="444444"/>
                <w:sz w:val="21"/>
                <w:szCs w:val="21"/>
              </w:rPr>
              <w:t xml:space="preserve">Own the phrase: Organizational Memory Infrastructure. Not AI Secretary (commodity framing). Not operating intelligence (jargon). Not knowledge management (owned by Confluence/Notion). Organizational Memory Infrastructure is precise, problem-anchored, and available.</w:t>
            </w:r>
          </w:p>
        </w:tc>
      </w:tr>
    </w:tbl>
    <w:p>
      <w:r>
        <w:rPr>
          <w:sz w:val="22"/>
          <w:szCs w:val="22"/>
        </w:rPr>
        <w:t xml:space="preserve"/>
      </w:r>
    </w:p>
    <w:p>
      <w:pPr>
        <w:pStyle w:val="Heading2"/>
        <w:spacing w:after="120" w:before="320"/>
      </w:pPr>
      <w:r>
        <w:rPr>
          <w:rFonts w:ascii="Arial" w:cs="Arial" w:eastAsia="Arial" w:hAnsi="Arial"/>
          <w:b/>
          <w:bCs/>
          <w:color w:val="2E8B8B"/>
          <w:sz w:val="28"/>
          <w:szCs w:val="28"/>
        </w:rPr>
        <w:t xml:space="preserve">1.2 ICP Prioritization — Stop Marketing to Four Segments Equally</w:t>
      </w:r>
    </w:p>
    <w:p>
      <w:pPr>
        <w:spacing w:after="120" w:before="80"/>
      </w:pPr>
      <w:r>
        <w:rPr>
          <w:rFonts w:ascii="Arial" w:cs="Arial" w:eastAsia="Arial" w:hAnsi="Arial"/>
          <w:color w:val="444444"/>
          <w:sz w:val="22"/>
          <w:szCs w:val="22"/>
        </w:rPr>
        <w:t xml:space="preserve">The site currently speaks to founders, nonprofits, self-managing teams, and consultancies with roughly equal weight. This is a conversion killer. Each segment has a different buying trigger, different budget authority, and a different objection. Pick one primary ICP and make everything else secondary.</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800"/>
        <w:gridCol w:w="2200"/>
        <w:gridCol w:w="1760"/>
      </w:tblGrid>
      <w:tr>
        <w:trPr>
          <w:tblHeader/>
        </w:trPr>
        <w:tc>
          <w:tcPr>
            <w:tcW w:type="dxa" w:w="22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Segment</w:t>
            </w:r>
          </w:p>
        </w:tc>
        <w:tc>
          <w:tcPr>
            <w:tcW w:type="dxa" w:w="14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Urgency</w:t>
            </w:r>
          </w:p>
        </w:tc>
        <w:tc>
          <w:tcPr>
            <w:tcW w:type="dxa" w:w="18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Budget Auth</w:t>
            </w:r>
          </w:p>
        </w:tc>
        <w:tc>
          <w:tcPr>
            <w:tcW w:type="dxa" w:w="22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Sales Cycle</w:t>
            </w:r>
          </w:p>
        </w:tc>
        <w:tc>
          <w:tcPr>
            <w:tcW w:type="dxa" w:w="176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Verdict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Consultancy (10-60 staff)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Managing Partner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2-4 weeks</w:t>
            </w:r>
          </w:p>
        </w:tc>
        <w:tc>
          <w:tcPr>
            <w:tcW w:type="dxa" w:w="1760"/>
            <w:tcBorders>
              <w:top w:val="single" w:color="CCCCCC" w:sz="1"/>
              <w:left w:val="single" w:color="CCCCCC" w:sz="1"/>
              <w:bottom w:val="single" w:color="CCCCCC" w:sz="1"/>
              <w:right w:val="single" w:color="CCCCCC" w:sz="1"/>
            </w:tcBorders>
            <w:shd w:fill="EFF8F8" w:val="clear"/>
            <w:tcMar>
              <w:top w:type="dxa" w:w="80"/>
              <w:left w:type="dxa" w:w="100"/>
              <w:bottom w:type="dxa" w:w="80"/>
              <w:right w:type="dxa" w:w="80"/>
            </w:tcMar>
          </w:tcPr>
          <w:p>
            <w:r>
              <w:rPr>
                <w:rFonts w:ascii="Arial" w:cs="Arial" w:eastAsia="Arial" w:hAnsi="Arial"/>
                <w:b/>
                <w:bCs/>
                <w:color w:val="2E8B8B"/>
                <w:sz w:val="19"/>
                <w:szCs w:val="19"/>
              </w:rPr>
              <w:t xml:space="preserve">PRIMARY ICP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Founder-led (20-80 staff)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CEO / Founder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1-3 weeks</w:t>
            </w:r>
          </w:p>
        </w:tc>
        <w:tc>
          <w:tcPr>
            <w:tcW w:type="dxa" w:w="1760"/>
            <w:tcBorders>
              <w:top w:val="single" w:color="CCCCCC" w:sz="1"/>
              <w:left w:val="single" w:color="CCCCCC" w:sz="1"/>
              <w:bottom w:val="single" w:color="CCCCCC" w:sz="1"/>
              <w:right w:val="single" w:color="CCCCCC" w:sz="1"/>
            </w:tcBorders>
            <w:shd w:fill="EFF8F8" w:val="clear"/>
            <w:tcMar>
              <w:top w:type="dxa" w:w="80"/>
              <w:left w:type="dxa" w:w="100"/>
              <w:bottom w:type="dxa" w:w="80"/>
              <w:right w:type="dxa" w:w="80"/>
            </w:tcMar>
          </w:tcPr>
          <w:p>
            <w:r>
              <w:rPr>
                <w:rFonts w:ascii="Arial" w:cs="Arial" w:eastAsia="Arial" w:hAnsi="Arial"/>
                <w:b/>
                <w:bCs/>
                <w:color w:val="2E8B8B"/>
                <w:sz w:val="19"/>
                <w:szCs w:val="19"/>
              </w:rPr>
              <w:t xml:space="preserve">PRIMARY ICP</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Nonprofit (15-60 staff)</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MEDIUM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ED / Ops Director</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4-8 weeks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bCs/>
                <w:color w:val="D6A24A"/>
                <w:sz w:val="19"/>
                <w:szCs w:val="19"/>
              </w:rPr>
              <w:t xml:space="preserve">SECONDARY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Self-managing team</w:t>
            </w:r>
          </w:p>
        </w:tc>
        <w:tc>
          <w:tcPr>
            <w:tcW w:type="dxa" w:w="14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MEDIUM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Ops Lead / Circle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val="false"/>
                <w:bCs w:val="false"/>
                <w:color w:val="444444"/>
                <w:sz w:val="19"/>
                <w:szCs w:val="19"/>
              </w:rPr>
              <w:t xml:space="preserve">4-10 weeks</w:t>
            </w:r>
          </w:p>
        </w:tc>
        <w:tc>
          <w:tcPr>
            <w:tcW w:type="dxa" w:w="1760"/>
            <w:tcBorders>
              <w:top w:val="single" w:color="CCCCCC" w:sz="1"/>
              <w:left w:val="single" w:color="CCCCCC" w:sz="1"/>
              <w:bottom w:val="single" w:color="CCCCCC" w:sz="1"/>
              <w:right w:val="single" w:color="CCCCCC" w:sz="1"/>
            </w:tcBorders>
            <w:shd w:fill="FFFFFF" w:val="clear"/>
            <w:tcMar>
              <w:top w:type="dxa" w:w="80"/>
              <w:left w:type="dxa" w:w="100"/>
              <w:bottom w:type="dxa" w:w="80"/>
              <w:right w:type="dxa" w:w="80"/>
            </w:tcMar>
          </w:tcPr>
          <w:p>
            <w:r>
              <w:rPr>
                <w:rFonts w:ascii="Arial" w:cs="Arial" w:eastAsia="Arial" w:hAnsi="Arial"/>
                <w:b/>
                <w:bCs/>
                <w:color w:val="888888"/>
                <w:sz w:val="19"/>
                <w:szCs w:val="19"/>
              </w:rPr>
              <w:t xml:space="preserve">TERTIARY</w:t>
            </w:r>
          </w:p>
        </w:tc>
      </w:tr>
    </w:tbl>
    <w:p>
      <w:r>
        <w:rPr>
          <w:sz w:val="22"/>
          <w:szCs w:val="22"/>
        </w:rPr>
        <w:t xml:space="preserve"/>
      </w:r>
    </w:p>
    <w:p>
      <w:pPr>
        <w:spacing w:after="120" w:before="80"/>
      </w:pPr>
      <w:r>
        <w:rPr>
          <w:rFonts w:ascii="Arial" w:cs="Arial" w:eastAsia="Arial" w:hAnsi="Arial"/>
          <w:color w:val="444444"/>
          <w:sz w:val="22"/>
          <w:szCs w:val="22"/>
        </w:rPr>
        <w:t xml:space="preserve">Consultancies and founder-led teams have the highest urgency, the shortest sales cycles, and the clearest budget authority. Nonprofits are real buyers but move slowly and discount heavily. Self-managing teams are philosophically aligned but practically complex. Win the first two. Let the others find you.</w:t>
      </w:r>
    </w:p>
    <w:p>
      <w:r>
        <w:rPr>
          <w:sz w:val="22"/>
          <w:szCs w:val="22"/>
        </w:rPr>
        <w:t xml:space="preserve"/>
      </w:r>
    </w:p>
    <w:p>
      <w:pPr>
        <w:pStyle w:val="Heading2"/>
        <w:spacing w:after="120" w:before="320"/>
      </w:pPr>
      <w:r>
        <w:rPr>
          <w:rFonts w:ascii="Arial" w:cs="Arial" w:eastAsia="Arial" w:hAnsi="Arial"/>
          <w:b/>
          <w:bCs/>
          <w:color w:val="2E8B8B"/>
          <w:sz w:val="28"/>
          <w:szCs w:val="28"/>
        </w:rPr>
        <w:t xml:space="preserve">1.3 Positioning Statement to Anchor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2E8B8B" w:sz="8"/>
              <w:left w:val="single" w:color="2E8B8B"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2E8B8B"/>
                <w:sz w:val="22"/>
                <w:szCs w:val="22"/>
              </w:rPr>
              <w:t xml:space="preserve">FOR: Consultancies and founder-led teams of 15–100 people on Google Workspace</w:t>
            </w:r>
          </w:p>
          <w:p>
            <w:pPr>
              <w:spacing w:after="0" w:before="0"/>
            </w:pPr>
            <w:r>
              <w:rPr>
                <w:rFonts w:ascii="Arial" w:cs="Arial" w:eastAsia="Arial" w:hAnsi="Arial"/>
                <w:color w:val="444444"/>
                <w:sz w:val="21"/>
                <w:szCs w:val="21"/>
              </w:rPr>
              <w:t xml:space="preserve">WHO: Lose decisions, context, and institutional knowledge every time a key person transitions or a meeting ends without a record
SABERRA IS: Done-for-you organizational memory infrastructure
THAT: Automatically captures meetings and emails, drafts structured records, routes them through human review, and gives your team an AI that answers from your approved organizational history
UNLIKE: Meeting transcription tools (Fireflies, Otter) that produce searchable chaos, or knowledge bases (Notion, Confluence) that require humans to populate them manually
SABERRA’S KEY DIFFERENCE: The human is in the loop. Nothing becomes trusted organizational memory until a person approves it. This is the only system your team can actually trust.</w:t>
            </w:r>
          </w:p>
        </w:tc>
      </w:tr>
    </w:tbl>
    <w:p>
      <w:r>
        <w:rPr>
          <w:sz w:val="22"/>
          <w:szCs w:val="22"/>
        </w:rPr>
        <w:t xml:space="preserve"/>
      </w:r>
    </w:p>
    <w:p>
      <w:pPr>
        <w:pStyle w:val="Heading2"/>
        <w:spacing w:after="120" w:before="320"/>
      </w:pPr>
      <w:r>
        <w:rPr>
          <w:rFonts w:ascii="Arial" w:cs="Arial" w:eastAsia="Arial" w:hAnsi="Arial"/>
          <w:b/>
          <w:bCs/>
          <w:color w:val="2E8B8B"/>
          <w:sz w:val="28"/>
          <w:szCs w:val="28"/>
        </w:rPr>
        <w:t xml:space="preserve">1.4 The Positioning Hierarchy (What Goes Where)</w:t>
      </w:r>
    </w:p>
    <w:p>
      <w:pPr>
        <w:pStyle w:val="ListParagraph"/>
        <w:numPr>
          <w:ilvl w:val="0"/>
          <w:numId w:val="2"/>
        </w:numPr>
        <w:spacing w:after="40" w:before="40"/>
      </w:pPr>
      <w:r>
        <w:rPr>
          <w:rFonts w:ascii="Arial" w:cs="Arial" w:eastAsia="Arial" w:hAnsi="Arial"/>
          <w:color w:val="444444"/>
          <w:sz w:val="22"/>
          <w:szCs w:val="22"/>
        </w:rPr>
        <w:t xml:space="preserve">Eyebrow (ATF, done): "Done-for-you AI Secretary" — removes implementation fear immediately</w:t>
      </w:r>
    </w:p>
    <w:p>
      <w:pPr>
        <w:pStyle w:val="ListParagraph"/>
        <w:numPr>
          <w:ilvl w:val="0"/>
          <w:numId w:val="2"/>
        </w:numPr>
        <w:spacing w:after="40" w:before="40"/>
      </w:pPr>
      <w:r>
        <w:rPr>
          <w:rFonts w:ascii="Arial" w:cs="Arial" w:eastAsia="Arial" w:hAnsi="Arial"/>
          <w:color w:val="444444"/>
          <w:sz w:val="22"/>
          <w:szCs w:val="22"/>
        </w:rPr>
        <w:t xml:space="preserve">H1 (ATF): "Ask Sera what your organization already knows" — desire-based, specific, strong</w:t>
      </w:r>
    </w:p>
    <w:p>
      <w:pPr>
        <w:pStyle w:val="ListParagraph"/>
        <w:numPr>
          <w:ilvl w:val="0"/>
          <w:numId w:val="2"/>
        </w:numPr>
        <w:spacing w:after="40" w:before="40"/>
      </w:pPr>
      <w:r>
        <w:rPr>
          <w:rFonts w:ascii="Arial" w:cs="Arial" w:eastAsia="Arial" w:hAnsi="Arial"/>
          <w:color w:val="444444"/>
          <w:sz w:val="22"/>
          <w:szCs w:val="22"/>
        </w:rPr>
        <w:t xml:space="preserve">Sub-headline (missing): "The organizational memory infrastructure for teams that are tired of losing context" — add this below the body copy</w:t>
      </w:r>
    </w:p>
    <w:p>
      <w:pPr>
        <w:pStyle w:val="ListParagraph"/>
        <w:numPr>
          <w:ilvl w:val="0"/>
          <w:numId w:val="2"/>
        </w:numPr>
        <w:spacing w:after="40" w:before="40"/>
      </w:pPr>
      <w:r>
        <w:rPr>
          <w:rFonts w:ascii="Arial" w:cs="Arial" w:eastAsia="Arial" w:hAnsi="Arial"/>
          <w:color w:val="444444"/>
          <w:sz w:val="22"/>
          <w:szCs w:val="22"/>
        </w:rPr>
        <w:t xml:space="preserve">Category claim (missing from About / footer): "We built the category of Organizational Memory Infrastructure" — plant the flag</w:t>
      </w:r>
    </w:p>
    <w:p>
      <w:pPr>
        <w:pStyle w:val="ListParagraph"/>
        <w:numPr>
          <w:ilvl w:val="0"/>
          <w:numId w:val="2"/>
        </w:numPr>
        <w:spacing w:after="40" w:before="40"/>
      </w:pPr>
      <w:r>
        <w:rPr>
          <w:rFonts w:ascii="Arial" w:cs="Arial" w:eastAsia="Arial" w:hAnsi="Arial"/>
          <w:color w:val="444444"/>
          <w:sz w:val="22"/>
          <w:szCs w:val="22"/>
        </w:rPr>
        <w:t xml:space="preserve">Tagline for all collateral: "Your operating record. Built automatically. Reviewed by humans. Trusted by your team."</w:t>
      </w:r>
    </w:p>
    <w:p>
      <w:pPr>
        <w:pageBreakBefore/>
      </w:pPr>
      <w:r>
        <w:t xml:space="preserve"/>
      </w:r>
    </w:p>
    <w:p>
      <w:pPr>
        <w:pStyle w:val="Heading1"/>
        <w:spacing w:after="160" w:before="400"/>
      </w:pPr>
      <w:r>
        <w:rPr>
          <w:rFonts w:ascii="Arial" w:cs="Arial" w:eastAsia="Arial" w:hAnsi="Arial"/>
          <w:b/>
          <w:bCs/>
          <w:color w:val="0A1520"/>
          <w:sz w:val="36"/>
          <w:szCs w:val="36"/>
        </w:rPr>
        <w:t xml:space="preserve">2. Landing Page Conversion — Page by Page</w:t>
      </w:r>
    </w:p>
    <w:p>
      <w:pPr>
        <w:pStyle w:val="Heading2"/>
        <w:spacing w:after="120" w:before="320"/>
      </w:pPr>
      <w:r>
        <w:rPr>
          <w:rFonts w:ascii="Arial" w:cs="Arial" w:eastAsia="Arial" w:hAnsi="Arial"/>
          <w:b/>
          <w:bCs/>
          <w:color w:val="2E8B8B"/>
          <w:sz w:val="28"/>
          <w:szCs w:val="28"/>
        </w:rPr>
        <w:t xml:space="preserve">2.1 Homepage — Priority Fixes</w:t>
      </w:r>
    </w:p>
    <w:p>
      <w:pPr>
        <w:pStyle w:val="Heading3"/>
        <w:spacing w:after="80" w:before="240"/>
      </w:pPr>
      <w:r>
        <w:rPr>
          <w:rFonts w:ascii="Arial" w:cs="Arial" w:eastAsia="Arial" w:hAnsi="Arial"/>
          <w:b/>
          <w:bCs/>
          <w:color w:val="0A1520"/>
          <w:sz w:val="24"/>
          <w:szCs w:val="24"/>
        </w:rPr>
        <w:t xml:space="preserve">Fix 1: Add Social Proof to the ATF (Highest Impact, Lowest Effort)</w:t>
      </w:r>
    </w:p>
    <w:p>
      <w:pPr>
        <w:spacing w:after="120" w:before="80"/>
      </w:pPr>
      <w:r>
        <w:rPr>
          <w:rFonts w:ascii="Arial" w:cs="Arial" w:eastAsia="Arial" w:hAnsi="Arial"/>
          <w:color w:val="444444"/>
          <w:sz w:val="22"/>
          <w:szCs w:val="22"/>
        </w:rPr>
        <w:t xml:space="preserve">The hero has strong copy and a video but zero social proof. On a B2B page with $3,000+ price points, a first-time visitor needs permission to believe. One real quote, even a short one, positioned directly below the CTAs, would materially lift conversion.</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D6A24A" w:sz="8"/>
              <w:left w:val="single" w:color="D6A24A"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D6A24A"/>
                <w:sz w:val="22"/>
                <w:szCs w:val="22"/>
              </w:rPr>
              <w:t xml:space="preserve">SPECIFIC ACTION</w:t>
            </w:r>
          </w:p>
          <w:p>
            <w:pPr>
              <w:spacing w:after="0" w:before="0"/>
            </w:pPr>
            <w:r>
              <w:rPr>
                <w:rFonts w:ascii="Arial" w:cs="Arial" w:eastAsia="Arial" w:hAnsi="Arial"/>
                <w:color w:val="444444"/>
                <w:sz w:val="21"/>
                <w:szCs w:val="21"/>
              </w:rPr>
              <w:t xml:space="preserve">Add a 1–2 sentence pull quote from a real customer below the CTA row. Format: “[Quote about specific outcome.]” — [Name], [Title], [Org Type]. If you do not have a named quote yet, use a paraphrased result: ‘ After our coordinator transition, Sera had the full account history searchable from day one.’ — Managing Partner, 40-person consultancy. Anonymous attribution is better than no attribution.</w:t>
            </w:r>
          </w:p>
        </w:tc>
      </w:tr>
    </w:tbl>
    <w:p>
      <w:r>
        <w:rPr>
          <w:sz w:val="22"/>
          <w:szCs w:val="22"/>
        </w:rPr>
        <w:t xml:space="preserve"/>
      </w:r>
    </w:p>
    <w:p>
      <w:pPr>
        <w:pStyle w:val="Heading3"/>
        <w:spacing w:after="80" w:before="240"/>
      </w:pPr>
      <w:r>
        <w:rPr>
          <w:rFonts w:ascii="Arial" w:cs="Arial" w:eastAsia="Arial" w:hAnsi="Arial"/>
          <w:b/>
          <w:bCs/>
          <w:color w:val="0A1520"/>
          <w:sz w:val="24"/>
          <w:szCs w:val="24"/>
        </w:rPr>
        <w:t xml:space="preserve">Fix 2: The Audit CTA is Buried</w:t>
      </w:r>
    </w:p>
    <w:p>
      <w:pPr>
        <w:spacing w:after="120" w:before="80"/>
      </w:pPr>
      <w:r>
        <w:rPr>
          <w:rFonts w:ascii="Arial" w:cs="Arial" w:eastAsia="Arial" w:hAnsi="Arial"/>
          <w:color w:val="444444"/>
          <w:sz w:val="22"/>
          <w:szCs w:val="22"/>
        </w:rPr>
        <w:t xml:space="preserve">"Take the free Memory Audit" is your best lead magnet and it is the secondary CTA in the hero. Consider testing it as the primary CTA. Every person who completes the audit is a qualified, pre-educated lead who has already admitted they have the problem. This is gold. Treat it like gold.</w:t>
      </w:r>
    </w:p>
    <w:p>
      <w:pPr>
        <w:pStyle w:val="ListParagraph"/>
        <w:numPr>
          <w:ilvl w:val="0"/>
          <w:numId w:val="2"/>
        </w:numPr>
        <w:spacing w:after="40" w:before="40"/>
      </w:pPr>
      <w:r>
        <w:rPr>
          <w:rFonts w:ascii="Arial" w:cs="Arial" w:eastAsia="Arial" w:hAnsi="Arial"/>
          <w:color w:val="444444"/>
          <w:sz w:val="22"/>
          <w:szCs w:val="22"/>
        </w:rPr>
        <w:t xml:space="preserve">Test variant: Make the Audit the primary hero CTA. Move "See Sera organize chaos" to secondary.</w:t>
      </w:r>
    </w:p>
    <w:p>
      <w:pPr>
        <w:pStyle w:val="ListParagraph"/>
        <w:numPr>
          <w:ilvl w:val="0"/>
          <w:numId w:val="2"/>
        </w:numPr>
        <w:spacing w:after="40" w:before="40"/>
      </w:pPr>
      <w:r>
        <w:rPr>
          <w:rFonts w:ascii="Arial" w:cs="Arial" w:eastAsia="Arial" w:hAnsi="Arial"/>
          <w:color w:val="444444"/>
          <w:sz w:val="22"/>
          <w:szCs w:val="22"/>
        </w:rPr>
        <w:t xml:space="preserve">Add an Audit CTA in the sticky nav alongside the current "Open the demo hub" button.</w:t>
      </w:r>
    </w:p>
    <w:p>
      <w:pPr>
        <w:pStyle w:val="ListParagraph"/>
        <w:numPr>
          <w:ilvl w:val="0"/>
          <w:numId w:val="2"/>
        </w:numPr>
        <w:spacing w:after="40" w:before="40"/>
      </w:pPr>
      <w:r>
        <w:rPr>
          <w:rFonts w:ascii="Arial" w:cs="Arial" w:eastAsia="Arial" w:hAnsi="Arial"/>
          <w:color w:val="444444"/>
          <w:sz w:val="22"/>
          <w:szCs w:val="22"/>
        </w:rPr>
        <w:t xml:space="preserve">Add a fixed bottom bar on mobile: "Find your memory leak → Take the 3-min audit"</w:t>
      </w:r>
    </w:p>
    <w:p>
      <w:r>
        <w:rPr>
          <w:sz w:val="22"/>
          <w:szCs w:val="22"/>
        </w:rPr>
        <w:t xml:space="preserve"/>
      </w:r>
    </w:p>
    <w:p>
      <w:pPr>
        <w:pStyle w:val="Heading3"/>
        <w:spacing w:after="80" w:before="240"/>
      </w:pPr>
      <w:r>
        <w:rPr>
          <w:rFonts w:ascii="Arial" w:cs="Arial" w:eastAsia="Arial" w:hAnsi="Arial"/>
          <w:b/>
          <w:bCs/>
          <w:color w:val="0A1520"/>
          <w:sz w:val="24"/>
          <w:szCs w:val="24"/>
        </w:rPr>
        <w:t xml:space="preserve">Fix 3: The Hero Video Needs a Commitment Frame</w:t>
      </w:r>
    </w:p>
    <w:p>
      <w:pPr>
        <w:spacing w:after="120" w:before="80"/>
      </w:pPr>
      <w:r>
        <w:rPr>
          <w:rFonts w:ascii="Arial" w:cs="Arial" w:eastAsia="Arial" w:hAnsi="Arial"/>
          <w:color w:val="444444"/>
          <w:sz w:val="22"/>
          <w:szCs w:val="22"/>
        </w:rPr>
        <w:t xml:space="preserve">A 10-minute video in the ATF creates a silent objection: "I don’t have 10 minutes right now." You are asking a cold visitor to make a 10-minute commitment before they know if this is for them. Frame the ask or add a shorter hook.</w:t>
      </w:r>
    </w:p>
    <w:p>
      <w:pPr>
        <w:pStyle w:val="ListParagraph"/>
        <w:numPr>
          <w:ilvl w:val="0"/>
          <w:numId w:val="2"/>
        </w:numPr>
        <w:spacing w:after="40" w:before="40"/>
      </w:pPr>
      <w:r>
        <w:rPr>
          <w:rFonts w:ascii="Arial" w:cs="Arial" w:eastAsia="Arial" w:hAnsi="Arial"/>
          <w:color w:val="444444"/>
          <w:sz w:val="22"/>
          <w:szCs w:val="22"/>
        </w:rPr>
        <w:t xml:space="preserve">Add a timestamp badge on the poster: "10 min · See Sera process a real org’s context"</w:t>
      </w:r>
    </w:p>
    <w:p>
      <w:pPr>
        <w:pStyle w:val="ListParagraph"/>
        <w:numPr>
          <w:ilvl w:val="0"/>
          <w:numId w:val="2"/>
        </w:numPr>
        <w:spacing w:after="40" w:before="40"/>
      </w:pPr>
      <w:r>
        <w:rPr>
          <w:rFonts w:ascii="Arial" w:cs="Arial" w:eastAsia="Arial" w:hAnsi="Arial"/>
          <w:color w:val="444444"/>
          <w:sz w:val="22"/>
          <w:szCs w:val="22"/>
        </w:rPr>
        <w:t xml:space="preserve">Consider a 90-second highlight cut for the homepage ATF. Link to full video below.</w:t>
      </w:r>
    </w:p>
    <w:p>
      <w:pPr>
        <w:pStyle w:val="ListParagraph"/>
        <w:numPr>
          <w:ilvl w:val="0"/>
          <w:numId w:val="2"/>
        </w:numPr>
        <w:spacing w:after="40" w:before="40"/>
      </w:pPr>
      <w:r>
        <w:rPr>
          <w:rFonts w:ascii="Arial" w:cs="Arial" w:eastAsia="Arial" w:hAnsi="Arial"/>
          <w:color w:val="444444"/>
          <w:sz w:val="22"/>
          <w:szCs w:val="22"/>
        </w:rPr>
        <w:t xml:space="preserve">The video caption below the player should do more selling: "In 10 minutes you will see: how Sera extracts decisions from meetings, how the human review queue works, and what Sera answers from once memory is built."</w:t>
      </w:r>
    </w:p>
    <w:p>
      <w:r>
        <w:rPr>
          <w:sz w:val="22"/>
          <w:szCs w:val="22"/>
        </w:rPr>
        <w:t xml:space="preserve"/>
      </w:r>
    </w:p>
    <w:p>
      <w:pPr>
        <w:pStyle w:val="Heading3"/>
        <w:spacing w:after="80" w:before="240"/>
      </w:pPr>
      <w:r>
        <w:rPr>
          <w:rFonts w:ascii="Arial" w:cs="Arial" w:eastAsia="Arial" w:hAnsi="Arial"/>
          <w:b/>
          <w:bCs/>
          <w:color w:val="0A1520"/>
          <w:sz w:val="24"/>
          <w:szCs w:val="24"/>
        </w:rPr>
        <w:t xml:space="preserve">Fix 4: Missing Objection-Killers Above the Fold</w:t>
      </w:r>
    </w:p>
    <w:p>
      <w:pPr>
        <w:spacing w:after="120" w:before="80"/>
      </w:pPr>
      <w:r>
        <w:rPr>
          <w:rFonts w:ascii="Arial" w:cs="Arial" w:eastAsia="Arial" w:hAnsi="Arial"/>
          <w:color w:val="444444"/>
          <w:sz w:val="22"/>
          <w:szCs w:val="22"/>
        </w:rPr>
        <w:t xml:space="preserve">Your three biggest objections are: (1) My team won’t change their workflow, (2) Where does our data go, (3) Is this real AI or a marketing word. None are addressed until the FAQ at the bottom.</w:t>
      </w:r>
    </w:p>
    <w:p>
      <w:pPr>
        <w:pStyle w:val="ListParagraph"/>
        <w:numPr>
          <w:ilvl w:val="0"/>
          <w:numId w:val="2"/>
        </w:numPr>
        <w:spacing w:after="40" w:before="40"/>
      </w:pPr>
      <w:r>
        <w:rPr>
          <w:rFonts w:ascii="Arial" w:cs="Arial" w:eastAsia="Arial" w:hAnsi="Arial"/>
          <w:color w:val="444444"/>
          <w:sz w:val="22"/>
          <w:szCs w:val="22"/>
        </w:rPr>
        <w:t xml:space="preserve">Add a 3-chip trust bar below the CTA row: "No workflow change for your team" | "Data stays in your accounts" | "AI drafts. Humans approve."</w:t>
      </w:r>
    </w:p>
    <w:p>
      <w:pPr>
        <w:pStyle w:val="ListParagraph"/>
        <w:numPr>
          <w:ilvl w:val="0"/>
          <w:numId w:val="2"/>
        </w:numPr>
        <w:spacing w:after="40" w:before="40"/>
      </w:pPr>
      <w:r>
        <w:rPr>
          <w:rFonts w:ascii="Arial" w:cs="Arial" w:eastAsia="Arial" w:hAnsi="Arial"/>
          <w:color w:val="444444"/>
          <w:sz w:val="22"/>
          <w:szCs w:val="22"/>
        </w:rPr>
        <w:t xml:space="preserve">This is one line of code. Do it this week.</w:t>
      </w:r>
    </w:p>
    <w:p>
      <w:r>
        <w:rPr>
          <w:sz w:val="22"/>
          <w:szCs w:val="22"/>
        </w:rPr>
        <w:t xml:space="preserve"/>
      </w:r>
    </w:p>
    <w:p>
      <w:pPr>
        <w:pStyle w:val="Heading2"/>
        <w:spacing w:after="120" w:before="320"/>
      </w:pPr>
      <w:r>
        <w:rPr>
          <w:rFonts w:ascii="Arial" w:cs="Arial" w:eastAsia="Arial" w:hAnsi="Arial"/>
          <w:b/>
          <w:bCs/>
          <w:color w:val="2E8B8B"/>
          <w:sz w:val="28"/>
          <w:szCs w:val="28"/>
        </w:rPr>
        <w:t xml:space="preserve">2.2 Audit Page — Your Most Valuable Conversion Asset</w:t>
      </w:r>
    </w:p>
    <w:p>
      <w:pPr>
        <w:spacing w:after="120" w:before="80"/>
      </w:pPr>
      <w:r>
        <w:rPr>
          <w:rFonts w:ascii="Arial" w:cs="Arial" w:eastAsia="Arial" w:hAnsi="Arial"/>
          <w:color w:val="444444"/>
          <w:sz w:val="22"/>
          <w:szCs w:val="22"/>
        </w:rPr>
        <w:t xml:space="preserve">The Organizational Memory Audit is the highest-quality lead magnet on the site. It pre-qualifies, pre-educates, and creates emotional urgency in one interaction. It is also completely undersold.</w:t>
      </w:r>
    </w:p>
    <w:p>
      <w:pPr>
        <w:pStyle w:val="ListParagraph"/>
        <w:numPr>
          <w:ilvl w:val="0"/>
          <w:numId w:val="2"/>
        </w:numPr>
        <w:spacing w:after="40" w:before="40"/>
      </w:pPr>
      <w:r>
        <w:rPr>
          <w:rFonts w:ascii="Arial" w:cs="Arial" w:eastAsia="Arial" w:hAnsi="Arial"/>
          <w:color w:val="444444"/>
          <w:sz w:val="22"/>
          <w:szCs w:val="22"/>
        </w:rPr>
        <w:t xml:space="preserve">Headline fix: "Find out exactly where your organization is leaking" is good but passive. Test: "Your organization is leaking $40,000 per key-person transition. Find out which leaks are yours."</w:t>
      </w:r>
    </w:p>
    <w:p>
      <w:pPr>
        <w:pStyle w:val="ListParagraph"/>
        <w:numPr>
          <w:ilvl w:val="0"/>
          <w:numId w:val="2"/>
        </w:numPr>
        <w:spacing w:after="40" w:before="40"/>
      </w:pPr>
      <w:r>
        <w:rPr>
          <w:rFonts w:ascii="Arial" w:cs="Arial" w:eastAsia="Arial" w:hAnsi="Arial"/>
          <w:color w:val="444444"/>
          <w:sz w:val="22"/>
          <w:szCs w:val="22"/>
        </w:rPr>
        <w:t xml:space="preserve">Add a results share mechanism: After the audit, add a single "Copy this result to share with your leadership team" button. Shareable audit results create free referral traffic and internal selling.</w:t>
      </w:r>
    </w:p>
    <w:p>
      <w:pPr>
        <w:pStyle w:val="ListParagraph"/>
        <w:numPr>
          <w:ilvl w:val="0"/>
          <w:numId w:val="2"/>
        </w:numPr>
        <w:spacing w:after="40" w:before="40"/>
      </w:pPr>
      <w:r>
        <w:rPr>
          <w:rFonts w:ascii="Arial" w:cs="Arial" w:eastAsia="Arial" w:hAnsi="Arial"/>
          <w:color w:val="444444"/>
          <w:sz w:val="22"/>
          <w:szCs w:val="22"/>
        </w:rPr>
        <w:t xml:space="preserve">Add a "What happens next" section at the end of the results: "You have your score. Here is what teams at your risk level typically do next." Then route: Critical/Serious → Book a team demo directly. Moderate → Join the webinar. Stable → Explore the Notion template.</w:t>
      </w:r>
    </w:p>
    <w:p>
      <w:pPr>
        <w:pStyle w:val="ListParagraph"/>
        <w:numPr>
          <w:ilvl w:val="0"/>
          <w:numId w:val="2"/>
        </w:numPr>
        <w:spacing w:after="40" w:before="40"/>
      </w:pPr>
      <w:r>
        <w:rPr>
          <w:rFonts w:ascii="Arial" w:cs="Arial" w:eastAsia="Arial" w:hAnsi="Arial"/>
          <w:color w:val="444444"/>
          <w:sz w:val="22"/>
          <w:szCs w:val="22"/>
        </w:rPr>
        <w:t xml:space="preserve">Wire the audit score into the demo CTA. If someone scores Critical, the CTA should say "Your score is Critical. Most teams at this level book a 30-minute call within 48 hours." Not generic.</w:t>
      </w:r>
    </w:p>
    <w:p>
      <w:r>
        <w:rPr>
          <w:sz w:val="22"/>
          <w:szCs w:val="22"/>
        </w:rPr>
        <w:t xml:space="preserve"/>
      </w:r>
    </w:p>
    <w:p>
      <w:pPr>
        <w:pStyle w:val="Heading2"/>
        <w:spacing w:after="120" w:before="320"/>
      </w:pPr>
      <w:r>
        <w:rPr>
          <w:rFonts w:ascii="Arial" w:cs="Arial" w:eastAsia="Arial" w:hAnsi="Arial"/>
          <w:b/>
          <w:bCs/>
          <w:color w:val="2E8B8B"/>
          <w:sz w:val="28"/>
          <w:szCs w:val="28"/>
        </w:rPr>
        <w:t xml:space="preserve">2.3 Pricing Page — Fix the Uncertainty Tax</w:t>
      </w:r>
    </w:p>
    <w:p>
      <w:pPr>
        <w:spacing w:after="120" w:before="80"/>
      </w:pPr>
      <w:r>
        <w:rPr>
          <w:rFonts w:ascii="Arial" w:cs="Arial" w:eastAsia="Arial" w:hAnsi="Arial"/>
          <w:color w:val="444444"/>
          <w:sz w:val="22"/>
          <w:szCs w:val="22"/>
        </w:rPr>
        <w:t xml:space="preserve">Range pricing creates friction. "$1,500 to $2,500 setup" makes a buyer think: "What puts me at the high end?" Every time a buyer has to ask that question, conversion probability drops 30%.</w:t>
      </w:r>
    </w:p>
    <w:p>
      <w:pPr>
        <w:pStyle w:val="ListParagraph"/>
        <w:numPr>
          <w:ilvl w:val="0"/>
          <w:numId w:val="2"/>
        </w:numPr>
        <w:spacing w:after="40" w:before="40"/>
      </w:pPr>
      <w:r>
        <w:rPr>
          <w:rFonts w:ascii="Arial" w:cs="Arial" w:eastAsia="Arial" w:hAnsi="Arial"/>
          <w:color w:val="444444"/>
          <w:sz w:val="22"/>
          <w:szCs w:val="22"/>
        </w:rPr>
        <w:t xml:space="preserve">Change "$1,500 to $2,500 setup" to "Setup from $1,500" for the Founding tier. Anchor low.</w:t>
      </w:r>
    </w:p>
    <w:p>
      <w:pPr>
        <w:pStyle w:val="ListParagraph"/>
        <w:numPr>
          <w:ilvl w:val="0"/>
          <w:numId w:val="2"/>
        </w:numPr>
        <w:spacing w:after="40" w:before="40"/>
      </w:pPr>
      <w:r>
        <w:rPr>
          <w:rFonts w:ascii="Arial" w:cs="Arial" w:eastAsia="Arial" w:hAnsi="Arial"/>
          <w:color w:val="444444"/>
          <w:sz w:val="22"/>
          <w:szCs w:val="22"/>
        </w:rPr>
        <w:t xml:space="preserve">The "What memory loss actually costs" card at the bottom of pricing is excellent. Move it ABOVE the pricing tiers. Make them feel the cost before they see the price.</w:t>
      </w:r>
    </w:p>
    <w:p>
      <w:pPr>
        <w:pStyle w:val="ListParagraph"/>
        <w:numPr>
          <w:ilvl w:val="0"/>
          <w:numId w:val="2"/>
        </w:numPr>
        <w:spacing w:after="40" w:before="40"/>
      </w:pPr>
      <w:r>
        <w:rPr>
          <w:rFonts w:ascii="Arial" w:cs="Arial" w:eastAsia="Arial" w:hAnsi="Arial"/>
          <w:color w:val="444444"/>
          <w:sz w:val="22"/>
          <w:szCs w:val="22"/>
        </w:rPr>
        <w:t xml:space="preserve">Add a ROI calculator or at least a hardcoded one-liner on the pricing page: "One coordinator transition costs your team an estimated $20,000–$40,000 in lost context. Saberra’s full annual cost is less than half of one transition."</w:t>
      </w:r>
    </w:p>
    <w:p>
      <w:pPr>
        <w:pStyle w:val="ListParagraph"/>
        <w:numPr>
          <w:ilvl w:val="0"/>
          <w:numId w:val="2"/>
        </w:numPr>
        <w:spacing w:after="40" w:before="40"/>
      </w:pPr>
      <w:r>
        <w:rPr>
          <w:rFonts w:ascii="Arial" w:cs="Arial" w:eastAsia="Arial" w:hAnsi="Arial"/>
          <w:color w:val="444444"/>
          <w:sz w:val="22"/>
          <w:szCs w:val="22"/>
        </w:rPr>
        <w:t xml:space="preserve">Add a comparison bar above pricing: “Saberra vs. hiring a chief of staff to do this manually” — Saberra: $300–$500/month. Part-time COA: $4,000–$8,000/month. This reframes price entirely.</w:t>
      </w:r>
    </w:p>
    <w:p>
      <w:r>
        <w:rPr>
          <w:sz w:val="22"/>
          <w:szCs w:val="22"/>
        </w:rPr>
        <w:t xml:space="preserve"/>
      </w:r>
    </w:p>
    <w:p>
      <w:pPr>
        <w:pStyle w:val="Heading2"/>
        <w:spacing w:after="120" w:before="320"/>
      </w:pPr>
      <w:r>
        <w:rPr>
          <w:rFonts w:ascii="Arial" w:cs="Arial" w:eastAsia="Arial" w:hAnsi="Arial"/>
          <w:b/>
          <w:bCs/>
          <w:color w:val="2E8B8B"/>
          <w:sz w:val="28"/>
          <w:szCs w:val="28"/>
        </w:rPr>
        <w:t xml:space="preserve">2.4 Demo Hub — Reduce First-Touch Friction</w:t>
      </w:r>
    </w:p>
    <w:p>
      <w:pPr>
        <w:spacing w:after="120" w:before="80"/>
      </w:pPr>
      <w:r>
        <w:rPr>
          <w:rFonts w:ascii="Arial" w:cs="Arial" w:eastAsia="Arial" w:hAnsi="Arial"/>
          <w:color w:val="444444"/>
          <w:sz w:val="22"/>
          <w:szCs w:val="22"/>
        </w:rPr>
        <w:t xml:space="preserve">The three-path demo hub is the right architecture. The forms are too heavy for a first visit. A person arriving cold should not face a full form with email + segment + current tools just to get the Notion template.</w:t>
      </w:r>
    </w:p>
    <w:p>
      <w:pPr>
        <w:pStyle w:val="ListParagraph"/>
        <w:numPr>
          <w:ilvl w:val="0"/>
          <w:numId w:val="2"/>
        </w:numPr>
        <w:spacing w:after="40" w:before="40"/>
      </w:pPr>
      <w:r>
        <w:rPr>
          <w:rFonts w:ascii="Arial" w:cs="Arial" w:eastAsia="Arial" w:hAnsi="Arial"/>
          <w:color w:val="444444"/>
          <w:sz w:val="22"/>
          <w:szCs w:val="22"/>
        </w:rPr>
        <w:t xml:space="preserve">Notion Template form: Reduce to email only for first submission. Capture segment and tools in a follow-up email. Every extra field costs 10–20% conversion.</w:t>
      </w:r>
    </w:p>
    <w:p>
      <w:pPr>
        <w:pStyle w:val="ListParagraph"/>
        <w:numPr>
          <w:ilvl w:val="0"/>
          <w:numId w:val="2"/>
        </w:numPr>
        <w:spacing w:after="40" w:before="40"/>
      </w:pPr>
      <w:r>
        <w:rPr>
          <w:rFonts w:ascii="Arial" w:cs="Arial" w:eastAsia="Arial" w:hAnsi="Arial"/>
          <w:color w:val="444444"/>
          <w:sz w:val="22"/>
          <w:szCs w:val="22"/>
        </w:rPr>
        <w:t xml:space="preserve">Webinar form: Email + Name is correct. Consider adding: "When works best for you?" with 3 radio options (Mornings / Afternoons / Evenings). This increases show rate and gives you scheduling data.</w:t>
      </w:r>
    </w:p>
    <w:p>
      <w:pPr>
        <w:pStyle w:val="ListParagraph"/>
        <w:numPr>
          <w:ilvl w:val="0"/>
          <w:numId w:val="2"/>
        </w:numPr>
        <w:spacing w:after="40" w:before="40"/>
      </w:pPr>
      <w:r>
        <w:rPr>
          <w:rFonts w:ascii="Arial" w:cs="Arial" w:eastAsia="Arial" w:hAnsi="Arial"/>
          <w:color w:val="444444"/>
          <w:sz w:val="22"/>
          <w:szCs w:val="22"/>
        </w:rPr>
        <w:t xml:space="preserve">Team Demo form: The current form is actually appropriate here. Teams booking demos are committed. Keep it.</w:t>
      </w:r>
    </w:p>
    <w:p>
      <w:pPr>
        <w:pStyle w:val="ListParagraph"/>
        <w:numPr>
          <w:ilvl w:val="0"/>
          <w:numId w:val="2"/>
        </w:numPr>
        <w:spacing w:after="40" w:before="40"/>
      </w:pPr>
      <w:r>
        <w:rPr>
          <w:rFonts w:ascii="Arial" w:cs="Arial" w:eastAsia="Arial" w:hAnsi="Arial"/>
          <w:color w:val="444444"/>
          <w:sz w:val="22"/>
          <w:szCs w:val="22"/>
        </w:rPr>
        <w:t xml:space="preserve">Add urgency to the Founding Partner path on this page: "3 of 5 founding spots claimed." Update the number manually each time you close one.</w:t>
      </w:r>
    </w:p>
    <w:p>
      <w:pPr>
        <w:pageBreakBefore/>
      </w:pPr>
      <w:r>
        <w:t xml:space="preserve"/>
      </w:r>
    </w:p>
    <w:p>
      <w:pPr>
        <w:pStyle w:val="Heading1"/>
        <w:spacing w:after="160" w:before="400"/>
      </w:pPr>
      <w:r>
        <w:rPr>
          <w:rFonts w:ascii="Arial" w:cs="Arial" w:eastAsia="Arial" w:hAnsi="Arial"/>
          <w:b/>
          <w:bCs/>
          <w:color w:val="0A1520"/>
          <w:sz w:val="36"/>
          <w:szCs w:val="36"/>
        </w:rPr>
        <w:t xml:space="preserve">3. Demo Funnel Architecture</w:t>
      </w:r>
    </w:p>
    <w:p>
      <w:pPr>
        <w:pStyle w:val="Heading2"/>
        <w:spacing w:after="120" w:before="320"/>
      </w:pPr>
      <w:r>
        <w:rPr>
          <w:rFonts w:ascii="Arial" w:cs="Arial" w:eastAsia="Arial" w:hAnsi="Arial"/>
          <w:b/>
          <w:bCs/>
          <w:color w:val="2E8B8B"/>
          <w:sz w:val="28"/>
          <w:szCs w:val="28"/>
        </w:rPr>
        <w:t xml:space="preserve">3.1 The Current Funnel Has a Leaky Middle</w:t>
      </w:r>
    </w:p>
    <w:p>
      <w:pPr>
        <w:spacing w:after="120" w:before="80"/>
      </w:pPr>
      <w:r>
        <w:rPr>
          <w:rFonts w:ascii="Arial" w:cs="Arial" w:eastAsia="Arial" w:hAnsi="Arial"/>
          <w:color w:val="444444"/>
          <w:sz w:val="22"/>
          <w:szCs w:val="22"/>
        </w:rPr>
        <w:t xml:space="preserve">The current funnel is: Homepage → Demo Hub → Form submission → Nothing. The gap between form submission and a booked call is where most revenue dies. You need a structured nurture sequence between those two points.</w:t>
      </w:r>
    </w:p>
    <w:p>
      <w:r>
        <w:rPr>
          <w:sz w:val="22"/>
          <w:szCs w:val="22"/>
        </w:rPr>
        <w:t xml:space="preserve"/>
      </w:r>
    </w:p>
    <w:p>
      <w:pPr>
        <w:pStyle w:val="Heading2"/>
        <w:spacing w:after="120" w:before="320"/>
      </w:pPr>
      <w:r>
        <w:rPr>
          <w:rFonts w:ascii="Arial" w:cs="Arial" w:eastAsia="Arial" w:hAnsi="Arial"/>
          <w:b/>
          <w:bCs/>
          <w:color w:val="2E8B8B"/>
          <w:sz w:val="28"/>
          <w:szCs w:val="28"/>
        </w:rPr>
        <w:t xml:space="preserve">3.2 Full Funnel Map — Recommended State</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560"/>
      </w:tblGrid>
      <w:tr>
        <w:trPr>
          <w:tblHeader/>
        </w:trPr>
        <w:tc>
          <w:tcPr>
            <w:tcW w:type="dxa" w:w="18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Stage</w:t>
            </w:r>
          </w:p>
        </w:tc>
        <w:tc>
          <w:tcPr>
            <w:tcW w:type="dxa" w:w="30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Current State</w:t>
            </w:r>
          </w:p>
        </w:tc>
        <w:tc>
          <w:tcPr>
            <w:tcW w:type="dxa" w:w="456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Recommended State</w:t>
            </w:r>
          </w:p>
        </w:tc>
      </w:tr>
      <w:tr>
        <w:tc>
          <w:tcPr>
            <w:tcW w:type="dxa" w:w="18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TOFU</w:t>
            </w:r>
          </w:p>
        </w:tc>
        <w:tc>
          <w:tcPr>
            <w:tcW w:type="dxa" w:w="3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Homepage + paid/organic traffic</w:t>
            </w:r>
          </w:p>
        </w:tc>
        <w:tc>
          <w:tcPr>
            <w:tcW w:type="dxa" w:w="45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Homepage + Audit CTA as primary entry. Audit completers are your most qualified TOFU.</w:t>
            </w:r>
          </w:p>
        </w:tc>
      </w:tr>
      <w:tr>
        <w:tc>
          <w:tcPr>
            <w:tcW w:type="dxa" w:w="18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MOFU</w:t>
            </w:r>
          </w:p>
        </w:tc>
        <w:tc>
          <w:tcPr>
            <w:tcW w:type="dxa" w:w="3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Audit or demo hub form submit → silence</w:t>
            </w:r>
          </w:p>
        </w:tc>
        <w:tc>
          <w:tcPr>
            <w:tcW w:type="dxa" w:w="45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Audit → score-based routing: Critical/Serious → direct demo CTA. Moderate → webinar. All → 3-email nurture sequence.</w:t>
            </w:r>
          </w:p>
        </w:tc>
      </w:tr>
      <w:tr>
        <w:tc>
          <w:tcPr>
            <w:tcW w:type="dxa" w:w="18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Webinar</w:t>
            </w:r>
          </w:p>
        </w:tc>
        <w:tc>
          <w:tcPr>
            <w:tcW w:type="dxa" w:w="3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Waitlist form exists, no visible cadence</w:t>
            </w:r>
          </w:p>
        </w:tc>
        <w:tc>
          <w:tcPr>
            <w:tcW w:type="dxa" w:w="45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Monthly live webinar. 45 min demo + 15 min Q&amp;A. Ends with: ‘Would a private team demo help?’ Expect 20–30% conversion to team demo.</w:t>
            </w:r>
          </w:p>
        </w:tc>
      </w:tr>
      <w:tr>
        <w:tc>
          <w:tcPr>
            <w:tcW w:type="dxa" w:w="18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Team Demo</w:t>
            </w:r>
          </w:p>
        </w:tc>
        <w:tc>
          <w:tcPr>
            <w:tcW w:type="dxa" w:w="3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30-min form, no context on next step</w:t>
            </w:r>
          </w:p>
        </w:tc>
        <w:tc>
          <w:tcPr>
            <w:tcW w:type="dxa" w:w="45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Add a Calendly or Google Calendar direct link. The goal is to remove ALL friction between form submit and scheduled call.</w:t>
            </w:r>
          </w:p>
        </w:tc>
      </w:tr>
      <w:tr>
        <w:tc>
          <w:tcPr>
            <w:tcW w:type="dxa" w:w="18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BOFU</w:t>
            </w:r>
          </w:p>
        </w:tc>
        <w:tc>
          <w:tcPr>
            <w:tcW w:type="dxa" w:w="3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Founding access form → founder response</w:t>
            </w:r>
          </w:p>
        </w:tc>
        <w:tc>
          <w:tcPr>
            <w:tcW w:type="dxa" w:w="45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Add: post-demo follow-up template, case study PDF, and a ‘here is what the first 30 days look like’ one-pager.</w:t>
            </w:r>
          </w:p>
        </w:tc>
      </w:tr>
      <w:tr>
        <w:tc>
          <w:tcPr>
            <w:tcW w:type="dxa" w:w="18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Nurture</w:t>
            </w:r>
          </w:p>
        </w:tc>
        <w:tc>
          <w:tcPr>
            <w:tcW w:type="dxa" w:w="3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None visible</w:t>
            </w:r>
          </w:p>
        </w:tc>
        <w:tc>
          <w:tcPr>
            <w:tcW w:type="dxa" w:w="45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3-email sequence post-audit: Email 1: Your score + what it means. Email 2: A story about a team at your exact risk level. Email 3: Here is what the next step looks like if you’re ready.</w:t>
            </w:r>
          </w:p>
        </w:tc>
      </w:tr>
    </w:tbl>
    <w:p>
      <w:r>
        <w:rPr>
          <w:sz w:val="22"/>
          <w:szCs w:val="22"/>
        </w:rPr>
        <w:t xml:space="preserve"/>
      </w:r>
    </w:p>
    <w:p>
      <w:pPr>
        <w:pStyle w:val="Heading2"/>
        <w:spacing w:after="120" w:before="320"/>
      </w:pPr>
      <w:r>
        <w:rPr>
          <w:rFonts w:ascii="Arial" w:cs="Arial" w:eastAsia="Arial" w:hAnsi="Arial"/>
          <w:b/>
          <w:bCs/>
          <w:color w:val="2E8B8B"/>
          <w:sz w:val="28"/>
          <w:szCs w:val="28"/>
        </w:rPr>
        <w:t xml:space="preserve">3.3 The Webinar as a Conversion Engine</w:t>
      </w:r>
    </w:p>
    <w:p>
      <w:pPr>
        <w:spacing w:after="120" w:before="80"/>
      </w:pPr>
      <w:r>
        <w:rPr>
          <w:rFonts w:ascii="Arial" w:cs="Arial" w:eastAsia="Arial" w:hAnsi="Arial"/>
          <w:color w:val="444444"/>
          <w:sz w:val="22"/>
          <w:szCs w:val="22"/>
        </w:rPr>
        <w:t xml:space="preserve">A monthly 60-minute live webinar is the highest-leverage move available to Saberra right now. Here is why: your ICP (ops leads, founders, chiefs of staff) will watch a webinar about organizational memory loss. The problem is emotionally resonant and familiar. A live demo of Sera processing a real org’s context is viscerally convincing in a way that a static page cannot be.</w:t>
      </w:r>
    </w:p>
    <w:p>
      <w:pPr>
        <w:pStyle w:val="ListParagraph"/>
        <w:numPr>
          <w:ilvl w:val="0"/>
          <w:numId w:val="2"/>
        </w:numPr>
        <w:spacing w:after="40" w:before="40"/>
      </w:pPr>
      <w:r>
        <w:rPr>
          <w:rFonts w:ascii="Arial" w:cs="Arial" w:eastAsia="Arial" w:hAnsi="Arial"/>
          <w:color w:val="444444"/>
          <w:sz w:val="22"/>
          <w:szCs w:val="22"/>
        </w:rPr>
        <w:t xml:space="preserve">Format: 15 min problem framing → 30 min live Sera demo with Q&amp;A → 10 min offer (team demo or Founding Partner application)</w:t>
      </w:r>
    </w:p>
    <w:p>
      <w:pPr>
        <w:pStyle w:val="ListParagraph"/>
        <w:numPr>
          <w:ilvl w:val="0"/>
          <w:numId w:val="2"/>
        </w:numPr>
        <w:spacing w:after="40" w:before="40"/>
      </w:pPr>
      <w:r>
        <w:rPr>
          <w:rFonts w:ascii="Arial" w:cs="Arial" w:eastAsia="Arial" w:hAnsi="Arial"/>
          <w:color w:val="444444"/>
          <w:sz w:val="22"/>
          <w:szCs w:val="22"/>
        </w:rPr>
        <w:t xml:space="preserve">Promotion: LinkedIn post 2 weeks out, 1 week out, day-of. Email your waitlist. DM your audit completers.</w:t>
      </w:r>
    </w:p>
    <w:p>
      <w:pPr>
        <w:pStyle w:val="ListParagraph"/>
        <w:numPr>
          <w:ilvl w:val="0"/>
          <w:numId w:val="2"/>
        </w:numPr>
        <w:spacing w:after="40" w:before="40"/>
      </w:pPr>
      <w:r>
        <w:rPr>
          <w:rFonts w:ascii="Arial" w:cs="Arial" w:eastAsia="Arial" w:hAnsi="Arial"/>
          <w:color w:val="444444"/>
          <w:sz w:val="22"/>
          <w:szCs w:val="22"/>
        </w:rPr>
        <w:t xml:space="preserve">Recording: Gate the replay behind an email opt-in. This becomes your evergreen lead magnet.</w:t>
      </w:r>
    </w:p>
    <w:p>
      <w:pPr>
        <w:pStyle w:val="ListParagraph"/>
        <w:numPr>
          <w:ilvl w:val="0"/>
          <w:numId w:val="2"/>
        </w:numPr>
        <w:spacing w:after="40" w:before="40"/>
      </w:pPr>
      <w:r>
        <w:rPr>
          <w:rFonts w:ascii="Arial" w:cs="Arial" w:eastAsia="Arial" w:hAnsi="Arial"/>
          <w:color w:val="444444"/>
          <w:sz w:val="22"/>
          <w:szCs w:val="22"/>
        </w:rPr>
        <w:t xml:space="preserve">Goal: 20–30 attendees per session. At 20% conversion to team demo, that is 4–6 demo calls per month from one piece of content.</w:t>
      </w:r>
    </w:p>
    <w:p>
      <w:pPr>
        <w:pageBreakBefore/>
      </w:pPr>
      <w:r>
        <w:t xml:space="preserve"/>
      </w:r>
    </w:p>
    <w:p>
      <w:pPr>
        <w:pStyle w:val="Heading1"/>
        <w:spacing w:after="160" w:before="400"/>
      </w:pPr>
      <w:r>
        <w:rPr>
          <w:rFonts w:ascii="Arial" w:cs="Arial" w:eastAsia="Arial" w:hAnsi="Arial"/>
          <w:b/>
          <w:bCs/>
          <w:color w:val="0A1520"/>
          <w:sz w:val="36"/>
          <w:szCs w:val="36"/>
        </w:rPr>
        <w:t xml:space="preserve">4. LinkedIn Outbound Strategy</w:t>
      </w:r>
    </w:p>
    <w:p>
      <w:pPr>
        <w:pStyle w:val="Heading2"/>
        <w:spacing w:after="120" w:before="320"/>
      </w:pPr>
      <w:r>
        <w:rPr>
          <w:rFonts w:ascii="Arial" w:cs="Arial" w:eastAsia="Arial" w:hAnsi="Arial"/>
          <w:b/>
          <w:bCs/>
          <w:color w:val="2E8B8B"/>
          <w:sz w:val="28"/>
          <w:szCs w:val="28"/>
        </w:rPr>
        <w:t xml:space="preserve">4.1 Target Profiles by Segment</w:t>
      </w:r>
    </w:p>
    <w:p>
      <w:pPr>
        <w:spacing w:after="120" w:before="80"/>
      </w:pPr>
      <w:r>
        <w:rPr>
          <w:rFonts w:ascii="Arial" w:cs="Arial" w:eastAsia="Arial" w:hAnsi="Arial"/>
          <w:color w:val="444444"/>
          <w:sz w:val="22"/>
          <w:szCs w:val="22"/>
        </w:rPr>
        <w:t xml:space="preserve">LinkedIn outbound works when the ICP is precise and the message sequence is tight. Here are the four job title clusters to target:</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80"/>
              <w:left w:type="dxa" w:w="0"/>
              <w:bottom w:type="dxa" w:w="80"/>
              <w:right w:type="dxa" w:w="180"/>
            </w:tcMar>
          </w:tcPr>
          <w:p>
            <w:pPr>
              <w:spacing w:after="60" w:before="0"/>
            </w:pPr>
            <w:r>
              <w:rPr>
                <w:rFonts w:ascii="Arial" w:cs="Arial" w:eastAsia="Arial" w:hAnsi="Arial"/>
                <w:b/>
                <w:bCs/>
                <w:color w:val="2E8B8B"/>
                <w:sz w:val="20"/>
                <w:szCs w:val="20"/>
              </w:rPr>
              <w:t xml:space="preserve">PRIMARY TARGETS</w:t>
            </w:r>
          </w:p>
          <w:p>
            <w:pPr>
              <w:pStyle w:val="ListParagraph"/>
              <w:numPr>
                <w:ilvl w:val="0"/>
                <w:numId w:val="2"/>
              </w:numPr>
              <w:spacing w:after="40" w:before="40"/>
            </w:pPr>
            <w:r>
              <w:rPr>
                <w:rFonts w:ascii="Arial" w:cs="Arial" w:eastAsia="Arial" w:hAnsi="Arial"/>
                <w:color w:val="444444"/>
                <w:sz w:val="22"/>
                <w:szCs w:val="22"/>
              </w:rPr>
              <w:t xml:space="preserve">Chief of Staff (companies 20–200)</w:t>
            </w:r>
          </w:p>
          <w:p>
            <w:pPr>
              <w:pStyle w:val="ListParagraph"/>
              <w:numPr>
                <w:ilvl w:val="0"/>
                <w:numId w:val="2"/>
              </w:numPr>
              <w:spacing w:after="40" w:before="40"/>
            </w:pPr>
            <w:r>
              <w:rPr>
                <w:rFonts w:ascii="Arial" w:cs="Arial" w:eastAsia="Arial" w:hAnsi="Arial"/>
                <w:color w:val="444444"/>
                <w:sz w:val="22"/>
                <w:szCs w:val="22"/>
              </w:rPr>
              <w:t xml:space="preserve">Operations Director / Head of Operations</w:t>
            </w:r>
          </w:p>
          <w:p>
            <w:pPr>
              <w:pStyle w:val="ListParagraph"/>
              <w:numPr>
                <w:ilvl w:val="0"/>
                <w:numId w:val="2"/>
              </w:numPr>
              <w:spacing w:after="40" w:before="40"/>
            </w:pPr>
            <w:r>
              <w:rPr>
                <w:rFonts w:ascii="Arial" w:cs="Arial" w:eastAsia="Arial" w:hAnsi="Arial"/>
                <w:color w:val="444444"/>
                <w:sz w:val="22"/>
                <w:szCs w:val="22"/>
              </w:rPr>
              <w:t xml:space="preserve">Managing Partner (consultancies 10–60 staff)</w:t>
            </w:r>
          </w:p>
          <w:p>
            <w:pPr>
              <w:pStyle w:val="ListParagraph"/>
              <w:numPr>
                <w:ilvl w:val="0"/>
                <w:numId w:val="2"/>
              </w:numPr>
              <w:spacing w:after="40" w:before="40"/>
            </w:pPr>
            <w:r>
              <w:rPr>
                <w:rFonts w:ascii="Arial" w:cs="Arial" w:eastAsia="Arial" w:hAnsi="Arial"/>
                <w:color w:val="444444"/>
                <w:sz w:val="22"/>
                <w:szCs w:val="22"/>
              </w:rPr>
              <w:t xml:space="preserve">Founder / CEO (companies 20–80 staff, ops-heavy)</w:t>
            </w:r>
          </w:p>
          <w:p>
            <w:pPr>
              <w:pStyle w:val="ListParagraph"/>
              <w:numPr>
                <w:ilvl w:val="0"/>
                <w:numId w:val="2"/>
              </w:numPr>
              <w:spacing w:after="40" w:before="40"/>
            </w:pPr>
            <w:r>
              <w:rPr>
                <w:rFonts w:ascii="Arial" w:cs="Arial" w:eastAsia="Arial" w:hAnsi="Arial"/>
                <w:color w:val="444444"/>
                <w:sz w:val="22"/>
                <w:szCs w:val="22"/>
              </w:rPr>
              <w:t xml:space="preserve">Executive Director (nonprofits 15–70 staff)</w:t>
            </w:r>
          </w:p>
        </w:tc>
        <w:tc>
          <w:tcPr>
            <w:tcW w:type="dxa" w:w="4680"/>
            <w:tcBorders>
              <w:top w:val="none" w:color="FFFFFF" w:sz="0"/>
              <w:left w:val="none" w:color="FFFFFF" w:sz="0"/>
              <w:bottom w:val="none" w:color="FFFFFF" w:sz="0"/>
              <w:right w:val="none" w:color="FFFFFF" w:sz="0"/>
            </w:tcBorders>
            <w:tcMar>
              <w:top w:type="dxa" w:w="80"/>
              <w:left w:type="dxa" w:w="180"/>
              <w:bottom w:type="dxa" w:w="80"/>
              <w:right w:type="dxa" w:w="0"/>
            </w:tcMar>
          </w:tcPr>
          <w:p>
            <w:pPr>
              <w:spacing w:after="60" w:before="0"/>
            </w:pPr>
            <w:r>
              <w:rPr>
                <w:rFonts w:ascii="Arial" w:cs="Arial" w:eastAsia="Arial" w:hAnsi="Arial"/>
                <w:b/>
                <w:bCs/>
                <w:color w:val="D6A24A"/>
                <w:sz w:val="20"/>
                <w:szCs w:val="20"/>
              </w:rPr>
              <w:t xml:space="preserve">SECONDARY TARGETS</w:t>
            </w:r>
          </w:p>
          <w:p>
            <w:pPr>
              <w:pStyle w:val="ListParagraph"/>
              <w:numPr>
                <w:ilvl w:val="0"/>
                <w:numId w:val="2"/>
              </w:numPr>
              <w:spacing w:after="40" w:before="40"/>
            </w:pPr>
            <w:r>
              <w:rPr>
                <w:rFonts w:ascii="Arial" w:cs="Arial" w:eastAsia="Arial" w:hAnsi="Arial"/>
                <w:color w:val="444444"/>
                <w:sz w:val="22"/>
                <w:szCs w:val="22"/>
              </w:rPr>
              <w:t xml:space="preserve">Fractional COO / Integrator</w:t>
            </w:r>
          </w:p>
          <w:p>
            <w:pPr>
              <w:pStyle w:val="ListParagraph"/>
              <w:numPr>
                <w:ilvl w:val="0"/>
                <w:numId w:val="2"/>
              </w:numPr>
              <w:spacing w:after="40" w:before="40"/>
            </w:pPr>
            <w:r>
              <w:rPr>
                <w:rFonts w:ascii="Arial" w:cs="Arial" w:eastAsia="Arial" w:hAnsi="Arial"/>
                <w:color w:val="444444"/>
                <w:sz w:val="22"/>
                <w:szCs w:val="22"/>
              </w:rPr>
              <w:t xml:space="preserve">Program Director (nonprofits)</w:t>
            </w:r>
          </w:p>
          <w:p>
            <w:pPr>
              <w:pStyle w:val="ListParagraph"/>
              <w:numPr>
                <w:ilvl w:val="0"/>
                <w:numId w:val="2"/>
              </w:numPr>
              <w:spacing w:after="40" w:before="40"/>
            </w:pPr>
            <w:r>
              <w:rPr>
                <w:rFonts w:ascii="Arial" w:cs="Arial" w:eastAsia="Arial" w:hAnsi="Arial"/>
                <w:color w:val="444444"/>
                <w:sz w:val="22"/>
                <w:szCs w:val="22"/>
              </w:rPr>
              <w:t xml:space="preserve">Delivery Lead (consultancies)</w:t>
            </w:r>
          </w:p>
          <w:p>
            <w:pPr>
              <w:pStyle w:val="ListParagraph"/>
              <w:numPr>
                <w:ilvl w:val="0"/>
                <w:numId w:val="2"/>
              </w:numPr>
              <w:spacing w:after="40" w:before="40"/>
            </w:pPr>
            <w:r>
              <w:rPr>
                <w:rFonts w:ascii="Arial" w:cs="Arial" w:eastAsia="Arial" w:hAnsi="Arial"/>
                <w:color w:val="444444"/>
                <w:sz w:val="22"/>
                <w:szCs w:val="22"/>
              </w:rPr>
              <w:t xml:space="preserve">Head of People (50+ staff)</w:t>
            </w:r>
          </w:p>
          <w:p>
            <w:pPr>
              <w:pStyle w:val="ListParagraph"/>
              <w:numPr>
                <w:ilvl w:val="0"/>
                <w:numId w:val="2"/>
              </w:numPr>
              <w:spacing w:after="40" w:before="40"/>
            </w:pPr>
            <w:r>
              <w:rPr>
                <w:rFonts w:ascii="Arial" w:cs="Arial" w:eastAsia="Arial" w:hAnsi="Arial"/>
                <w:color w:val="444444"/>
                <w:sz w:val="22"/>
                <w:szCs w:val="22"/>
              </w:rPr>
              <w:t xml:space="preserve">Board member / governance lead (nonprofits)</w:t>
            </w:r>
          </w:p>
        </w:tc>
      </w:tr>
    </w:tbl>
    <w:p>
      <w:r>
        <w:rPr>
          <w:sz w:val="22"/>
          <w:szCs w:val="22"/>
        </w:rPr>
        <w:t xml:space="preserve"/>
      </w:r>
    </w:p>
    <w:p>
      <w:pPr>
        <w:pStyle w:val="Heading2"/>
        <w:spacing w:after="120" w:before="320"/>
      </w:pPr>
      <w:r>
        <w:rPr>
          <w:rFonts w:ascii="Arial" w:cs="Arial" w:eastAsia="Arial" w:hAnsi="Arial"/>
          <w:b/>
          <w:bCs/>
          <w:color w:val="2E8B8B"/>
          <w:sz w:val="28"/>
          <w:szCs w:val="28"/>
        </w:rPr>
        <w:t xml:space="preserve">4.2 Four-Touch Outbound Sequence</w:t>
      </w:r>
    </w:p>
    <w:p>
      <w:pPr>
        <w:spacing w:after="120" w:before="80"/>
      </w:pPr>
      <w:r>
        <w:rPr>
          <w:rFonts w:ascii="Arial" w:cs="Arial" w:eastAsia="Arial" w:hAnsi="Arial"/>
          <w:color w:val="444444"/>
          <w:sz w:val="22"/>
          <w:szCs w:val="22"/>
        </w:rPr>
        <w:t xml:space="preserve">The most effective LinkedIn DM sequences for B2B services are pain-first, short, and never pitch in the first message. Here is the exact four-touch sequence to use:</w:t>
      </w:r>
    </w:p>
    <w:p>
      <w:r>
        <w:rPr>
          <w:sz w:val="22"/>
          <w:szCs w:val="22"/>
        </w:rPr>
        <w:t xml:space="preserve"/>
      </w:r>
    </w:p>
    <w:p>
      <w:pPr>
        <w:pStyle w:val="Heading3"/>
        <w:spacing w:after="80" w:before="240"/>
      </w:pPr>
      <w:r>
        <w:rPr>
          <w:rFonts w:ascii="Arial" w:cs="Arial" w:eastAsia="Arial" w:hAnsi="Arial"/>
          <w:b/>
          <w:bCs/>
          <w:color w:val="0A1520"/>
          <w:sz w:val="24"/>
          <w:szCs w:val="24"/>
        </w:rPr>
        <w:t xml:space="preserve">Touch 1 — Day 1 — Connection request note (max 200 chars)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2E8B8B" w:sz="8"/>
              <w:left w:val="single" w:color="2E8B8B"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2E8B8B"/>
                <w:sz w:val="22"/>
                <w:szCs w:val="22"/>
              </w:rPr>
              <w:t xml:space="preserve">Script</w:t>
            </w:r>
          </w:p>
          <w:p>
            <w:pPr>
              <w:spacing w:after="0" w:before="0"/>
            </w:pPr>
            <w:r>
              <w:rPr>
                <w:rFonts w:ascii="Arial" w:cs="Arial" w:eastAsia="Arial" w:hAnsi="Arial"/>
                <w:color w:val="444444"/>
                <w:sz w:val="21"/>
                <w:szCs w:val="21"/>
              </w:rPr>
              <w:t xml:space="preserve">"Hi [Name], I work on organizational memory infrastructure for teams like [company type]. Noticed you’re in [ops/strategy/governance]. Would love to be connected."</w:t>
            </w:r>
          </w:p>
        </w:tc>
      </w:tr>
    </w:tbl>
    <w:p>
      <w:r>
        <w:rPr>
          <w:sz w:val="22"/>
          <w:szCs w:val="22"/>
        </w:rPr>
        <w:t xml:space="preserve"/>
      </w:r>
    </w:p>
    <w:p>
      <w:pPr>
        <w:pStyle w:val="Heading3"/>
        <w:spacing w:after="80" w:before="240"/>
      </w:pPr>
      <w:r>
        <w:rPr>
          <w:rFonts w:ascii="Arial" w:cs="Arial" w:eastAsia="Arial" w:hAnsi="Arial"/>
          <w:b/>
          <w:bCs/>
          <w:color w:val="0A1520"/>
          <w:sz w:val="24"/>
          <w:szCs w:val="24"/>
        </w:rPr>
        <w:t xml:space="preserve">Touch 2 — Day 3 after connect — Pain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2E8B8B" w:sz="8"/>
              <w:left w:val="single" w:color="2E8B8B"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2E8B8B"/>
                <w:sz w:val="22"/>
                <w:szCs w:val="22"/>
              </w:rPr>
              <w:t xml:space="preserve">Script</w:t>
            </w:r>
          </w:p>
          <w:p>
            <w:pPr>
              <w:spacing w:after="0" w:before="0"/>
            </w:pPr>
            <w:r>
              <w:rPr>
                <w:rFonts w:ascii="Arial" w:cs="Arial" w:eastAsia="Arial" w:hAnsi="Arial"/>
                <w:color w:val="444444"/>
                <w:sz w:val="21"/>
                <w:szCs w:val="21"/>
              </w:rPr>
              <w:t xml:space="preserve">"Hey [Name], quick one: does [Company] have a way to search what was decided in, say, Q1? I talk to a lot of [ops leads / chiefs of staff / consultancy partners] who’ve found that the answer is ‘sort of.’ Curious what your reality is."</w:t>
            </w:r>
          </w:p>
        </w:tc>
      </w:tr>
    </w:tbl>
    <w:p>
      <w:r>
        <w:rPr>
          <w:sz w:val="22"/>
          <w:szCs w:val="22"/>
        </w:rPr>
        <w:t xml:space="preserve"/>
      </w:r>
    </w:p>
    <w:p>
      <w:pPr>
        <w:pStyle w:val="Heading3"/>
        <w:spacing w:after="80" w:before="240"/>
      </w:pPr>
      <w:r>
        <w:rPr>
          <w:rFonts w:ascii="Arial" w:cs="Arial" w:eastAsia="Arial" w:hAnsi="Arial"/>
          <w:b/>
          <w:bCs/>
          <w:color w:val="0A1520"/>
          <w:sz w:val="24"/>
          <w:szCs w:val="24"/>
        </w:rPr>
        <w:t xml:space="preserve">Touch 3 — Day 7 if no reply — Proof nudge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2E8B8B" w:sz="8"/>
              <w:left w:val="single" w:color="2E8B8B"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2E8B8B"/>
                <w:sz w:val="22"/>
                <w:szCs w:val="22"/>
              </w:rPr>
              <w:t xml:space="preserve">Script</w:t>
            </w:r>
          </w:p>
          <w:p>
            <w:pPr>
              <w:spacing w:after="0" w:before="0"/>
            </w:pPr>
            <w:r>
              <w:rPr>
                <w:rFonts w:ascii="Arial" w:cs="Arial" w:eastAsia="Arial" w:hAnsi="Arial"/>
                <w:color w:val="444444"/>
                <w:sz w:val="21"/>
                <w:szCs w:val="21"/>
              </w:rPr>
              <w:t xml:space="preserve">"Dropped this in case it’s useful: we just published a 10-question memory audit [link] that a lot of [ops leaders] are using to diagnose exactly where context is leaking. Scores in under 3 minutes. No pitch, just a diagnostic."</w:t>
            </w:r>
          </w:p>
        </w:tc>
      </w:tr>
    </w:tbl>
    <w:p>
      <w:r>
        <w:rPr>
          <w:sz w:val="22"/>
          <w:szCs w:val="22"/>
        </w:rPr>
        <w:t xml:space="preserve"/>
      </w:r>
    </w:p>
    <w:p>
      <w:pPr>
        <w:pStyle w:val="Heading3"/>
        <w:spacing w:after="80" w:before="240"/>
      </w:pPr>
      <w:r>
        <w:rPr>
          <w:rFonts w:ascii="Arial" w:cs="Arial" w:eastAsia="Arial" w:hAnsi="Arial"/>
          <w:b/>
          <w:bCs/>
          <w:color w:val="0A1520"/>
          <w:sz w:val="24"/>
          <w:szCs w:val="24"/>
        </w:rPr>
        <w:t xml:space="preserve">Touch 4 — Day 14 if no reply — Close or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2E8B8B" w:sz="8"/>
              <w:left w:val="single" w:color="2E8B8B"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2E8B8B"/>
                <w:sz w:val="22"/>
                <w:szCs w:val="22"/>
              </w:rPr>
              <w:t xml:space="preserve">Script</w:t>
            </w:r>
          </w:p>
          <w:p>
            <w:pPr>
              <w:spacing w:after="0" w:before="0"/>
            </w:pPr>
            <w:r>
              <w:rPr>
                <w:rFonts w:ascii="Arial" w:cs="Arial" w:eastAsia="Arial" w:hAnsi="Arial"/>
                <w:color w:val="444444"/>
                <w:sz w:val="21"/>
                <w:szCs w:val="21"/>
              </w:rPr>
              <w:t xml:space="preserve">"Last message from me — I know timing matters more than relevance. If organizational memory is ever the problem (key transition coming, rapid growth, governance complexity), I’d love to spend 20 minutes on it. If not, no worries."</w:t>
            </w:r>
          </w:p>
        </w:tc>
      </w:tr>
    </w:tbl>
    <w:p>
      <w:r>
        <w:rPr>
          <w:sz w:val="22"/>
          <w:szCs w:val="22"/>
        </w:rPr>
        <w:t xml:space="preserve"/>
      </w:r>
    </w:p>
    <w:p>
      <w:pPr>
        <w:pStyle w:val="Heading2"/>
        <w:spacing w:after="120" w:before="320"/>
      </w:pPr>
      <w:r>
        <w:rPr>
          <w:rFonts w:ascii="Arial" w:cs="Arial" w:eastAsia="Arial" w:hAnsi="Arial"/>
          <w:b/>
          <w:bCs/>
          <w:color w:val="2E8B8B"/>
          <w:sz w:val="28"/>
          <w:szCs w:val="28"/>
        </w:rPr>
        <w:t xml:space="preserve">4.3 Volume and Targeting Parameters</w:t>
      </w:r>
    </w:p>
    <w:p>
      <w:pPr>
        <w:pStyle w:val="ListParagraph"/>
        <w:numPr>
          <w:ilvl w:val="0"/>
          <w:numId w:val="2"/>
        </w:numPr>
        <w:spacing w:after="40" w:before="40"/>
      </w:pPr>
      <w:r>
        <w:rPr>
          <w:rFonts w:ascii="Arial" w:cs="Arial" w:eastAsia="Arial" w:hAnsi="Arial"/>
          <w:color w:val="444444"/>
          <w:sz w:val="22"/>
          <w:szCs w:val="22"/>
        </w:rPr>
        <w:t xml:space="preserve">Send 15–20 connection requests per day (LinkedIn’s safe threshold before throttling)</w:t>
      </w:r>
    </w:p>
    <w:p>
      <w:pPr>
        <w:pStyle w:val="ListParagraph"/>
        <w:numPr>
          <w:ilvl w:val="0"/>
          <w:numId w:val="2"/>
        </w:numPr>
        <w:spacing w:after="40" w:before="40"/>
      </w:pPr>
      <w:r>
        <w:rPr>
          <w:rFonts w:ascii="Arial" w:cs="Arial" w:eastAsia="Arial" w:hAnsi="Arial"/>
          <w:color w:val="444444"/>
          <w:sz w:val="22"/>
          <w:szCs w:val="22"/>
        </w:rPr>
        <w:t xml:space="preserve">Target: 1st and 2nd degree connections at companies 20–150 people, Google Workspace users</w:t>
      </w:r>
    </w:p>
    <w:p>
      <w:pPr>
        <w:pStyle w:val="ListParagraph"/>
        <w:numPr>
          <w:ilvl w:val="0"/>
          <w:numId w:val="2"/>
        </w:numPr>
        <w:spacing w:after="40" w:before="40"/>
      </w:pPr>
      <w:r>
        <w:rPr>
          <w:rFonts w:ascii="Arial" w:cs="Arial" w:eastAsia="Arial" w:hAnsi="Arial"/>
          <w:color w:val="444444"/>
          <w:sz w:val="22"/>
          <w:szCs w:val="22"/>
        </w:rPr>
        <w:t xml:space="preserve">Use LinkedIn Sales Navigator: filter by title, company size, growth rate, and geography</w:t>
      </w:r>
    </w:p>
    <w:p>
      <w:pPr>
        <w:pStyle w:val="ListParagraph"/>
        <w:numPr>
          <w:ilvl w:val="0"/>
          <w:numId w:val="2"/>
        </w:numPr>
        <w:spacing w:after="40" w:before="40"/>
      </w:pPr>
      <w:r>
        <w:rPr>
          <w:rFonts w:ascii="Arial" w:cs="Arial" w:eastAsia="Arial" w:hAnsi="Arial"/>
          <w:color w:val="444444"/>
          <w:sz w:val="22"/>
          <w:szCs w:val="22"/>
        </w:rPr>
        <w:t xml:space="preserve">Expected reply rate at touch 2: 8–15% with this sequence</w:t>
      </w:r>
    </w:p>
    <w:p>
      <w:pPr>
        <w:pStyle w:val="ListParagraph"/>
        <w:numPr>
          <w:ilvl w:val="0"/>
          <w:numId w:val="2"/>
        </w:numPr>
        <w:spacing w:after="40" w:before="40"/>
      </w:pPr>
      <w:r>
        <w:rPr>
          <w:rFonts w:ascii="Arial" w:cs="Arial" w:eastAsia="Arial" w:hAnsi="Arial"/>
          <w:color w:val="444444"/>
          <w:sz w:val="22"/>
          <w:szCs w:val="22"/>
        </w:rPr>
        <w:t xml:space="preserve">Expected demo conversion from replies: 20–35%</w:t>
      </w:r>
    </w:p>
    <w:p>
      <w:pPr>
        <w:pStyle w:val="ListParagraph"/>
        <w:numPr>
          <w:ilvl w:val="0"/>
          <w:numId w:val="2"/>
        </w:numPr>
        <w:spacing w:after="40" w:before="40"/>
      </w:pPr>
      <w:r>
        <w:rPr>
          <w:rFonts w:ascii="Arial" w:cs="Arial" w:eastAsia="Arial" w:hAnsi="Arial"/>
          <w:color w:val="444444"/>
          <w:sz w:val="22"/>
          <w:szCs w:val="22"/>
        </w:rPr>
        <w:t xml:space="preserve">At 15 connections/day, 5 days/week: roughly 300 connections/month → 30–45 replies → 6–15 demos</w:t>
      </w:r>
    </w:p>
    <w:p>
      <w:pPr>
        <w:pageBreakBefore/>
      </w:pPr>
      <w:r>
        <w:t xml:space="preserve"/>
      </w:r>
    </w:p>
    <w:p>
      <w:pPr>
        <w:pStyle w:val="Heading1"/>
        <w:spacing w:after="160" w:before="400"/>
      </w:pPr>
      <w:r>
        <w:rPr>
          <w:rFonts w:ascii="Arial" w:cs="Arial" w:eastAsia="Arial" w:hAnsi="Arial"/>
          <w:b/>
          <w:bCs/>
          <w:color w:val="0A1520"/>
          <w:sz w:val="36"/>
          <w:szCs w:val="36"/>
        </w:rPr>
        <w:t xml:space="preserve">5. Founder-Led Content Strategy</w:t>
      </w:r>
    </w:p>
    <w:p>
      <w:pPr>
        <w:pStyle w:val="Heading2"/>
        <w:spacing w:after="120" w:before="320"/>
      </w:pPr>
      <w:r>
        <w:rPr>
          <w:rFonts w:ascii="Arial" w:cs="Arial" w:eastAsia="Arial" w:hAnsi="Arial"/>
          <w:b/>
          <w:bCs/>
          <w:color w:val="2E8B8B"/>
          <w:sz w:val="28"/>
          <w:szCs w:val="28"/>
        </w:rPr>
        <w:t xml:space="preserve">5.1 The Biggest Untapped Asset: Rick’s Voice</w:t>
      </w:r>
    </w:p>
    <w:p>
      <w:pPr>
        <w:spacing w:after="120" w:before="80"/>
      </w:pPr>
      <w:r>
        <w:rPr>
          <w:rFonts w:ascii="Arial" w:cs="Arial" w:eastAsia="Arial" w:hAnsi="Arial"/>
          <w:color w:val="444444"/>
          <w:sz w:val="22"/>
          <w:szCs w:val="22"/>
        </w:rPr>
        <w:t xml:space="preserve">Founder-led content is the single highest-ROI marketing channel for a product at Saberra’s stage. You do not need a content team, a designer, or a budget. You need Rick posting on LinkedIn three times a week with a specific content system. Here is that system.</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C0392B" w:sz="8"/>
              <w:left w:val="single" w:color="C0392B"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C0392B"/>
                <w:sz w:val="22"/>
                <w:szCs w:val="22"/>
              </w:rPr>
              <w:t xml:space="preserve">THE CORE INSIGHT</w:t>
            </w:r>
          </w:p>
          <w:p>
            <w:pPr>
              <w:spacing w:after="0" w:before="0"/>
            </w:pPr>
            <w:r>
              <w:rPr>
                <w:rFonts w:ascii="Arial" w:cs="Arial" w:eastAsia="Arial" w:hAnsi="Arial"/>
                <w:color w:val="444444"/>
                <w:sz w:val="21"/>
                <w:szCs w:val="21"/>
              </w:rPr>
              <w:t xml:space="preserve">Your buyers are operations leads, chiefs of staff, and founders. These people spend 20–40 minutes per day on LinkedIn. They will read a post about organizational memory loss the way a doctor reads a post about burnout: it is personally, professionally, viscerally relevant. You are leaving a direct line to your ICP completely idle.</w:t>
            </w:r>
          </w:p>
        </w:tc>
      </w:tr>
    </w:tbl>
    <w:p>
      <w:r>
        <w:rPr>
          <w:sz w:val="22"/>
          <w:szCs w:val="22"/>
        </w:rPr>
        <w:t xml:space="preserve"/>
      </w:r>
    </w:p>
    <w:p>
      <w:pPr>
        <w:pStyle w:val="Heading2"/>
        <w:spacing w:after="120" w:before="320"/>
      </w:pPr>
      <w:r>
        <w:rPr>
          <w:rFonts w:ascii="Arial" w:cs="Arial" w:eastAsia="Arial" w:hAnsi="Arial"/>
          <w:b/>
          <w:bCs/>
          <w:color w:val="2E8B8B"/>
          <w:sz w:val="28"/>
          <w:szCs w:val="28"/>
        </w:rPr>
        <w:t xml:space="preserve">5.2 Content Pillars — Three Types of Posts, Weekly</w:t>
      </w:r>
    </w:p>
    <w:p>
      <w:r>
        <w:rPr>
          <w:sz w:val="22"/>
          <w:szCs w:val="22"/>
        </w:rPr>
        <w:t xml:space="preserve"/>
      </w:r>
    </w:p>
    <w:p>
      <w:pPr>
        <w:pStyle w:val="Heading3"/>
        <w:spacing w:after="80" w:before="240"/>
      </w:pPr>
      <w:r>
        <w:rPr>
          <w:rFonts w:ascii="Arial" w:cs="Arial" w:eastAsia="Arial" w:hAnsi="Arial"/>
          <w:b/>
          <w:bCs/>
          <w:color w:val="0A1520"/>
          <w:sz w:val="24"/>
          <w:szCs w:val="24"/>
        </w:rPr>
        <w:t xml:space="preserve">Pillar 1: Horror Stories (2× per month)</w:t>
      </w:r>
    </w:p>
    <w:p>
      <w:pPr>
        <w:spacing w:after="120" w:before="80"/>
      </w:pPr>
      <w:r>
        <w:rPr>
          <w:rFonts w:ascii="Arial" w:cs="Arial" w:eastAsia="Arial" w:hAnsi="Arial"/>
          <w:color w:val="444444"/>
          <w:sz w:val="22"/>
          <w:szCs w:val="22"/>
        </w:rPr>
        <w:t xml:space="preserve">The most viral content in the B2B operations space is organizational failure stories. Real ones. The more specific, the better. These do not need to name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D6A24A" w:sz="8"/>
              <w:left w:val="single" w:color="D6A24A"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D6A24A"/>
                <w:sz w:val="22"/>
                <w:szCs w:val="22"/>
              </w:rPr>
              <w:t xml:space="preserve">Example / Format</w:t>
            </w:r>
          </w:p>
          <w:p>
            <w:pPr>
              <w:spacing w:after="0" w:before="0"/>
            </w:pPr>
            <w:r>
              <w:rPr>
                <w:rFonts w:ascii="Arial" w:cs="Arial" w:eastAsia="Arial" w:hAnsi="Arial"/>
                <w:color w:val="444444"/>
                <w:sz w:val="21"/>
                <w:szCs w:val="21"/>
              </w:rPr>
              <w:t xml:space="preserve">Story format: “A 45-person consultancy. The delivery lead left on a Friday. By Monday, three client accounts had lost their entire institutional context...” Always end with: “This is what Organizational Memory Infrastructure is for.”</w:t>
            </w:r>
          </w:p>
        </w:tc>
      </w:tr>
    </w:tbl>
    <w:p>
      <w:r>
        <w:rPr>
          <w:sz w:val="22"/>
          <w:szCs w:val="22"/>
        </w:rPr>
        <w:t xml:space="preserve"/>
      </w:r>
    </w:p>
    <w:p>
      <w:pPr>
        <w:pStyle w:val="Heading3"/>
        <w:spacing w:after="80" w:before="240"/>
      </w:pPr>
      <w:r>
        <w:rPr>
          <w:rFonts w:ascii="Arial" w:cs="Arial" w:eastAsia="Arial" w:hAnsi="Arial"/>
          <w:b/>
          <w:bCs/>
          <w:color w:val="0A1520"/>
          <w:sz w:val="24"/>
          <w:szCs w:val="24"/>
        </w:rPr>
        <w:t xml:space="preserve">Pillar 2: Behind-the-Build (1× per week)</w:t>
      </w:r>
    </w:p>
    <w:p>
      <w:pPr>
        <w:spacing w:after="120" w:before="80"/>
      </w:pPr>
      <w:r>
        <w:rPr>
          <w:rFonts w:ascii="Arial" w:cs="Arial" w:eastAsia="Arial" w:hAnsi="Arial"/>
          <w:color w:val="444444"/>
          <w:sz w:val="22"/>
          <w:szCs w:val="22"/>
        </w:rPr>
        <w:t xml:space="preserve">Transparency posts about what you are building, why, and what you are learning. These build trust and attract inbound from technical buyers and potential partners.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D6A24A" w:sz="8"/>
              <w:left w:val="single" w:color="D6A24A"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D6A24A"/>
                <w:sz w:val="22"/>
                <w:szCs w:val="22"/>
              </w:rPr>
              <w:t xml:space="preserve">Example / Format</w:t>
            </w:r>
          </w:p>
          <w:p>
            <w:pPr>
              <w:spacing w:after="0" w:before="0"/>
            </w:pPr>
            <w:r>
              <w:rPr>
                <w:rFonts w:ascii="Arial" w:cs="Arial" w:eastAsia="Arial" w:hAnsi="Arial"/>
                <w:color w:val="444444"/>
                <w:sz w:val="21"/>
                <w:szCs w:val="21"/>
              </w:rPr>
              <w:t xml:space="preserve">Format: “We almost built [X]. We decided to build [Y] instead. Here is the three-hour argument that changed the product.”</w:t>
            </w:r>
          </w:p>
        </w:tc>
      </w:tr>
    </w:tbl>
    <w:p>
      <w:r>
        <w:rPr>
          <w:sz w:val="22"/>
          <w:szCs w:val="22"/>
        </w:rPr>
        <w:t xml:space="preserve"/>
      </w:r>
    </w:p>
    <w:p>
      <w:pPr>
        <w:pStyle w:val="Heading3"/>
        <w:spacing w:after="80" w:before="240"/>
      </w:pPr>
      <w:r>
        <w:rPr>
          <w:rFonts w:ascii="Arial" w:cs="Arial" w:eastAsia="Arial" w:hAnsi="Arial"/>
          <w:b/>
          <w:bCs/>
          <w:color w:val="0A1520"/>
          <w:sz w:val="24"/>
          <w:szCs w:val="24"/>
        </w:rPr>
        <w:t xml:space="preserve">Pillar 3: Provocative Takes (1× per week)</w:t>
      </w:r>
    </w:p>
    <w:p>
      <w:pPr>
        <w:spacing w:after="120" w:before="80"/>
      </w:pPr>
      <w:r>
        <w:rPr>
          <w:rFonts w:ascii="Arial" w:cs="Arial" w:eastAsia="Arial" w:hAnsi="Arial"/>
          <w:color w:val="444444"/>
          <w:sz w:val="22"/>
          <w:szCs w:val="22"/>
        </w:rPr>
        <w:t xml:space="preserve">Contrarian statements about AI, knowledge management, or operations that challenge conventional wisdom. These drive comments and shares from your ICP.</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D6A24A" w:sz="8"/>
              <w:left w:val="single" w:color="D6A24A"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D6A24A"/>
                <w:sz w:val="22"/>
                <w:szCs w:val="22"/>
              </w:rPr>
              <w:t xml:space="preserve">Example / Format</w:t>
            </w:r>
          </w:p>
          <w:p>
            <w:pPr>
              <w:spacing w:after="0" w:before="0"/>
            </w:pPr>
            <w:r>
              <w:rPr>
                <w:rFonts w:ascii="Arial" w:cs="Arial" w:eastAsia="Arial" w:hAnsi="Arial"/>
                <w:color w:val="444444"/>
                <w:sz w:val="21"/>
                <w:szCs w:val="21"/>
              </w:rPr>
              <w:t xml:space="preserve">Examples: “Notion AI is a search engine for documents your team forgot to write. That is not the problem.” | “The average team has the same strategic discussion 4 times. Not because they’re dumb. Because they have no memory.”</w:t>
            </w:r>
          </w:p>
        </w:tc>
      </w:tr>
    </w:tbl>
    <w:p>
      <w:r>
        <w:rPr>
          <w:sz w:val="22"/>
          <w:szCs w:val="22"/>
        </w:rPr>
        <w:t xml:space="preserve"/>
      </w:r>
    </w:p>
    <w:p>
      <w:pPr>
        <w:pStyle w:val="Heading3"/>
        <w:spacing w:after="80" w:before="240"/>
      </w:pPr>
      <w:r>
        <w:rPr>
          <w:rFonts w:ascii="Arial" w:cs="Arial" w:eastAsia="Arial" w:hAnsi="Arial"/>
          <w:b/>
          <w:bCs/>
          <w:color w:val="0A1520"/>
          <w:sz w:val="24"/>
          <w:szCs w:val="24"/>
        </w:rPr>
        <w:t xml:space="preserve">Pillar 4: Customer Results (2× per month)</w:t>
      </w:r>
    </w:p>
    <w:p>
      <w:pPr>
        <w:spacing w:after="120" w:before="80"/>
      </w:pPr>
      <w:r>
        <w:rPr>
          <w:rFonts w:ascii="Arial" w:cs="Arial" w:eastAsia="Arial" w:hAnsi="Arial"/>
          <w:color w:val="444444"/>
          <w:sz w:val="22"/>
          <w:szCs w:val="22"/>
        </w:rPr>
        <w:t xml:space="preserve">When you have proof, post it. Specific. Numbered. Emotional.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D6A24A" w:sz="8"/>
              <w:left w:val="single" w:color="D6A24A"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D6A24A"/>
                <w:sz w:val="22"/>
                <w:szCs w:val="22"/>
              </w:rPr>
              <w:t xml:space="preserve">Example / Format</w:t>
            </w:r>
          </w:p>
          <w:p>
            <w:pPr>
              <w:spacing w:after="0" w:before="0"/>
            </w:pPr>
            <w:r>
              <w:rPr>
                <w:rFonts w:ascii="Arial" w:cs="Arial" w:eastAsia="Arial" w:hAnsi="Arial"/>
                <w:color w:val="444444"/>
                <w:sz w:val="21"/>
                <w:szCs w:val="21"/>
              </w:rPr>
              <w:t xml:space="preserve">Format: “[Company type]. [Size]. [Specific problem]. [90-day result]. One quote. What the result meant for the team.”</w:t>
            </w:r>
          </w:p>
        </w:tc>
      </w:tr>
    </w:tbl>
    <w:p>
      <w:r>
        <w:rPr>
          <w:sz w:val="22"/>
          <w:szCs w:val="22"/>
        </w:rPr>
        <w:t xml:space="preserve"/>
      </w:r>
    </w:p>
    <w:p>
      <w:pPr>
        <w:pStyle w:val="Heading2"/>
        <w:spacing w:after="120" w:before="320"/>
      </w:pPr>
      <w:r>
        <w:rPr>
          <w:rFonts w:ascii="Arial" w:cs="Arial" w:eastAsia="Arial" w:hAnsi="Arial"/>
          <w:b/>
          <w:bCs/>
          <w:color w:val="2E8B8B"/>
          <w:sz w:val="28"/>
          <w:szCs w:val="28"/>
        </w:rPr>
        <w:t xml:space="preserve">5.3 Post Format Rules That Drive LinkedIn Algorithm</w:t>
      </w:r>
    </w:p>
    <w:p>
      <w:pPr>
        <w:pStyle w:val="ListParagraph"/>
        <w:numPr>
          <w:ilvl w:val="0"/>
          <w:numId w:val="2"/>
        </w:numPr>
        <w:spacing w:after="40" w:before="40"/>
      </w:pPr>
      <w:r>
        <w:rPr>
          <w:rFonts w:ascii="Arial" w:cs="Arial" w:eastAsia="Arial" w:hAnsi="Arial"/>
          <w:color w:val="444444"/>
          <w:sz w:val="22"/>
          <w:szCs w:val="22"/>
        </w:rPr>
        <w:t xml:space="preserve">First line must stop the scroll. No context-setting. Start with the specific, emotional, or provocative.</w:t>
      </w:r>
    </w:p>
    <w:p>
      <w:pPr>
        <w:pStyle w:val="ListParagraph"/>
        <w:numPr>
          <w:ilvl w:val="0"/>
          <w:numId w:val="2"/>
        </w:numPr>
        <w:spacing w:after="40" w:before="40"/>
      </w:pPr>
      <w:r>
        <w:rPr>
          <w:rFonts w:ascii="Arial" w:cs="Arial" w:eastAsia="Arial" w:hAnsi="Arial"/>
          <w:color w:val="444444"/>
          <w:sz w:val="22"/>
          <w:szCs w:val="22"/>
        </w:rPr>
        <w:t xml:space="preserve">Use line breaks aggressively. One sentence per line in the first 3 lines.</w:t>
      </w:r>
    </w:p>
    <w:p>
      <w:pPr>
        <w:pStyle w:val="ListParagraph"/>
        <w:numPr>
          <w:ilvl w:val="0"/>
          <w:numId w:val="2"/>
        </w:numPr>
        <w:spacing w:after="40" w:before="40"/>
      </w:pPr>
      <w:r>
        <w:rPr>
          <w:rFonts w:ascii="Arial" w:cs="Arial" w:eastAsia="Arial" w:hAnsi="Arial"/>
          <w:color w:val="444444"/>
          <w:sz w:val="22"/>
          <w:szCs w:val="22"/>
        </w:rPr>
        <w:t xml:space="preserve">No links in the post body. Put the link in the first comment. LinkedIn suppresses posts with outbound links.</w:t>
      </w:r>
    </w:p>
    <w:p>
      <w:pPr>
        <w:pStyle w:val="ListParagraph"/>
        <w:numPr>
          <w:ilvl w:val="0"/>
          <w:numId w:val="2"/>
        </w:numPr>
        <w:spacing w:after="40" w:before="40"/>
      </w:pPr>
      <w:r>
        <w:rPr>
          <w:rFonts w:ascii="Arial" w:cs="Arial" w:eastAsia="Arial" w:hAnsi="Arial"/>
          <w:color w:val="444444"/>
          <w:sz w:val="22"/>
          <w:szCs w:val="22"/>
        </w:rPr>
        <w:t xml:space="preserve">End every post with a direct question to drive comments. "Which of these has happened to your team?"</w:t>
      </w:r>
    </w:p>
    <w:p>
      <w:pPr>
        <w:pStyle w:val="ListParagraph"/>
        <w:numPr>
          <w:ilvl w:val="0"/>
          <w:numId w:val="2"/>
        </w:numPr>
        <w:spacing w:after="40" w:before="40"/>
      </w:pPr>
      <w:r>
        <w:rPr>
          <w:rFonts w:ascii="Arial" w:cs="Arial" w:eastAsia="Arial" w:hAnsi="Arial"/>
          <w:color w:val="444444"/>
          <w:sz w:val="22"/>
          <w:szCs w:val="22"/>
        </w:rPr>
        <w:t xml:space="preserve">Post between 7–8am or 12–1pm in your audience’s timezone for maximum reach.</w:t>
      </w:r>
    </w:p>
    <w:p>
      <w:pPr>
        <w:pStyle w:val="ListParagraph"/>
        <w:numPr>
          <w:ilvl w:val="0"/>
          <w:numId w:val="2"/>
        </w:numPr>
        <w:spacing w:after="40" w:before="40"/>
      </w:pPr>
      <w:r>
        <w:rPr>
          <w:rFonts w:ascii="Arial" w:cs="Arial" w:eastAsia="Arial" w:hAnsi="Arial"/>
          <w:color w:val="444444"/>
          <w:sz w:val="22"/>
          <w:szCs w:val="22"/>
        </w:rPr>
        <w:t xml:space="preserve">Minimum 3 posts per week to build momentum. 2 is maintenance. 1 is invisible.</w:t>
      </w:r>
    </w:p>
    <w:p>
      <w:pPr>
        <w:pageBreakBefore/>
      </w:pPr>
      <w:r>
        <w:t xml:space="preserve"/>
      </w:r>
    </w:p>
    <w:p>
      <w:pPr>
        <w:pStyle w:val="Heading1"/>
        <w:spacing w:after="160" w:before="400"/>
      </w:pPr>
      <w:r>
        <w:rPr>
          <w:rFonts w:ascii="Arial" w:cs="Arial" w:eastAsia="Arial" w:hAnsi="Arial"/>
          <w:b/>
          <w:bCs/>
          <w:color w:val="0A1520"/>
          <w:sz w:val="36"/>
          <w:szCs w:val="36"/>
        </w:rPr>
        <w:t xml:space="preserve">6. Partner &amp; Channel Strategy</w:t>
      </w:r>
    </w:p>
    <w:p>
      <w:pPr>
        <w:pStyle w:val="Heading2"/>
        <w:spacing w:after="120" w:before="320"/>
      </w:pPr>
      <w:r>
        <w:rPr>
          <w:rFonts w:ascii="Arial" w:cs="Arial" w:eastAsia="Arial" w:hAnsi="Arial"/>
          <w:b/>
          <w:bCs/>
          <w:color w:val="2E8B8B"/>
          <w:sz w:val="28"/>
          <w:szCs w:val="28"/>
        </w:rPr>
        <w:t xml:space="preserve">6.1 The Notion Ecosystem: Your Highest-ROI Channel</w:t>
      </w:r>
    </w:p>
    <w:p>
      <w:pPr>
        <w:spacing w:after="120" w:before="80"/>
      </w:pPr>
      <w:r>
        <w:rPr>
          <w:rFonts w:ascii="Arial" w:cs="Arial" w:eastAsia="Arial" w:hAnsi="Arial"/>
          <w:color w:val="444444"/>
          <w:sz w:val="22"/>
          <w:szCs w:val="22"/>
        </w:rPr>
        <w:t xml:space="preserve">Notion has a thriving consulting and implementation ecosystem. There are hundreds of freelancers and boutique agencies that help organizations set up Notion workspaces. Many of their clients are exactly Saberra’s ICP: 20–150 person organizations on Google Workspace that are using Notion as their knowledge backbone.</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2E8B8B" w:sz="8"/>
              <w:left w:val="single" w:color="2E8B8B"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2E8B8B"/>
                <w:sz w:val="22"/>
                <w:szCs w:val="22"/>
              </w:rPr>
              <w:t xml:space="preserve">CHANNEL OPPORTUNITY</w:t>
            </w:r>
          </w:p>
          <w:p>
            <w:pPr>
              <w:spacing w:after="0" w:before="0"/>
            </w:pPr>
            <w:r>
              <w:rPr>
                <w:rFonts w:ascii="Arial" w:cs="Arial" w:eastAsia="Arial" w:hAnsi="Arial"/>
                <w:color w:val="444444"/>
                <w:sz w:val="21"/>
                <w:szCs w:val="21"/>
              </w:rPr>
              <w:t xml:space="preserve">A Notion consultant who recommends Saberra to a client earns a referral fee and delivers more value. Saberra gets a warm, pre-qualified lead from someone whose client already trusts them. This channel should convert at 3–5x the rate of cold outbound.</w:t>
            </w:r>
          </w:p>
        </w:tc>
      </w:tr>
    </w:tbl>
    <w:p>
      <w:r>
        <w:rPr>
          <w:sz w:val="22"/>
          <w:szCs w:val="22"/>
        </w:rPr>
        <w:t xml:space="preserve"/>
      </w:r>
    </w:p>
    <w:p>
      <w:pPr>
        <w:pStyle w:val="ListParagraph"/>
        <w:numPr>
          <w:ilvl w:val="0"/>
          <w:numId w:val="2"/>
        </w:numPr>
        <w:spacing w:after="40" w:before="40"/>
      </w:pPr>
      <w:r>
        <w:rPr>
          <w:rFonts w:ascii="Arial" w:cs="Arial" w:eastAsia="Arial" w:hAnsi="Arial"/>
          <w:color w:val="444444"/>
          <w:sz w:val="22"/>
          <w:szCs w:val="22"/>
        </w:rPr>
        <w:t xml:space="preserve">Create a Notion Partner Program page (saberra.com/partners is live, expand it significantly)</w:t>
      </w:r>
    </w:p>
    <w:p>
      <w:pPr>
        <w:pStyle w:val="ListParagraph"/>
        <w:numPr>
          <w:ilvl w:val="0"/>
          <w:numId w:val="2"/>
        </w:numPr>
        <w:spacing w:after="40" w:before="40"/>
      </w:pPr>
      <w:r>
        <w:rPr>
          <w:rFonts w:ascii="Arial" w:cs="Arial" w:eastAsia="Arial" w:hAnsi="Arial"/>
          <w:color w:val="444444"/>
          <w:sz w:val="22"/>
          <w:szCs w:val="22"/>
        </w:rPr>
        <w:t xml:space="preserve">Offer 20–25% first-year referral fee for any Notion consultant who refers a paying client</w:t>
      </w:r>
    </w:p>
    <w:p>
      <w:pPr>
        <w:pStyle w:val="ListParagraph"/>
        <w:numPr>
          <w:ilvl w:val="0"/>
          <w:numId w:val="2"/>
        </w:numPr>
        <w:spacing w:after="40" w:before="40"/>
      </w:pPr>
      <w:r>
        <w:rPr>
          <w:rFonts w:ascii="Arial" w:cs="Arial" w:eastAsia="Arial" w:hAnsi="Arial"/>
          <w:color w:val="444444"/>
          <w:sz w:val="22"/>
          <w:szCs w:val="22"/>
        </w:rPr>
        <w:t xml:space="preserve">Build a "Saberra for Notion Consultants" one-pager explaining the referral logic and client fit</w:t>
      </w:r>
    </w:p>
    <w:p>
      <w:pPr>
        <w:pStyle w:val="ListParagraph"/>
        <w:numPr>
          <w:ilvl w:val="0"/>
          <w:numId w:val="2"/>
        </w:numPr>
        <w:spacing w:after="40" w:before="40"/>
      </w:pPr>
      <w:r>
        <w:rPr>
          <w:rFonts w:ascii="Arial" w:cs="Arial" w:eastAsia="Arial" w:hAnsi="Arial"/>
          <w:color w:val="444444"/>
          <w:sz w:val="22"/>
          <w:szCs w:val="22"/>
        </w:rPr>
        <w:t xml:space="preserve">Post in Notion’s official partner and consultant communities on LinkedIn and Twitter</w:t>
      </w:r>
    </w:p>
    <w:p>
      <w:pPr>
        <w:pStyle w:val="ListParagraph"/>
        <w:numPr>
          <w:ilvl w:val="0"/>
          <w:numId w:val="2"/>
        </w:numPr>
        <w:spacing w:after="40" w:before="40"/>
      </w:pPr>
      <w:r>
        <w:rPr>
          <w:rFonts w:ascii="Arial" w:cs="Arial" w:eastAsia="Arial" w:hAnsi="Arial"/>
          <w:color w:val="444444"/>
          <w:sz w:val="22"/>
          <w:szCs w:val="22"/>
        </w:rPr>
        <w:t xml:space="preserve">DM the top 50 Notion consultants on LinkedIn directly with the partner proposition</w:t>
      </w:r>
    </w:p>
    <w:p>
      <w:r>
        <w:rPr>
          <w:sz w:val="22"/>
          <w:szCs w:val="22"/>
        </w:rPr>
        <w:t xml:space="preserve"/>
      </w:r>
    </w:p>
    <w:p>
      <w:pPr>
        <w:pStyle w:val="Heading2"/>
        <w:spacing w:after="120" w:before="320"/>
      </w:pPr>
      <w:r>
        <w:rPr>
          <w:rFonts w:ascii="Arial" w:cs="Arial" w:eastAsia="Arial" w:hAnsi="Arial"/>
          <w:b/>
          <w:bCs/>
          <w:color w:val="2E8B8B"/>
          <w:sz w:val="28"/>
          <w:szCs w:val="28"/>
        </w:rPr>
        <w:t xml:space="preserve">6.2 Additional Partner Channels</w:t>
      </w:r>
    </w:p>
    <w:p>
      <w:r>
        <w:rPr>
          <w:sz w:val="22"/>
          <w:szCs w:val="22"/>
        </w:rPr>
        <w:t xml:space="preserve"/>
      </w:r>
    </w:p>
    <w:p>
      <w:pPr>
        <w:pStyle w:val="Heading3"/>
        <w:spacing w:after="80" w:before="240"/>
      </w:pPr>
      <w:r>
        <w:rPr>
          <w:rFonts w:ascii="Arial" w:cs="Arial" w:eastAsia="Arial" w:hAnsi="Arial"/>
          <w:b/>
          <w:bCs/>
          <w:color w:val="0A1520"/>
          <w:sz w:val="24"/>
          <w:szCs w:val="24"/>
        </w:rPr>
        <w:t xml:space="preserve">Fractional COOs and Integrators</w:t>
      </w:r>
    </w:p>
    <w:p>
      <w:pPr>
        <w:spacing w:after="120" w:before="80"/>
      </w:pPr>
      <w:r>
        <w:rPr>
          <w:rFonts w:ascii="Arial" w:cs="Arial" w:eastAsia="Arial" w:hAnsi="Arial"/>
          <w:color w:val="444444"/>
          <w:sz w:val="22"/>
          <w:szCs w:val="22"/>
        </w:rPr>
        <w:t xml:space="preserve">EOS implementers, fractional COOs, and integrators all work with founder-led companies in Saberra’s exact ICP. They regularly make tool recommendations. A referral partnership with 20–30 fractional COOs could generate 5–10 qualified leads per month.</w:t>
      </w:r>
    </w:p>
    <w:p>
      <w:r>
        <w:rPr>
          <w:sz w:val="22"/>
          <w:szCs w:val="22"/>
        </w:rPr>
        <w:t xml:space="preserve"/>
      </w:r>
    </w:p>
    <w:p>
      <w:pPr>
        <w:pStyle w:val="Heading3"/>
        <w:spacing w:after="80" w:before="240"/>
      </w:pPr>
      <w:r>
        <w:rPr>
          <w:rFonts w:ascii="Arial" w:cs="Arial" w:eastAsia="Arial" w:hAnsi="Arial"/>
          <w:b/>
          <w:bCs/>
          <w:color w:val="0A1520"/>
          <w:sz w:val="24"/>
          <w:szCs w:val="24"/>
        </w:rPr>
        <w:t xml:space="preserve">Chief of Staff Communities</w:t>
      </w:r>
    </w:p>
    <w:p>
      <w:pPr>
        <w:spacing w:after="120" w:before="80"/>
      </w:pPr>
      <w:r>
        <w:rPr>
          <w:rFonts w:ascii="Arial" w:cs="Arial" w:eastAsia="Arial" w:hAnsi="Arial"/>
          <w:color w:val="444444"/>
          <w:sz w:val="22"/>
          <w:szCs w:val="22"/>
        </w:rPr>
        <w:t xml:space="preserve">The Chief of Staff Network, CSO-Connect, and Lever are communities where Saberra’s buyers gather. Sponsor a webinar in one of these communities. The audience is pre-qualified by definition.</w:t>
      </w:r>
    </w:p>
    <w:p>
      <w:r>
        <w:rPr>
          <w:sz w:val="22"/>
          <w:szCs w:val="22"/>
        </w:rPr>
        <w:t xml:space="preserve"/>
      </w:r>
    </w:p>
    <w:p>
      <w:pPr>
        <w:pStyle w:val="Heading3"/>
        <w:spacing w:after="80" w:before="240"/>
      </w:pPr>
      <w:r>
        <w:rPr>
          <w:rFonts w:ascii="Arial" w:cs="Arial" w:eastAsia="Arial" w:hAnsi="Arial"/>
          <w:b/>
          <w:bCs/>
          <w:color w:val="0A1520"/>
          <w:sz w:val="24"/>
          <w:szCs w:val="24"/>
        </w:rPr>
        <w:t xml:space="preserve">Nonprofit Tech Consultants</w:t>
      </w:r>
    </w:p>
    <w:p>
      <w:pPr>
        <w:spacing w:after="120" w:before="80"/>
      </w:pPr>
      <w:r>
        <w:rPr>
          <w:rFonts w:ascii="Arial" w:cs="Arial" w:eastAsia="Arial" w:hAnsi="Arial"/>
          <w:color w:val="444444"/>
          <w:sz w:val="22"/>
          <w:szCs w:val="22"/>
        </w:rPr>
        <w:t xml:space="preserve">Organizations like Community IT Innovators, Tech Impact, and independent nonprofit tech consultants serve exactly the ED/ops director audience Saberra wants in the nonprofit segment. A referral agreement with 5–10 of these firms could open a steady nonprofit pipeline.</w:t>
      </w:r>
    </w:p>
    <w:p>
      <w:r>
        <w:rPr>
          <w:sz w:val="22"/>
          <w:szCs w:val="22"/>
        </w:rPr>
        <w:t xml:space="preserve"/>
      </w:r>
    </w:p>
    <w:p>
      <w:pPr>
        <w:pStyle w:val="Heading3"/>
        <w:spacing w:after="80" w:before="240"/>
      </w:pPr>
      <w:r>
        <w:rPr>
          <w:rFonts w:ascii="Arial" w:cs="Arial" w:eastAsia="Arial" w:hAnsi="Arial"/>
          <w:b/>
          <w:bCs/>
          <w:color w:val="0A1520"/>
          <w:sz w:val="24"/>
          <w:szCs w:val="24"/>
        </w:rPr>
        <w:t xml:space="preserve">Google Workspace Resellers</w:t>
      </w:r>
    </w:p>
    <w:p>
      <w:pPr>
        <w:spacing w:after="120" w:before="80"/>
      </w:pPr>
      <w:r>
        <w:rPr>
          <w:rFonts w:ascii="Arial" w:cs="Arial" w:eastAsia="Arial" w:hAnsi="Arial"/>
          <w:color w:val="444444"/>
          <w:sz w:val="22"/>
          <w:szCs w:val="22"/>
        </w:rPr>
        <w:t xml:space="preserve">GSuite resellers often have ongoing relationships with exactly the 20–200 person organizations Saberra targets. A co-sell agreement with even 3–5 active resellers could generate meaningful inbound.</w:t>
      </w:r>
    </w:p>
    <w:p>
      <w:r>
        <w:rPr>
          <w:sz w:val="22"/>
          <w:szCs w:val="22"/>
        </w:rPr>
        <w:t xml:space="preserve"/>
      </w:r>
    </w:p>
    <w:p>
      <w:pPr>
        <w:pStyle w:val="Heading2"/>
        <w:spacing w:after="120" w:before="320"/>
      </w:pPr>
      <w:r>
        <w:rPr>
          <w:rFonts w:ascii="Arial" w:cs="Arial" w:eastAsia="Arial" w:hAnsi="Arial"/>
          <w:b/>
          <w:bCs/>
          <w:color w:val="2E8B8B"/>
          <w:sz w:val="28"/>
          <w:szCs w:val="28"/>
        </w:rPr>
        <w:t xml:space="preserve">6.3 Partner Program Architecture</w:t>
      </w:r>
    </w:p>
    <w:p>
      <w:pPr>
        <w:pStyle w:val="ListParagraph"/>
        <w:numPr>
          <w:ilvl w:val="0"/>
          <w:numId w:val="2"/>
        </w:numPr>
        <w:spacing w:after="40" w:before="40"/>
      </w:pPr>
      <w:r>
        <w:rPr>
          <w:rFonts w:ascii="Arial" w:cs="Arial" w:eastAsia="Arial" w:hAnsi="Arial"/>
          <w:color w:val="444444"/>
          <w:sz w:val="22"/>
          <w:szCs w:val="22"/>
        </w:rPr>
        <w:t xml:space="preserve">Referral tier: 20% of first-year setup fee + 15% of first-year monthly recurring. Paid at 30 days post-client payment.</w:t>
      </w:r>
    </w:p>
    <w:p>
      <w:pPr>
        <w:pStyle w:val="ListParagraph"/>
        <w:numPr>
          <w:ilvl w:val="0"/>
          <w:numId w:val="2"/>
        </w:numPr>
        <w:spacing w:after="40" w:before="40"/>
      </w:pPr>
      <w:r>
        <w:rPr>
          <w:rFonts w:ascii="Arial" w:cs="Arial" w:eastAsia="Arial" w:hAnsi="Arial"/>
          <w:color w:val="444444"/>
          <w:sz w:val="22"/>
          <w:szCs w:val="22"/>
        </w:rPr>
        <w:t xml:space="preserve">Certified Implementation Partner tier (future): Partners trained to deliver the Saberra deployment themselves. Saberra takes a platform fee. Scales without founder time.</w:t>
      </w:r>
    </w:p>
    <w:p>
      <w:pPr>
        <w:pStyle w:val="ListParagraph"/>
        <w:numPr>
          <w:ilvl w:val="0"/>
          <w:numId w:val="2"/>
        </w:numPr>
        <w:spacing w:after="40" w:before="40"/>
      </w:pPr>
      <w:r>
        <w:rPr>
          <w:rFonts w:ascii="Arial" w:cs="Arial" w:eastAsia="Arial" w:hAnsi="Arial"/>
          <w:color w:val="444444"/>
          <w:sz w:val="22"/>
          <w:szCs w:val="22"/>
        </w:rPr>
        <w:t xml:space="preserve">Co-marketing tier: Joint webinars, co-authored content, shared email distribution.</w:t>
      </w:r>
    </w:p>
    <w:p>
      <w:pPr>
        <w:pStyle w:val="ListParagraph"/>
        <w:numPr>
          <w:ilvl w:val="0"/>
          <w:numId w:val="2"/>
        </w:numPr>
        <w:spacing w:after="40" w:before="40"/>
      </w:pPr>
      <w:r>
        <w:rPr>
          <w:rFonts w:ascii="Arial" w:cs="Arial" w:eastAsia="Arial" w:hAnsi="Arial"/>
          <w:color w:val="444444"/>
          <w:sz w:val="22"/>
          <w:szCs w:val="22"/>
        </w:rPr>
        <w:t xml:space="preserve">Minimum viable: Build the /partners page properly, create a PDF one-pager, and DM 30 Notion consultants this week. This costs zero dollars.</w:t>
      </w:r>
    </w:p>
    <w:p>
      <w:pPr>
        <w:pageBreakBefore/>
      </w:pPr>
      <w:r>
        <w:t xml:space="preserve"/>
      </w:r>
    </w:p>
    <w:p>
      <w:pPr>
        <w:pStyle w:val="Heading1"/>
        <w:spacing w:after="160" w:before="400"/>
      </w:pPr>
      <w:r>
        <w:rPr>
          <w:rFonts w:ascii="Arial" w:cs="Arial" w:eastAsia="Arial" w:hAnsi="Arial"/>
          <w:b/>
          <w:bCs/>
          <w:color w:val="0A1520"/>
          <w:sz w:val="36"/>
          <w:szCs w:val="36"/>
        </w:rPr>
        <w:t xml:space="preserve">7. Case Study Framework</w:t>
      </w:r>
    </w:p>
    <w:p>
      <w:pPr>
        <w:pStyle w:val="Heading2"/>
        <w:spacing w:after="120" w:before="320"/>
      </w:pPr>
      <w:r>
        <w:rPr>
          <w:rFonts w:ascii="Arial" w:cs="Arial" w:eastAsia="Arial" w:hAnsi="Arial"/>
          <w:b/>
          <w:bCs/>
          <w:color w:val="2E8B8B"/>
          <w:sz w:val="28"/>
          <w:szCs w:val="28"/>
        </w:rPr>
        <w:t xml:space="preserve">7.1 Why Your Current Case Studies Are Not Converting</w:t>
      </w:r>
    </w:p>
    <w:p>
      <w:pPr>
        <w:spacing w:after="120" w:before="80"/>
      </w:pPr>
      <w:r>
        <w:rPr>
          <w:rFonts w:ascii="Arial" w:cs="Arial" w:eastAsia="Arial" w:hAnsi="Arial"/>
          <w:color w:val="444444"/>
          <w:sz w:val="22"/>
          <w:szCs w:val="22"/>
        </w:rPr>
        <w:t xml:space="preserve">The three case study pages that exist are structurally correct but commercially too soft. They describe what happened without numbers, without named organizations, and without the emotional before/after that makes a buyer say "that is my company." A case study without a number is a story. A case study with a number is evidence.</w:t>
      </w:r>
    </w:p>
    <w:p>
      <w:r>
        <w:rPr>
          <w:sz w:val="22"/>
          <w:szCs w:val="22"/>
        </w:rPr>
        <w:t xml:space="preserve"/>
      </w:r>
    </w:p>
    <w:p>
      <w:pPr>
        <w:pStyle w:val="Heading2"/>
        <w:spacing w:after="120" w:before="320"/>
      </w:pPr>
      <w:r>
        <w:rPr>
          <w:rFonts w:ascii="Arial" w:cs="Arial" w:eastAsia="Arial" w:hAnsi="Arial"/>
          <w:b/>
          <w:bCs/>
          <w:color w:val="2E8B8B"/>
          <w:sz w:val="28"/>
          <w:szCs w:val="28"/>
        </w:rPr>
        <w:t xml:space="preserve">7.2 The World-Class Case Study Template</w:t>
      </w:r>
    </w:p>
    <w:p>
      <w:pPr>
        <w:spacing w:after="120" w:before="80"/>
      </w:pPr>
      <w:r>
        <w:rPr>
          <w:rFonts w:ascii="Arial" w:cs="Arial" w:eastAsia="Arial" w:hAnsi="Arial"/>
          <w:color w:val="444444"/>
          <w:sz w:val="22"/>
          <w:szCs w:val="22"/>
        </w:rPr>
        <w:t xml:space="preserve">Every Saberra case study should follow this exact structure:</w:t>
      </w:r>
    </w:p>
    <w:p>
      <w:r>
        <w:rPr>
          <w:sz w:val="22"/>
          <w:szCs w:val="22"/>
        </w:rPr>
        <w:t xml:space="preserve"/>
      </w:r>
    </w:p>
    <w:p>
      <w:pPr>
        <w:spacing w:after="60" w:before="120"/>
      </w:pPr>
      <w:r>
        <w:rPr>
          <w:rFonts w:ascii="Arial" w:cs="Arial" w:eastAsia="Arial" w:hAnsi="Arial"/>
          <w:b/>
          <w:bCs/>
          <w:color w:val="0A1520"/>
          <w:sz w:val="22"/>
          <w:szCs w:val="22"/>
        </w:rPr>
        <w:t xml:space="preserve">1. The Organization (1 paragraph)</w:t>
      </w:r>
    </w:p>
    <w:p>
      <w:pPr>
        <w:spacing w:after="120" w:before="80"/>
      </w:pPr>
      <w:r>
        <w:rPr>
          <w:rFonts w:ascii="Arial" w:cs="Arial" w:eastAsia="Arial" w:hAnsi="Arial"/>
          <w:color w:val="444444"/>
          <w:sz w:val="22"/>
          <w:szCs w:val="22"/>
        </w:rPr>
        <w:t xml:space="preserve">Name (or clear descriptor: "40-person governance consultancy in Austin"), size, sector, tools used, team structure. Make the reader recognize themselves.</w:t>
      </w:r>
    </w:p>
    <w:p>
      <w:pPr>
        <w:spacing w:after="60" w:before="120"/>
      </w:pPr>
      <w:r>
        <w:rPr>
          <w:rFonts w:ascii="Arial" w:cs="Arial" w:eastAsia="Arial" w:hAnsi="Arial"/>
          <w:b/>
          <w:bCs/>
          <w:color w:val="0A1520"/>
          <w:sz w:val="22"/>
          <w:szCs w:val="22"/>
        </w:rPr>
        <w:t xml:space="preserve">2. The Moment of Pain (1–2 paragraphs)</w:t>
      </w:r>
    </w:p>
    <w:p>
      <w:pPr>
        <w:spacing w:after="120" w:before="80"/>
      </w:pPr>
      <w:r>
        <w:rPr>
          <w:rFonts w:ascii="Arial" w:cs="Arial" w:eastAsia="Arial" w:hAnsi="Arial"/>
          <w:color w:val="444444"/>
          <w:sz w:val="22"/>
          <w:szCs w:val="22"/>
        </w:rPr>
        <w:t xml:space="preserve">Not "they had a memory problem." The specific, narrative moment: the coordinator who left, the decision that got re-debated, the board question nobody could answer. Make it felt.</w:t>
      </w:r>
    </w:p>
    <w:p>
      <w:pPr>
        <w:spacing w:after="60" w:before="120"/>
      </w:pPr>
      <w:r>
        <w:rPr>
          <w:rFonts w:ascii="Arial" w:cs="Arial" w:eastAsia="Arial" w:hAnsi="Arial"/>
          <w:b/>
          <w:bCs/>
          <w:color w:val="0A1520"/>
          <w:sz w:val="22"/>
          <w:szCs w:val="22"/>
        </w:rPr>
        <w:t xml:space="preserve">3. What They Had Tried (1 paragraph)</w:t>
      </w:r>
    </w:p>
    <w:p>
      <w:pPr>
        <w:spacing w:after="120" w:before="80"/>
      </w:pPr>
      <w:r>
        <w:rPr>
          <w:rFonts w:ascii="Arial" w:cs="Arial" w:eastAsia="Arial" w:hAnsi="Arial"/>
          <w:color w:val="444444"/>
          <w:sz w:val="22"/>
          <w:szCs w:val="22"/>
        </w:rPr>
        <w:t xml:space="preserve">What the previous solution was (Notion manually, shared docs, trying harder) and why it failed. This validates that the problem is hard, not just laziness.</w:t>
      </w:r>
    </w:p>
    <w:p>
      <w:pPr>
        <w:spacing w:after="60" w:before="120"/>
      </w:pPr>
      <w:r>
        <w:rPr>
          <w:rFonts w:ascii="Arial" w:cs="Arial" w:eastAsia="Arial" w:hAnsi="Arial"/>
          <w:b/>
          <w:bCs/>
          <w:color w:val="0A1520"/>
          <w:sz w:val="22"/>
          <w:szCs w:val="22"/>
        </w:rPr>
        <w:t xml:space="preserve">4. The Saberra Setup (1 paragraph)</w:t>
      </w:r>
    </w:p>
    <w:p>
      <w:pPr>
        <w:spacing w:after="120" w:before="80"/>
      </w:pPr>
      <w:r>
        <w:rPr>
          <w:rFonts w:ascii="Arial" w:cs="Arial" w:eastAsia="Arial" w:hAnsi="Arial"/>
          <w:color w:val="444444"/>
          <w:sz w:val="22"/>
          <w:szCs w:val="22"/>
        </w:rPr>
        <w:t xml:space="preserve">What the 4-week deployment looked like. How long it actually took. What changed for the team.</w:t>
      </w:r>
    </w:p>
    <w:p>
      <w:pPr>
        <w:spacing w:after="60" w:before="120"/>
      </w:pPr>
      <w:r>
        <w:rPr>
          <w:rFonts w:ascii="Arial" w:cs="Arial" w:eastAsia="Arial" w:hAnsi="Arial"/>
          <w:b/>
          <w:bCs/>
          <w:color w:val="0A1520"/>
          <w:sz w:val="22"/>
          <w:szCs w:val="22"/>
        </w:rPr>
        <w:t xml:space="preserve">5. The 90-Day Result (with numbers)</w:t>
      </w:r>
    </w:p>
    <w:p>
      <w:pPr>
        <w:spacing w:after="120" w:before="80"/>
      </w:pPr>
      <w:r>
        <w:rPr>
          <w:rFonts w:ascii="Arial" w:cs="Arial" w:eastAsia="Arial" w:hAnsi="Arial"/>
          <w:color w:val="444444"/>
          <w:sz w:val="22"/>
          <w:szCs w:val="22"/>
        </w:rPr>
        <w:t xml:space="preserve">This is the section that converts. Specific numbers: "3 coordinator transitions in 12 months, zero context loss." "43 decisions captured and approved in the first 60 days." "Onboarding time for new hires dropped from 8 weeks to 3." Even estimates with attribution are better than no numbers.</w:t>
      </w:r>
    </w:p>
    <w:p>
      <w:pPr>
        <w:spacing w:after="60" w:before="120"/>
      </w:pPr>
      <w:r>
        <w:rPr>
          <w:rFonts w:ascii="Arial" w:cs="Arial" w:eastAsia="Arial" w:hAnsi="Arial"/>
          <w:b/>
          <w:bCs/>
          <w:color w:val="0A1520"/>
          <w:sz w:val="22"/>
          <w:szCs w:val="22"/>
        </w:rPr>
        <w:t xml:space="preserve">6. The Quote</w:t>
      </w:r>
    </w:p>
    <w:p>
      <w:pPr>
        <w:spacing w:after="120" w:before="80"/>
      </w:pPr>
      <w:r>
        <w:rPr>
          <w:rFonts w:ascii="Arial" w:cs="Arial" w:eastAsia="Arial" w:hAnsi="Arial"/>
          <w:color w:val="444444"/>
          <w:sz w:val="22"/>
          <w:szCs w:val="22"/>
        </w:rPr>
        <w:t xml:space="preserve">One direct quote from a named person, title, and organization. If anonymous is required: "Managing Partner, 40-person consultancy" is still better than nothing.</w:t>
      </w:r>
    </w:p>
    <w:p>
      <w:pPr>
        <w:spacing w:after="60" w:before="120"/>
      </w:pPr>
      <w:r>
        <w:rPr>
          <w:rFonts w:ascii="Arial" w:cs="Arial" w:eastAsia="Arial" w:hAnsi="Arial"/>
          <w:b/>
          <w:bCs/>
          <w:color w:val="0A1520"/>
          <w:sz w:val="22"/>
          <w:szCs w:val="22"/>
        </w:rPr>
        <w:t xml:space="preserve">7. The Residual Impact (1 sentence)</w:t>
      </w:r>
    </w:p>
    <w:p>
      <w:pPr>
        <w:spacing w:after="120" w:before="80"/>
      </w:pPr>
      <w:r>
        <w:rPr>
          <w:rFonts w:ascii="Arial" w:cs="Arial" w:eastAsia="Arial" w:hAnsi="Arial"/>
          <w:color w:val="444444"/>
          <w:sz w:val="22"/>
          <w:szCs w:val="22"/>
        </w:rPr>
        <w:t xml:space="preserve">What is true for this organization now that was not true before Saberra? This is the closer.</w:t>
      </w:r>
    </w:p>
    <w:p>
      <w:r>
        <w:rPr>
          <w:sz w:val="22"/>
          <w:szCs w:val="22"/>
        </w:rPr>
        <w:t xml:space="preserve"/>
      </w:r>
    </w:p>
    <w:p>
      <w:pPr>
        <w:pStyle w:val="Heading2"/>
        <w:spacing w:after="120" w:before="320"/>
      </w:pPr>
      <w:r>
        <w:rPr>
          <w:rFonts w:ascii="Arial" w:cs="Arial" w:eastAsia="Arial" w:hAnsi="Arial"/>
          <w:b/>
          <w:bCs/>
          <w:color w:val="2E8B8B"/>
          <w:sz w:val="28"/>
          <w:szCs w:val="28"/>
        </w:rPr>
        <w:t xml:space="preserve">7.3 Three Priority Case Studies to Build Now</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80"/>
        <w:gridCol w:w="4480"/>
      </w:tblGrid>
      <w:tr>
        <w:trPr>
          <w:tblHeader/>
        </w:trPr>
        <w:tc>
          <w:tcPr>
            <w:tcW w:type="dxa" w:w="24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Case Study</w:t>
            </w:r>
          </w:p>
        </w:tc>
        <w:tc>
          <w:tcPr>
            <w:tcW w:type="dxa" w:w="248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Target ICP</w:t>
            </w:r>
          </w:p>
        </w:tc>
        <w:tc>
          <w:tcPr>
            <w:tcW w:type="dxa" w:w="448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Anchor Outcome to Feature</w:t>
            </w:r>
          </w:p>
        </w:tc>
      </w:tr>
      <w:tr>
        <w:tc>
          <w:tcPr>
            <w:tcW w:type="dxa" w:w="24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The Key Person Transition</w:t>
            </w:r>
          </w:p>
        </w:tc>
        <w:tc>
          <w:tcPr>
            <w:tcW w:type="dxa" w:w="248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Consultancies, founder-led teams</w:t>
            </w:r>
          </w:p>
        </w:tc>
        <w:tc>
          <w:tcPr>
            <w:tcW w:type="dxa" w:w="448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"[N] months of client context preserved through [X] transitions. Zero re-onboarding cost."</w:t>
            </w:r>
          </w:p>
        </w:tc>
      </w:tr>
      <w:tr>
        <w:tc>
          <w:tcPr>
            <w:tcW w:type="dxa" w:w="24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The Governance Memory Problem</w:t>
            </w:r>
          </w:p>
        </w:tc>
        <w:tc>
          <w:tcPr>
            <w:tcW w:type="dxa" w:w="248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Nonprofits, self-managing teams</w:t>
            </w:r>
          </w:p>
        </w:tc>
        <w:tc>
          <w:tcPr>
            <w:tcW w:type="dxa" w:w="448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"[N] governance decisions documented and traceable. Board questions answered in minutes, not meetings."</w:t>
            </w:r>
          </w:p>
        </w:tc>
      </w:tr>
      <w:tr>
        <w:tc>
          <w:tcPr>
            <w:tcW w:type="dxa" w:w="24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The Scaling Founder</w:t>
            </w:r>
          </w:p>
        </w:tc>
        <w:tc>
          <w:tcPr>
            <w:tcW w:type="dxa" w:w="248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Founder-led teams 30–80 staff</w:t>
            </w:r>
          </w:p>
        </w:tc>
        <w:tc>
          <w:tcPr>
            <w:tcW w:type="dxa" w:w="448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"Founder removed from [N] weekly context questions within 90 days. First time in [X] years they weren’t the system."</w:t>
            </w:r>
          </w:p>
        </w:tc>
      </w:tr>
    </w:tbl>
    <w:p>
      <w:pPr>
        <w:pageBreakBefore/>
      </w:pPr>
      <w:r>
        <w:t xml:space="preserve"/>
      </w:r>
    </w:p>
    <w:p>
      <w:pPr>
        <w:pStyle w:val="Heading1"/>
        <w:spacing w:after="160" w:before="400"/>
      </w:pPr>
      <w:r>
        <w:rPr>
          <w:rFonts w:ascii="Arial" w:cs="Arial" w:eastAsia="Arial" w:hAnsi="Arial"/>
          <w:b/>
          <w:bCs/>
          <w:color w:val="0A1520"/>
          <w:sz w:val="36"/>
          <w:szCs w:val="36"/>
        </w:rPr>
        <w:t xml:space="preserve">8. 90-Day Implementation Roadmap</w:t>
      </w:r>
    </w:p>
    <w:p>
      <w:pPr>
        <w:spacing w:after="120" w:before="80"/>
      </w:pPr>
      <w:r>
        <w:rPr>
          <w:rFonts w:ascii="Arial" w:cs="Arial" w:eastAsia="Arial" w:hAnsi="Arial"/>
          <w:color w:val="444444"/>
          <w:sz w:val="22"/>
          <w:szCs w:val="22"/>
        </w:rPr>
        <w:t xml:space="preserve">Everything in this document is prioritized by impact and effort. This roadmap sequences the highest-leverage actions by week.</w:t>
      </w:r>
    </w:p>
    <w:p>
      <w:r>
        <w:rPr>
          <w:sz w:val="22"/>
          <w:szCs w:val="22"/>
        </w:rPr>
        <w:t xml:space="preserve"/>
      </w:r>
    </w:p>
    <w:p>
      <w:pPr>
        <w:pBdr>
          <w:left w:val="single" w:color="2E8B8B" w:sz="12"/>
        </w:pBdr>
        <w:shd w:fill="EFF8F8" w:val="clear"/>
        <w:spacing w:after="80" w:before="240"/>
        <w:ind w:left="160"/>
      </w:pPr>
      <w:r>
        <w:rPr>
          <w:rFonts w:ascii="Arial" w:cs="Arial" w:eastAsia="Arial" w:hAnsi="Arial"/>
          <w:b/>
          <w:bCs/>
          <w:color w:val="2E8B8B"/>
          <w:sz w:val="24"/>
          <w:szCs w:val="24"/>
        </w:rPr>
        <w:t xml:space="preserve">WEEK 1–2: Zero-Cost ATF Wins</w:t>
      </w:r>
    </w:p>
    <w:p>
      <w:pPr>
        <w:pStyle w:val="ListParagraph"/>
        <w:numPr>
          <w:ilvl w:val="0"/>
          <w:numId w:val="2"/>
        </w:numPr>
        <w:spacing w:after="40" w:before="40"/>
      </w:pPr>
      <w:r>
        <w:rPr>
          <w:rFonts w:ascii="Arial" w:cs="Arial" w:eastAsia="Arial" w:hAnsi="Arial"/>
          <w:color w:val="444444"/>
          <w:sz w:val="22"/>
          <w:szCs w:val="22"/>
        </w:rPr>
        <w:t xml:space="preserve">Add social proof quote below hero CTAs (any real customer language)</w:t>
      </w:r>
    </w:p>
    <w:p>
      <w:pPr>
        <w:pStyle w:val="ListParagraph"/>
        <w:numPr>
          <w:ilvl w:val="0"/>
          <w:numId w:val="2"/>
        </w:numPr>
        <w:spacing w:after="40" w:before="40"/>
      </w:pPr>
      <w:r>
        <w:rPr>
          <w:rFonts w:ascii="Arial" w:cs="Arial" w:eastAsia="Arial" w:hAnsi="Arial"/>
          <w:color w:val="444444"/>
          <w:sz w:val="22"/>
          <w:szCs w:val="22"/>
        </w:rPr>
        <w:t xml:space="preserve">Add 3-chip trust bar: No workflow change | Data stays in your accounts | AI drafts. Humans approve.</w:t>
      </w:r>
    </w:p>
    <w:p>
      <w:pPr>
        <w:pStyle w:val="ListParagraph"/>
        <w:numPr>
          <w:ilvl w:val="0"/>
          <w:numId w:val="2"/>
        </w:numPr>
        <w:spacing w:after="40" w:before="40"/>
      </w:pPr>
      <w:r>
        <w:rPr>
          <w:rFonts w:ascii="Arial" w:cs="Arial" w:eastAsia="Arial" w:hAnsi="Arial"/>
          <w:color w:val="444444"/>
          <w:sz w:val="22"/>
          <w:szCs w:val="22"/>
        </w:rPr>
        <w:t xml:space="preserve">Make the Audit the primary hero CTA, test variant</w:t>
      </w:r>
    </w:p>
    <w:p>
      <w:pPr>
        <w:pStyle w:val="ListParagraph"/>
        <w:numPr>
          <w:ilvl w:val="0"/>
          <w:numId w:val="2"/>
        </w:numPr>
        <w:spacing w:after="40" w:before="40"/>
      </w:pPr>
      <w:r>
        <w:rPr>
          <w:rFonts w:ascii="Arial" w:cs="Arial" w:eastAsia="Arial" w:hAnsi="Arial"/>
          <w:color w:val="444444"/>
          <w:sz w:val="22"/>
          <w:szCs w:val="22"/>
        </w:rPr>
        <w:t xml:space="preserve">Add video description below video player explaining what viewers will see</w:t>
      </w:r>
    </w:p>
    <w:p>
      <w:pPr>
        <w:pStyle w:val="ListParagraph"/>
        <w:numPr>
          <w:ilvl w:val="0"/>
          <w:numId w:val="2"/>
        </w:numPr>
        <w:spacing w:after="40" w:before="40"/>
      </w:pPr>
      <w:r>
        <w:rPr>
          <w:rFonts w:ascii="Arial" w:cs="Arial" w:eastAsia="Arial" w:hAnsi="Arial"/>
          <w:color w:val="444444"/>
          <w:sz w:val="22"/>
          <w:szCs w:val="22"/>
        </w:rPr>
        <w:t xml:space="preserve">Fix demo hub: reduce Notion form to email only</w:t>
      </w:r>
    </w:p>
    <w:p>
      <w:pPr>
        <w:pStyle w:val="ListParagraph"/>
        <w:numPr>
          <w:ilvl w:val="0"/>
          <w:numId w:val="2"/>
        </w:numPr>
        <w:spacing w:after="40" w:before="40"/>
      </w:pPr>
      <w:r>
        <w:rPr>
          <w:rFonts w:ascii="Arial" w:cs="Arial" w:eastAsia="Arial" w:hAnsi="Arial"/>
          <w:color w:val="444444"/>
          <w:sz w:val="22"/>
          <w:szCs w:val="22"/>
        </w:rPr>
        <w:t xml:space="preserve">Post first LinkedIn content: one horror story, one behind-the-build</w:t>
      </w:r>
    </w:p>
    <w:p>
      <w:r>
        <w:rPr>
          <w:sz w:val="22"/>
          <w:szCs w:val="22"/>
        </w:rPr>
        <w:t xml:space="preserve"/>
      </w:r>
    </w:p>
    <w:p>
      <w:pPr>
        <w:pBdr>
          <w:left w:val="single" w:color="2E8B8B" w:sz="12"/>
        </w:pBdr>
        <w:shd w:fill="EFF8F8" w:val="clear"/>
        <w:spacing w:after="80" w:before="240"/>
        <w:ind w:left="160"/>
      </w:pPr>
      <w:r>
        <w:rPr>
          <w:rFonts w:ascii="Arial" w:cs="Arial" w:eastAsia="Arial" w:hAnsi="Arial"/>
          <w:b/>
          <w:bCs/>
          <w:color w:val="2E8B8B"/>
          <w:sz w:val="24"/>
          <w:szCs w:val="24"/>
        </w:rPr>
        <w:t xml:space="preserve">WEEK 3–4: Funnel Infrastructure</w:t>
      </w:r>
    </w:p>
    <w:p>
      <w:pPr>
        <w:pStyle w:val="ListParagraph"/>
        <w:numPr>
          <w:ilvl w:val="0"/>
          <w:numId w:val="2"/>
        </w:numPr>
        <w:spacing w:after="40" w:before="40"/>
      </w:pPr>
      <w:r>
        <w:rPr>
          <w:rFonts w:ascii="Arial" w:cs="Arial" w:eastAsia="Arial" w:hAnsi="Arial"/>
          <w:color w:val="444444"/>
          <w:sz w:val="22"/>
          <w:szCs w:val="22"/>
        </w:rPr>
        <w:t xml:space="preserve">Build 3-email post-audit nurture sequence (can be simple Formspree + Mailchimp/ConvertKit)</w:t>
      </w:r>
    </w:p>
    <w:p>
      <w:pPr>
        <w:pStyle w:val="ListParagraph"/>
        <w:numPr>
          <w:ilvl w:val="0"/>
          <w:numId w:val="2"/>
        </w:numPr>
        <w:spacing w:after="40" w:before="40"/>
      </w:pPr>
      <w:r>
        <w:rPr>
          <w:rFonts w:ascii="Arial" w:cs="Arial" w:eastAsia="Arial" w:hAnsi="Arial"/>
          <w:color w:val="444444"/>
          <w:sz w:val="22"/>
          <w:szCs w:val="22"/>
        </w:rPr>
        <w:t xml:space="preserve">Set date for first monthly webinar, open registration</w:t>
      </w:r>
    </w:p>
    <w:p>
      <w:pPr>
        <w:pStyle w:val="ListParagraph"/>
        <w:numPr>
          <w:ilvl w:val="0"/>
          <w:numId w:val="2"/>
        </w:numPr>
        <w:spacing w:after="40" w:before="40"/>
      </w:pPr>
      <w:r>
        <w:rPr>
          <w:rFonts w:ascii="Arial" w:cs="Arial" w:eastAsia="Arial" w:hAnsi="Arial"/>
          <w:color w:val="444444"/>
          <w:sz w:val="22"/>
          <w:szCs w:val="22"/>
        </w:rPr>
        <w:t xml:space="preserve">Add direct Calendly/Google Calendar link to team demo confirmation page</w:t>
      </w:r>
    </w:p>
    <w:p>
      <w:pPr>
        <w:pStyle w:val="ListParagraph"/>
        <w:numPr>
          <w:ilvl w:val="0"/>
          <w:numId w:val="2"/>
        </w:numPr>
        <w:spacing w:after="40" w:before="40"/>
      </w:pPr>
      <w:r>
        <w:rPr>
          <w:rFonts w:ascii="Arial" w:cs="Arial" w:eastAsia="Arial" w:hAnsi="Arial"/>
          <w:color w:val="444444"/>
          <w:sz w:val="22"/>
          <w:szCs w:val="22"/>
        </w:rPr>
        <w:t xml:space="preserve">Start LinkedIn outbound: 15 connection requests/day to chiefs of staff and ops leads</w:t>
      </w:r>
    </w:p>
    <w:p>
      <w:pPr>
        <w:pStyle w:val="ListParagraph"/>
        <w:numPr>
          <w:ilvl w:val="0"/>
          <w:numId w:val="2"/>
        </w:numPr>
        <w:spacing w:after="40" w:before="40"/>
      </w:pPr>
      <w:r>
        <w:rPr>
          <w:rFonts w:ascii="Arial" w:cs="Arial" w:eastAsia="Arial" w:hAnsi="Arial"/>
          <w:color w:val="444444"/>
          <w:sz w:val="22"/>
          <w:szCs w:val="22"/>
        </w:rPr>
        <w:t xml:space="preserve">DM 20 Notion consultants about the partner program</w:t>
      </w:r>
    </w:p>
    <w:p>
      <w:pPr>
        <w:pStyle w:val="ListParagraph"/>
        <w:numPr>
          <w:ilvl w:val="0"/>
          <w:numId w:val="2"/>
        </w:numPr>
        <w:spacing w:after="40" w:before="40"/>
      </w:pPr>
      <w:r>
        <w:rPr>
          <w:rFonts w:ascii="Arial" w:cs="Arial" w:eastAsia="Arial" w:hAnsi="Arial"/>
          <w:color w:val="444444"/>
          <w:sz w:val="22"/>
          <w:szCs w:val="22"/>
        </w:rPr>
        <w:t xml:space="preserve">Write Case Study 1 (Key Person Transition) — publish to /cases</w:t>
      </w:r>
    </w:p>
    <w:p>
      <w:r>
        <w:rPr>
          <w:sz w:val="22"/>
          <w:szCs w:val="22"/>
        </w:rPr>
        <w:t xml:space="preserve"/>
      </w:r>
    </w:p>
    <w:p>
      <w:pPr>
        <w:pBdr>
          <w:left w:val="single" w:color="2E8B8B" w:sz="12"/>
        </w:pBdr>
        <w:shd w:fill="EFF8F8" w:val="clear"/>
        <w:spacing w:after="80" w:before="240"/>
        <w:ind w:left="160"/>
      </w:pPr>
      <w:r>
        <w:rPr>
          <w:rFonts w:ascii="Arial" w:cs="Arial" w:eastAsia="Arial" w:hAnsi="Arial"/>
          <w:b/>
          <w:bCs/>
          <w:color w:val="2E8B8B"/>
          <w:sz w:val="24"/>
          <w:szCs w:val="24"/>
        </w:rPr>
        <w:t xml:space="preserve">WEEK 5–8: Channel Activation</w:t>
      </w:r>
    </w:p>
    <w:p>
      <w:pPr>
        <w:pStyle w:val="ListParagraph"/>
        <w:numPr>
          <w:ilvl w:val="0"/>
          <w:numId w:val="2"/>
        </w:numPr>
        <w:spacing w:after="40" w:before="40"/>
      </w:pPr>
      <w:r>
        <w:rPr>
          <w:rFonts w:ascii="Arial" w:cs="Arial" w:eastAsia="Arial" w:hAnsi="Arial"/>
          <w:color w:val="444444"/>
          <w:sz w:val="22"/>
          <w:szCs w:val="22"/>
        </w:rPr>
        <w:t xml:space="preserve">Publish partner program page with one-pager and application form</w:t>
      </w:r>
    </w:p>
    <w:p>
      <w:pPr>
        <w:pStyle w:val="ListParagraph"/>
        <w:numPr>
          <w:ilvl w:val="0"/>
          <w:numId w:val="2"/>
        </w:numPr>
        <w:spacing w:after="40" w:before="40"/>
      </w:pPr>
      <w:r>
        <w:rPr>
          <w:rFonts w:ascii="Arial" w:cs="Arial" w:eastAsia="Arial" w:hAnsi="Arial"/>
          <w:color w:val="444444"/>
          <w:sz w:val="22"/>
          <w:szCs w:val="22"/>
        </w:rPr>
        <w:t xml:space="preserve">Run first live webinar (45 min demo + 15 min Q&amp;A)</w:t>
      </w:r>
    </w:p>
    <w:p>
      <w:pPr>
        <w:pStyle w:val="ListParagraph"/>
        <w:numPr>
          <w:ilvl w:val="0"/>
          <w:numId w:val="2"/>
        </w:numPr>
        <w:spacing w:after="40" w:before="40"/>
      </w:pPr>
      <w:r>
        <w:rPr>
          <w:rFonts w:ascii="Arial" w:cs="Arial" w:eastAsia="Arial" w:hAnsi="Arial"/>
          <w:color w:val="444444"/>
          <w:sz w:val="22"/>
          <w:szCs w:val="22"/>
        </w:rPr>
        <w:t xml:space="preserve">Write Case Study 2 (Governance Memory)</w:t>
      </w:r>
    </w:p>
    <w:p>
      <w:pPr>
        <w:pStyle w:val="ListParagraph"/>
        <w:numPr>
          <w:ilvl w:val="0"/>
          <w:numId w:val="2"/>
        </w:numPr>
        <w:spacing w:after="40" w:before="40"/>
      </w:pPr>
      <w:r>
        <w:rPr>
          <w:rFonts w:ascii="Arial" w:cs="Arial" w:eastAsia="Arial" w:hAnsi="Arial"/>
          <w:color w:val="444444"/>
          <w:sz w:val="22"/>
          <w:szCs w:val="22"/>
        </w:rPr>
        <w:t xml:space="preserve">Add ROI comparison to pricing page (vs. cost of one transition)</w:t>
      </w:r>
    </w:p>
    <w:p>
      <w:pPr>
        <w:pStyle w:val="ListParagraph"/>
        <w:numPr>
          <w:ilvl w:val="0"/>
          <w:numId w:val="2"/>
        </w:numPr>
        <w:spacing w:after="40" w:before="40"/>
      </w:pPr>
      <w:r>
        <w:rPr>
          <w:rFonts w:ascii="Arial" w:cs="Arial" w:eastAsia="Arial" w:hAnsi="Arial"/>
          <w:color w:val="444444"/>
          <w:sz w:val="22"/>
          <w:szCs w:val="22"/>
        </w:rPr>
        <w:t xml:space="preserve">Add audit CTA to sticky nav on mobile</w:t>
      </w:r>
    </w:p>
    <w:p>
      <w:pPr>
        <w:pStyle w:val="ListParagraph"/>
        <w:numPr>
          <w:ilvl w:val="0"/>
          <w:numId w:val="2"/>
        </w:numPr>
        <w:spacing w:after="40" w:before="40"/>
      </w:pPr>
      <w:r>
        <w:rPr>
          <w:rFonts w:ascii="Arial" w:cs="Arial" w:eastAsia="Arial" w:hAnsi="Arial"/>
          <w:color w:val="444444"/>
          <w:sz w:val="22"/>
          <w:szCs w:val="22"/>
        </w:rPr>
        <w:t xml:space="preserve">Begin weekly LinkedIn posting cadence (3×/week, every week)</w:t>
      </w:r>
    </w:p>
    <w:p>
      <w:r>
        <w:rPr>
          <w:sz w:val="22"/>
          <w:szCs w:val="22"/>
        </w:rPr>
        <w:t xml:space="preserve"/>
      </w:r>
    </w:p>
    <w:p>
      <w:pPr>
        <w:pBdr>
          <w:left w:val="single" w:color="2E8B8B" w:sz="12"/>
        </w:pBdr>
        <w:shd w:fill="EFF8F8" w:val="clear"/>
        <w:spacing w:after="80" w:before="240"/>
        <w:ind w:left="160"/>
      </w:pPr>
      <w:r>
        <w:rPr>
          <w:rFonts w:ascii="Arial" w:cs="Arial" w:eastAsia="Arial" w:hAnsi="Arial"/>
          <w:b/>
          <w:bCs/>
          <w:color w:val="2E8B8B"/>
          <w:sz w:val="24"/>
          <w:szCs w:val="24"/>
        </w:rPr>
        <w:t xml:space="preserve">WEEK 9–12: Optimization and Scale</w:t>
      </w:r>
    </w:p>
    <w:p>
      <w:pPr>
        <w:pStyle w:val="ListParagraph"/>
        <w:numPr>
          <w:ilvl w:val="0"/>
          <w:numId w:val="2"/>
        </w:numPr>
        <w:spacing w:after="40" w:before="40"/>
      </w:pPr>
      <w:r>
        <w:rPr>
          <w:rFonts w:ascii="Arial" w:cs="Arial" w:eastAsia="Arial" w:hAnsi="Arial"/>
          <w:color w:val="444444"/>
          <w:sz w:val="22"/>
          <w:szCs w:val="22"/>
        </w:rPr>
        <w:t xml:space="preserve">Analyze audit completion and drop-off data. Optimize weak questions.</w:t>
      </w:r>
    </w:p>
    <w:p>
      <w:pPr>
        <w:pStyle w:val="ListParagraph"/>
        <w:numPr>
          <w:ilvl w:val="0"/>
          <w:numId w:val="2"/>
        </w:numPr>
        <w:spacing w:after="40" w:before="40"/>
      </w:pPr>
      <w:r>
        <w:rPr>
          <w:rFonts w:ascii="Arial" w:cs="Arial" w:eastAsia="Arial" w:hAnsi="Arial"/>
          <w:color w:val="444444"/>
          <w:sz w:val="22"/>
          <w:szCs w:val="22"/>
        </w:rPr>
        <w:t xml:space="preserve">Review webinar recording, clip 3 best 90-second segments for LinkedIn</w:t>
      </w:r>
    </w:p>
    <w:p>
      <w:pPr>
        <w:pStyle w:val="ListParagraph"/>
        <w:numPr>
          <w:ilvl w:val="0"/>
          <w:numId w:val="2"/>
        </w:numPr>
        <w:spacing w:after="40" w:before="40"/>
      </w:pPr>
      <w:r>
        <w:rPr>
          <w:rFonts w:ascii="Arial" w:cs="Arial" w:eastAsia="Arial" w:hAnsi="Arial"/>
          <w:color w:val="444444"/>
          <w:sz w:val="22"/>
          <w:szCs w:val="22"/>
        </w:rPr>
        <w:t xml:space="preserve">Write Case Study 3 (Scaling Founder)</w:t>
      </w:r>
    </w:p>
    <w:p>
      <w:pPr>
        <w:pStyle w:val="ListParagraph"/>
        <w:numPr>
          <w:ilvl w:val="0"/>
          <w:numId w:val="2"/>
        </w:numPr>
        <w:spacing w:after="40" w:before="40"/>
      </w:pPr>
      <w:r>
        <w:rPr>
          <w:rFonts w:ascii="Arial" w:cs="Arial" w:eastAsia="Arial" w:hAnsi="Arial"/>
          <w:color w:val="444444"/>
          <w:sz w:val="22"/>
          <w:szCs w:val="22"/>
        </w:rPr>
        <w:t xml:space="preserve">Add social proof/logos section to homepage if first named customers willing</w:t>
      </w:r>
    </w:p>
    <w:p>
      <w:pPr>
        <w:pStyle w:val="ListParagraph"/>
        <w:numPr>
          <w:ilvl w:val="0"/>
          <w:numId w:val="2"/>
        </w:numPr>
        <w:spacing w:after="40" w:before="40"/>
      </w:pPr>
      <w:r>
        <w:rPr>
          <w:rFonts w:ascii="Arial" w:cs="Arial" w:eastAsia="Arial" w:hAnsi="Arial"/>
          <w:color w:val="444444"/>
          <w:sz w:val="22"/>
          <w:szCs w:val="22"/>
        </w:rPr>
        <w:t xml:space="preserve">Outreach to Chief of Staff Network and COA-Connect for co-webinar</w:t>
      </w:r>
    </w:p>
    <w:p>
      <w:pPr>
        <w:pStyle w:val="ListParagraph"/>
        <w:numPr>
          <w:ilvl w:val="0"/>
          <w:numId w:val="2"/>
        </w:numPr>
        <w:spacing w:after="40" w:before="40"/>
      </w:pPr>
      <w:r>
        <w:rPr>
          <w:rFonts w:ascii="Arial" w:cs="Arial" w:eastAsia="Arial" w:hAnsi="Arial"/>
          <w:color w:val="444444"/>
          <w:sz w:val="22"/>
          <w:szCs w:val="22"/>
        </w:rPr>
        <w:t xml:space="preserve">Publish gated webinar replay as evergreen lead magnet</w:t>
      </w:r>
    </w:p>
    <w:p>
      <w:r>
        <w:rPr>
          <w:sz w:val="22"/>
          <w:szCs w:val="22"/>
        </w:rPr>
        <w:t xml:space="preserve"/>
      </w:r>
    </w:p>
    <w:p>
      <w:pPr>
        <w:pageBreakBefore/>
      </w:pPr>
      <w:r>
        <w:t xml:space="preserve"/>
      </w:r>
    </w:p>
    <w:p>
      <w:pPr>
        <w:pStyle w:val="Heading1"/>
        <w:spacing w:after="160" w:before="400"/>
      </w:pPr>
      <w:r>
        <w:rPr>
          <w:rFonts w:ascii="Arial" w:cs="Arial" w:eastAsia="Arial" w:hAnsi="Arial"/>
          <w:b/>
          <w:bCs/>
          <w:color w:val="0A1520"/>
          <w:sz w:val="36"/>
          <w:szCs w:val="36"/>
        </w:rPr>
        <w:t xml:space="preserve">9. KPIs &amp; Success Metrics</w:t>
      </w:r>
    </w:p>
    <w:p>
      <w:pPr>
        <w:spacing w:after="120" w:before="80"/>
      </w:pPr>
      <w:r>
        <w:rPr>
          <w:rFonts w:ascii="Arial" w:cs="Arial" w:eastAsia="Arial" w:hAnsi="Arial"/>
          <w:color w:val="444444"/>
          <w:sz w:val="22"/>
          <w:szCs w:val="22"/>
        </w:rPr>
        <w:t xml:space="preserve">Track these weekly. If a number is not moving in the right direction after 4 weeks, something in the funnel above it needs to change.</w:t>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160"/>
      </w:tblGrid>
      <w:tr>
        <w:trPr>
          <w:tblHeader/>
        </w:trPr>
        <w:tc>
          <w:tcPr>
            <w:tcW w:type="dxa" w:w="32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Metric</w:t>
            </w:r>
          </w:p>
        </w:tc>
        <w:tc>
          <w:tcPr>
            <w:tcW w:type="dxa" w:w="20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Current Baseline</w:t>
            </w:r>
          </w:p>
        </w:tc>
        <w:tc>
          <w:tcPr>
            <w:tcW w:type="dxa" w:w="200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30-Day Target</w:t>
            </w:r>
          </w:p>
        </w:tc>
        <w:tc>
          <w:tcPr>
            <w:tcW w:type="dxa" w:w="2160"/>
            <w:tcBorders>
              <w:top w:val="single" w:color="CCCCCC" w:sz="1"/>
              <w:left w:val="single" w:color="CCCCCC" w:sz="1"/>
              <w:bottom w:val="single" w:color="CCCCCC" w:sz="1"/>
              <w:right w:val="single" w:color="CCCCCC" w:sz="1"/>
            </w:tcBorders>
            <w:shd w:fill="0A1520" w:val="clear"/>
            <w:tcMar>
              <w:top w:type="dxa" w:w="80"/>
              <w:left w:type="dxa" w:w="100"/>
              <w:bottom w:type="dxa" w:w="80"/>
              <w:right w:type="dxa" w:w="80"/>
            </w:tcMar>
          </w:tcPr>
          <w:p>
            <w:r>
              <w:rPr>
                <w:rFonts w:ascii="Arial" w:cs="Arial" w:eastAsia="Arial" w:hAnsi="Arial"/>
                <w:b/>
                <w:bCs/>
                <w:color w:val="FFFFFF"/>
                <w:sz w:val="19"/>
                <w:szCs w:val="19"/>
              </w:rPr>
              <w:t xml:space="preserve">90-Day Target</w:t>
            </w:r>
          </w:p>
        </w:tc>
      </w:tr>
      <w:tr>
        <w:tc>
          <w:tcPr>
            <w:tcW w:type="dxa" w:w="32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Audit completions / week</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Unknown</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10+</w:t>
            </w:r>
          </w:p>
        </w:tc>
        <w:tc>
          <w:tcPr>
            <w:tcW w:type="dxa" w:w="21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30+</w:t>
            </w:r>
          </w:p>
        </w:tc>
      </w:tr>
      <w:tr>
        <w:tc>
          <w:tcPr>
            <w:tcW w:type="dxa" w:w="32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Demo calls booked / month</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Unknown</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4+</w:t>
            </w:r>
          </w:p>
        </w:tc>
        <w:tc>
          <w:tcPr>
            <w:tcW w:type="dxa" w:w="21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12+</w:t>
            </w:r>
          </w:p>
        </w:tc>
      </w:tr>
      <w:tr>
        <w:tc>
          <w:tcPr>
            <w:tcW w:type="dxa" w:w="32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Webinar registrations / event</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0</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25+</w:t>
            </w:r>
          </w:p>
        </w:tc>
        <w:tc>
          <w:tcPr>
            <w:tcW w:type="dxa" w:w="21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50+</w:t>
            </w:r>
          </w:p>
        </w:tc>
      </w:tr>
      <w:tr>
        <w:tc>
          <w:tcPr>
            <w:tcW w:type="dxa" w:w="32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LinkedIn connection accepts / week</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0</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50+</w:t>
            </w:r>
          </w:p>
        </w:tc>
        <w:tc>
          <w:tcPr>
            <w:tcW w:type="dxa" w:w="21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100+</w:t>
            </w:r>
          </w:p>
        </w:tc>
      </w:tr>
      <w:tr>
        <w:tc>
          <w:tcPr>
            <w:tcW w:type="dxa" w:w="32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LinkedIn DM reply rate</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0%</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8%+</w:t>
            </w:r>
          </w:p>
        </w:tc>
        <w:tc>
          <w:tcPr>
            <w:tcW w:type="dxa" w:w="21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12%+</w:t>
            </w:r>
          </w:p>
        </w:tc>
      </w:tr>
      <w:tr>
        <w:tc>
          <w:tcPr>
            <w:tcW w:type="dxa" w:w="32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Partner referrals / month</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0</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1+</w:t>
            </w:r>
          </w:p>
        </w:tc>
        <w:tc>
          <w:tcPr>
            <w:tcW w:type="dxa" w:w="21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5+</w:t>
            </w:r>
          </w:p>
        </w:tc>
      </w:tr>
      <w:tr>
        <w:tc>
          <w:tcPr>
            <w:tcW w:type="dxa" w:w="32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Homepage → Audit conversion</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Unknown</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Baseline set</w:t>
            </w:r>
          </w:p>
        </w:tc>
        <w:tc>
          <w:tcPr>
            <w:tcW w:type="dxa" w:w="21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10%+ of visitors</w:t>
            </w:r>
          </w:p>
        </w:tc>
      </w:tr>
      <w:tr>
        <w:tc>
          <w:tcPr>
            <w:tcW w:type="dxa" w:w="32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Founding Partner applications</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Unknown</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2/month</w:t>
            </w:r>
          </w:p>
        </w:tc>
        <w:tc>
          <w:tcPr>
            <w:tcW w:type="dxa" w:w="21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5/month</w:t>
            </w:r>
          </w:p>
        </w:tc>
      </w:tr>
      <w:tr>
        <w:tc>
          <w:tcPr>
            <w:tcW w:type="dxa" w:w="32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Time to first qualified call (new lead)</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Days/unknown</w:t>
            </w:r>
          </w:p>
        </w:tc>
        <w:tc>
          <w:tcPr>
            <w:tcW w:type="dxa" w:w="200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&lt;48 hours</w:t>
            </w:r>
          </w:p>
        </w:tc>
        <w:tc>
          <w:tcPr>
            <w:tcW w:type="dxa" w:w="2160"/>
            <w:tcBorders>
              <w:top w:val="single" w:color="CCCCCC" w:sz="1"/>
              <w:left w:val="single" w:color="CCCCCC" w:sz="1"/>
              <w:bottom w:val="single" w:color="CCCCCC" w:sz="1"/>
              <w:right w:val="single" w:color="CCCCCC" w:sz="1"/>
            </w:tcBorders>
            <w:tcMar>
              <w:top w:type="dxa" w:w="80"/>
              <w:left w:type="dxa" w:w="100"/>
              <w:bottom w:type="dxa" w:w="80"/>
              <w:right w:type="dxa" w:w="80"/>
            </w:tcMar>
          </w:tcPr>
          <w:p>
            <w:r>
              <w:rPr>
                <w:rFonts w:ascii="Arial" w:cs="Arial" w:eastAsia="Arial" w:hAnsi="Arial"/>
                <w:color w:val="444444"/>
                <w:sz w:val="19"/>
                <w:szCs w:val="19"/>
              </w:rPr>
              <w:t xml:space="preserve">&lt;24 hours</w:t>
            </w:r>
          </w:p>
        </w:tc>
      </w:tr>
    </w:tbl>
    <w:p>
      <w:r>
        <w:rPr>
          <w:sz w:val="22"/>
          <w:szCs w:val="22"/>
        </w:rPr>
        <w:t xml:space="preserve"/>
      </w:r>
    </w:p>
    <w:p>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60"/>
          <w:bottom w:type="dxa" w:w="160"/>
        </w:tblCellMar>
      </w:tblPr>
      <w:tblGrid>
        <w:gridCol w:w="9360"/>
      </w:tblGrid>
      <w:tr>
        <w:tc>
          <w:tcPr>
            <w:tcW w:type="dxa" w:w="9360"/>
            <w:tcBorders>
              <w:top w:val="single" w:color="D6A24A" w:sz="8"/>
              <w:left w:val="single" w:color="D6A24A" w:sz="16"/>
              <w:bottom w:val="single" w:color="CCCCCC" w:sz="1"/>
              <w:right w:val="single" w:color="CCCCCC" w:sz="1"/>
            </w:tcBorders>
            <w:shd w:fill="F8FAFA" w:val="clear"/>
            <w:tcMar>
              <w:top w:type="dxa" w:w="120"/>
              <w:left w:type="dxa" w:w="200"/>
              <w:bottom w:type="dxa" w:w="120"/>
              <w:right w:type="dxa" w:w="160"/>
            </w:tcMar>
          </w:tcPr>
          <w:p>
            <w:pPr>
              <w:spacing w:after="60" w:before="0"/>
            </w:pPr>
            <w:r>
              <w:rPr>
                <w:rFonts w:ascii="Arial" w:cs="Arial" w:eastAsia="Arial" w:hAnsi="Arial"/>
                <w:b/>
                <w:bCs/>
                <w:color w:val="D6A24A"/>
                <w:sz w:val="22"/>
                <w:szCs w:val="22"/>
              </w:rPr>
              <w:t xml:space="preserve">CLOSING NOTE FROM THE COMBINED TEAM</w:t>
            </w:r>
          </w:p>
          <w:p>
            <w:pPr>
              <w:spacing w:after="0" w:before="0"/>
            </w:pPr>
            <w:r>
              <w:rPr>
                <w:rFonts w:ascii="Arial" w:cs="Arial" w:eastAsia="Arial" w:hAnsi="Arial"/>
                <w:color w:val="444444"/>
                <w:sz w:val="21"/>
                <w:szCs w:val="21"/>
              </w:rPr>
              <w:t xml:space="preserve">Saberra has a genuinely strong product, a defensible positioning angle, and a founder who clearly understands the problem. The gap between where you are and world-class conversion is not a product gap. It is a distribution and trust-signal gap. Most of what this document recommends costs zero dollars and can be shipped in days. The highest-leverage single action: start posting on LinkedIn this week. The second: add one real social proof quote to the homepage ATF. Do those two things and the rest of the roadmap gets significantly easier.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E0E0" w:sz="4"/>
      </w:pBdr>
      <w:spacing w:before="80"/>
      <w:jc w:val="center"/>
    </w:pPr>
    <w:r>
      <w:rPr>
        <w:rFonts w:ascii="Arial" w:cs="Arial" w:eastAsia="Arial" w:hAnsi="Arial"/>
        <w:color w:val="999999"/>
        <w:sz w:val="18"/>
        <w:szCs w:val="18"/>
      </w:rPr>
      <w:t xml:space="preserve">saberra.com  |  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A24A" w:sz="4"/>
      </w:pBdr>
      <w:spacing w:after="120"/>
      <w:jc w:val="right"/>
    </w:pPr>
    <w:r>
      <w:rPr>
        <w:rFonts w:ascii="Arial" w:cs="Arial" w:eastAsia="Arial" w:hAnsi="Arial"/>
        <w:color w:val="999999"/>
        <w:sz w:val="18"/>
        <w:szCs w:val="18"/>
      </w:rPr>
      <w:t xml:space="preserve">Saberra — World-Class Growth Strategy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A1520"/>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2E8B8B"/>
      <w:sz w:val="28"/>
      <w:szCs w:val="28"/>
    </w:rPr>
  </w:style>
  <w:style w:type="paragraph" w:styleId="Heading3">
    <w:name w:val="Heading 3"/>
    <w:basedOn w:val="Normal"/>
    <w:next w:val="Normal"/>
    <w:qFormat/>
    <w:pPr>
      <w:spacing w:after="80" w:before="240"/>
      <w:outlineLvl w:val="2"/>
    </w:pPr>
    <w:rPr>
      <w:rFonts w:ascii="Arial" w:cs="Arial" w:eastAsia="Arial" w:hAnsi="Arial"/>
      <w:b/>
      <w:bCs/>
      <w:color w:val="0A15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2026-06-12T02:27:17.836Z</dcterms:created>
  <dcterms:modified xsi:type="dcterms:W3CDTF">2026-06-12T02:27:17.836Z</dcterms:modified>
</cp:coreProperties>
</file>

<file path=docProps/custom.xml><?xml version="1.0" encoding="utf-8"?>
<Properties xmlns="http://schemas.openxmlformats.org/officeDocument/2006/custom-properties" xmlns:vt="http://schemas.openxmlformats.org/officeDocument/2006/docPropsVTypes"/>
</file>