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jc w:val="center"/>
      </w:pPr>
      <w:r>
        <w:rPr>
          <w:rFonts w:ascii="Arial" w:cs="Arial" w:eastAsia="Arial" w:hAnsi="Arial"/>
          <w:b/>
          <w:bCs/>
          <w:color w:val="006D6D"/>
          <w:sz w:val="56"/>
          <w:szCs w:val="56"/>
        </w:rPr>
        <w:t xml:space="preserve">SABERRA</w:t>
      </w:r>
    </w:p>
    <w:p>
      <w:pPr>
        <w:spacing w:after="60" w:before="120"/>
        <w:jc w:val="center"/>
      </w:pPr>
      <w:r>
        <w:rPr>
          <w:rFonts w:ascii="Arial" w:cs="Arial" w:eastAsia="Arial" w:hAnsi="Arial"/>
          <w:b/>
          <w:bCs/>
          <w:color w:val="0F1E24"/>
          <w:sz w:val="36"/>
          <w:szCs w:val="36"/>
        </w:rPr>
        <w:t xml:space="preserve">World-Class Growth Strategy</w:t>
      </w:r>
    </w:p>
    <w:p>
      <w:pPr>
        <w:spacing w:after="40" w:before="0"/>
        <w:jc w:val="center"/>
      </w:pPr>
      <w:r>
        <w:rPr>
          <w:rFonts w:ascii="Arial" w:cs="Arial" w:eastAsia="Arial" w:hAnsi="Arial"/>
          <w:color w:val="6B8C93"/>
          <w:sz w:val="21"/>
          <w:szCs w:val="21"/>
        </w:rPr>
        <w:t xml:space="preserve">Positioning  ·  CRO  ·  LinkedIn Outbound  ·  Founder Content  ·  Demo Funnel  ·  Partnerships  ·  Case Studies</w:t>
      </w:r>
    </w:p>
    <w:p>
      <w:pPr>
        <w:spacing w:after="200" w:before="0"/>
        <w:jc w:val="center"/>
      </w:pPr>
      <w:r>
        <w:rPr>
          <w:rFonts w:ascii="Arial" w:cs="Arial" w:eastAsia="Arial" w:hAnsi="Arial"/>
          <w:color w:val="6B8C93"/>
          <w:sz w:val="20"/>
          <w:szCs w:val="20"/>
        </w:rPr>
        <w:t xml:space="preserve">Prepared for Rick  ·  saberra.com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6D"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Updated Assessment  ·  June 2026</w:t>
            </w:r>
          </w:p>
          <w:p>
            <w:pPr>
              <w:spacing w:after="0" w:before="60"/>
              <w:jc w:val="center"/>
            </w:pPr>
            <w:r>
              <w:rPr>
                <w:rFonts w:ascii="Arial" w:cs="Arial" w:eastAsia="Arial" w:hAnsi="Arial"/>
                <w:color w:val="D0ECEC"/>
                <w:sz w:val="19"/>
                <w:szCs w:val="19"/>
              </w:rPr>
              <w:t xml:space="preserve">Combined assessment by the world's leading growth teams</w:t>
            </w:r>
          </w:p>
        </w:tc>
      </w:tr>
    </w:tbl>
    <w:p>
      <w:pPr>
        <w:spacing w:after="160" w:before="0"/>
      </w:pPr>
      <w:r>
        <w:rPr>
          <w:sz w:val="22"/>
          <w:szCs w:val="22"/>
        </w:rPr>
        <w:t xml:space="preserve"> </w:t>
      </w:r>
    </w:p>
    <w:p>
      <w:pPr>
        <w:jc w:val="center"/>
      </w:pPr>
      <w:r>
        <w:rPr>
          <w:rFonts w:ascii="Arial" w:cs="Arial" w:eastAsia="Arial" w:hAnsi="Arial"/>
          <w:b/>
          <w:bCs/>
          <w:color w:val="0F1E24"/>
          <w:sz w:val="21"/>
          <w:szCs w:val="21"/>
        </w:rPr>
        <w:t xml:space="preserve">Site substantially rebuilt. On-site conversion infrastructure is now world-class.</w:t>
      </w:r>
    </w:p>
    <w:p>
      <w:pPr>
        <w:spacing w:after="0" w:before="60"/>
        <w:jc w:val="center"/>
      </w:pPr>
      <w:r>
        <w:rPr>
          <w:rFonts w:ascii="Arial" w:cs="Arial" w:eastAsia="Arial" w:hAnsi="Arial"/>
          <w:color w:val="6B8C93"/>
          <w:sz w:val="21"/>
          <w:szCs w:val="21"/>
        </w:rPr>
        <w:t xml:space="preserve">The remaining gap is entirely off-site: LinkedIn, founder content, email nurture, and named social proof.</w:t>
      </w:r>
    </w:p>
    <w:p>
      <w:r>
        <w:br w:type="page"/>
      </w:r>
    </w:p>
    <w:p>
      <w:pPr>
        <w:pStyle w:val="Heading1"/>
        <w:spacing w:after="120" w:before="360"/>
      </w:pPr>
      <w:r>
        <w:rPr>
          <w:rFonts w:ascii="Arial" w:cs="Arial" w:eastAsia="Arial" w:hAnsi="Arial"/>
          <w:b/>
          <w:bCs/>
          <w:color w:val="0F1E24"/>
          <w:sz w:val="36"/>
          <w:szCs w:val="36"/>
        </w:rPr>
        <w:t xml:space="preserve">What Has Changed Since the Original Report</w:t>
      </w:r>
    </w:p>
    <w:p>
      <w:pPr>
        <w:spacing w:after="120" w:before="0"/>
      </w:pPr>
      <w:r>
        <w:rPr>
          <w:rFonts w:ascii="Arial" w:cs="Arial" w:eastAsia="Arial" w:hAnsi="Arial"/>
          <w:color w:val="1F2937"/>
          <w:sz w:val="22"/>
          <w:szCs w:val="22"/>
        </w:rPr>
        <w:t xml:space="preserve">This is not a fresh assessment from scratch. It is a re-evaluation of the same criteria against what has actually been shipped. The table below shows every major change made since the original Growth Strategy was prepared.</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c>
          <w:tcPr>
            <w:tcW w:type="dxa" w:w="8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
            </w:r>
          </w:p>
        </w:tc>
        <w:tc>
          <w:tcPr>
            <w:tcW w:type="dxa" w:w="36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What Changed</w:t>
            </w:r>
          </w:p>
        </w:tc>
        <w:tc>
          <w:tcPr>
            <w:tcW w:type="dxa" w:w="496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Impact</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UX: full phase-gate flow with start screen, progress bar, back/next navigation</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Eliminates confusion about where the audit begins. Start screen with gold CTA is unmissable.</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result routing: score-based CTA logic (critical/serious/early/stable)</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Critical scorers see urgency copy + team demo CTA. Stable scorers routed to founding access. First funnel with real qualification logic.</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Sera Q&amp;A on audit result screen: contextual quick questions per score band</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Extends time-on-page, adds product demonstration within the lead magnet.</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Homepage: audit as primary hero CTA (above 'See Sera organize chaos')</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Highest-converting lead magnet now gets the primary position. Per the original recommendation.</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Homepage: Amora Community quote in ATF with specific numbers (76 decisions, 148 tasks, 23 profiles)</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Named org social proof with metrics in above-the-fold position.</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Homepage: trust chips below hero CTAs (no workflow change / data stays in accounts / AI drafts, humans approve)</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Addresses three biggest cold-visitor objections in one line.</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Homepage: video caption explaining what viewers will see in 10 minutes</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Frames the time commitment. Removes silent objection.</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Pricing: COA comparison bar (Saberra $300-500/mo vs fractional COO $4,000-8,000/mo)</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Reframes price anchor entirely. Every buyer's reference point is now a COO, not a SaaS tool.</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Pricing: transition cost one-liner ('One key-person transition costs $20k-40k')</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Converts the ROI argument from abstract to concrete before the buyer sees price.</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Founding access + demo pages: scarcity counter ('3 of 5 founding spots claimed')</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Creates real urgency without manufactured scarcity. Gold pulsing dot animation.</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Comparison resource pages: /resources/saberra-vs-meeting-notetakers and /resources/notion-ai-vs-saberra</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High-intent SEO pages capturing buyers already evaluating alternatives.</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How-it-works: native 6-row comparison table vs. generic notes tools</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Directly addresses the most common objection (we already have Otter/Fireflies) with a structured contrast.</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SEO: JSON-LD structured data (Organization, WebSite, SoftwareApplication, FAQPage, BreadcrumbList)</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Rich result eligibility. Google can display FAQ accordions in search.</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SEO: per-page OG images for audit, pricing, founding-access</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LinkedIn/Twitter previews now show page-specific imagery, not the generic home OG.</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SEO: AI crawler rules in robots.txt (GPTBot, ClaudeBot, PerplexityBot, anthropic-ai)</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Explicitly invites AI search engine indexing at a moment when AI-cited sources are increasingly valuable.</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SEO: llms.txt expanded to 163 lines with full product, pricing, ICP, differentiator coverage</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Saberra is now fully described for AI search synthesis engines.</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SEO: sitemap with four priority tiers (1.0/0.9/0.7/0.5)</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Search engines allocate crawl budget correctly. High-value pages get maximum priority.</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Security page: expanded with data flow table, offboarding 3-card grid, and 6-item FAQ (FAQPage schema)</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Addresses data sovereignty objection with specificity. B2B buyers with IT sign-off now have answers.</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Demo hub (notion-template): 7-database breakdown before the 3-path chooser</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Prospective buyers see what is actually inside the template before deciding whether to request it.</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Product page: built with 4 visual panels (ProductDashboardVisual, GovernanceConsoleVisual, PipelineAnatomyVisual, DatabaseMapVisual)</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Gives technical evaluators a structural view of the product without a live demo.</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Weekly-pulse page: built</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New content asset / SEO page.</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Careers page: built and linked in nav</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Legitimacy signal. Buying teams google before signing.</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3-email post-audit nurture sequence: drafted</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Critical missing middle-of-funnel now exists as a draft.</w:t>
            </w:r>
          </w:p>
        </w:tc>
      </w:tr>
      <w:tr>
        <w:tc>
          <w:tcPr>
            <w:tcW w:type="dxa" w:w="8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c>
          <w:tcPr>
            <w:tcW w:type="dxa" w:w="36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LinkedIn first-week content: 3 posts drafted</w:t>
            </w:r>
          </w:p>
        </w:tc>
        <w:tc>
          <w:tcPr>
            <w:tcW w:type="dxa" w:w="49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Content calendar started.</w:t>
            </w:r>
          </w:p>
        </w:tc>
      </w:tr>
    </w:tbl>
    <w:p>
      <w:r>
        <w:br w:type="page"/>
      </w:r>
    </w:p>
    <w:p>
      <w:pPr>
        <w:pStyle w:val="Heading1"/>
        <w:spacing w:after="120" w:before="360"/>
      </w:pPr>
      <w:r>
        <w:rPr>
          <w:rFonts w:ascii="Arial" w:cs="Arial" w:eastAsia="Arial" w:hAnsi="Arial"/>
          <w:b/>
          <w:bCs/>
          <w:color w:val="0F1E24"/>
          <w:sz w:val="36"/>
          <w:szCs w:val="36"/>
        </w:rPr>
        <w:t xml:space="preserve">Updated State Scorecard</w:t>
      </w:r>
    </w:p>
    <w:p>
      <w:pPr>
        <w:spacing w:after="120" w:before="0"/>
      </w:pPr>
      <w:r>
        <w:rPr>
          <w:rFonts w:ascii="Arial" w:cs="Arial" w:eastAsia="Arial" w:hAnsi="Arial"/>
          <w:color w:val="1F2937"/>
          <w:sz w:val="22"/>
          <w:szCs w:val="22"/>
        </w:rPr>
        <w:t xml:space="preserve">Every area re-evaluated against what is actually live on saberra.com as of June 2026. Grades are relative to world-class SaaS standards at the same stage and price point.</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700"/>
        <w:gridCol w:w="4060"/>
      </w:tblGrid>
      <w:tr>
        <w:tc>
          <w:tcPr>
            <w:tcW w:type="dxa" w:w="28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Area</w:t>
            </w:r>
          </w:p>
        </w:tc>
        <w:tc>
          <w:tcPr>
            <w:tcW w:type="dxa" w:w="9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Before</w:t>
            </w:r>
          </w:p>
        </w:tc>
        <w:tc>
          <w:tcPr>
            <w:tcW w:type="dxa" w:w="9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Now</w:t>
            </w:r>
          </w:p>
        </w:tc>
        <w:tc>
          <w:tcPr>
            <w:tcW w:type="dxa" w:w="7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Move</w:t>
            </w:r>
          </w:p>
        </w:tc>
        <w:tc>
          <w:tcPr>
            <w:tcW w:type="dxa" w:w="406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Honest Assessment</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Positioning Clarity</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B+</w:t>
            </w:r>
          </w:p>
        </w:tc>
        <w:tc>
          <w:tcPr>
            <w:tcW w:type="dxa" w:w="9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Comparison pages (vs notetakers, vs Notion AI) sharpen differentiation substantially. Category claim present. Still speaks to 4 segments with roughly equal weight — the primary ICP focus (consultancies + founder-led teams) is implied but not declared.</w:t>
            </w:r>
          </w:p>
        </w:tc>
      </w:tr>
      <w:tr>
        <w:tc>
          <w:tcPr>
            <w:tcW w:type="dxa" w:w="28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bCs/>
                <w:color w:val="1F2937"/>
                <w:sz w:val="20"/>
                <w:szCs w:val="20"/>
              </w:rPr>
              <w:t xml:space="preserve">Homepage Conversion</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B</w:t>
            </w:r>
          </w:p>
        </w:tc>
        <w:tc>
          <w:tcPr>
            <w:tcW w:type="dxa" w:w="9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A-</w:t>
            </w:r>
          </w:p>
        </w:tc>
        <w:tc>
          <w:tcPr>
            <w:tcW w:type="dxa" w:w="7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is primary CTA. Amora quote with specific numbers is in ATF. Trust chips address the three core cold-visitor objections. Video caption frames the ask. Near world-class. Remaining gap: a second named org would push this to A.</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Demo Funnel</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B+</w:t>
            </w:r>
          </w:p>
        </w:tc>
        <w:tc>
          <w:tcPr>
            <w:tcW w:type="dxa" w:w="9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Score-based routing in audit results is the biggest funnel improvement made. Critical scorers see urgency copy. Sera Q&amp;A extends engagement. 7-DB breakdown on demo hub sets expectations. Gaps: Notion template form still has friction; no Calendly link on demo confirmation.</w:t>
            </w:r>
          </w:p>
        </w:tc>
      </w:tr>
      <w:tr>
        <w:tc>
          <w:tcPr>
            <w:tcW w:type="dxa" w:w="28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bCs/>
                <w:color w:val="1F2937"/>
                <w:sz w:val="20"/>
                <w:szCs w:val="20"/>
              </w:rPr>
              <w:t xml:space="preserve">Audit Lead Magnet</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A-</w:t>
            </w:r>
          </w:p>
        </w:tc>
        <w:tc>
          <w:tcPr>
            <w:tcW w:type="dxa" w:w="9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A</w:t>
            </w:r>
          </w:p>
        </w:tc>
        <w:tc>
          <w:tcPr>
            <w:tcW w:type="dxa" w:w="7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Phase-gated flow with clear start screen, progress bar, back/next is now world-class UX. Score-based CTA routing ('Most teams at this level book a call within 48 hours') is conversion copywriting done right. Remaining: share mechanism and nurture wire-up.</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Social Proof</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C+</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B</w:t>
            </w:r>
          </w:p>
        </w:tc>
        <w:tc>
          <w:tcPr>
            <w:tcW w:type="dxa" w:w="7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Amora Community quote with numbers (76 decisions, 148 tasks, 23 profiles) is a major upgrade from zero. Three homepage vignettes with specific stats. Still anonymous vignettes — one more named org with verifiable numbers would move this to A.</w:t>
            </w:r>
          </w:p>
        </w:tc>
      </w:tr>
      <w:tr>
        <w:tc>
          <w:tcPr>
            <w:tcW w:type="dxa" w:w="28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bCs/>
                <w:color w:val="1F2937"/>
                <w:sz w:val="20"/>
                <w:szCs w:val="20"/>
              </w:rPr>
              <w:t xml:space="preserve">Pricing Architecture</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B-</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B+</w:t>
            </w:r>
          </w:p>
        </w:tc>
        <w:tc>
          <w:tcPr>
            <w:tcW w:type="dxa" w:w="7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COA comparison bar reframes price anchor entirely. Transition cost language grounds ROI concretely. Founding scarcity counter creates real urgency. Remaining gap: range pricing ('$1,500–$2,500 setup') still levies the uncertainty tax. 'Setup from $1,500' would fix this.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LinkedIn Presence</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D+</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D+</w:t>
            </w:r>
          </w:p>
        </w:tc>
        <w:tc>
          <w:tcPr>
            <w:tcW w:type="dxa" w:w="7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6B8C93"/>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Posts drafted but not published. No outbound sequence active. Connection velocity is zero. This is the highest-leverage untouched channel. Every week of inactivity here compounds.</w:t>
            </w:r>
          </w:p>
        </w:tc>
      </w:tr>
      <w:tr>
        <w:tc>
          <w:tcPr>
            <w:tcW w:type="dxa" w:w="28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bCs/>
                <w:color w:val="1F2937"/>
                <w:sz w:val="20"/>
                <w:szCs w:val="20"/>
              </w:rPr>
              <w:t xml:space="preserve">Founder-Led Content</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D</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D+</w:t>
            </w:r>
          </w:p>
        </w:tc>
        <w:tc>
          <w:tcPr>
            <w:tcW w:type="dxa" w:w="7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6B8C93"/>
                <w:sz w:val="20"/>
                <w:szCs w:val="20"/>
              </w:rPr>
              <w:t xml:space="preserve">=</w:t>
            </w:r>
          </w:p>
        </w:tc>
        <w:tc>
          <w:tcPr>
            <w:tcW w:type="dxa" w:w="406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First week of content drafted. Not yet posted. The Amora case study published on the site is the only founder-voice content in the public record. At 3 posts/week, the grade becomes B+ within 60 days.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SEO / Content Strategy</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B-</w:t>
            </w:r>
          </w:p>
        </w:tc>
        <w:tc>
          <w:tcPr>
            <w:tcW w:type="dxa" w:w="9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JSON-LD structured data, comparison pages, AI crawler rules, llms.txt, per-page OG, four-tier sitemap, and FAQPage schema are all live. This is now well above average for the category. Remaining: long-form content for highest-intent queries not yet written.</w:t>
            </w:r>
          </w:p>
        </w:tc>
      </w:tr>
      <w:tr>
        <w:tc>
          <w:tcPr>
            <w:tcW w:type="dxa" w:w="28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bCs/>
                <w:color w:val="1F2937"/>
                <w:sz w:val="20"/>
                <w:szCs w:val="20"/>
              </w:rPr>
              <w:t xml:space="preserve">Partner / Channel</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D+</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D+</w:t>
            </w:r>
          </w:p>
        </w:tc>
        <w:tc>
          <w:tcPr>
            <w:tcW w:type="dxa" w:w="7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6B8C93"/>
                <w:sz w:val="20"/>
                <w:szCs w:val="20"/>
              </w:rPr>
              <w:t xml:space="preserve">=</w:t>
            </w:r>
          </w:p>
        </w:tc>
        <w:tc>
          <w:tcPr>
            <w:tcW w:type="dxa" w:w="406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Partner page exists. Affiliate structure documented. Zero active outreach to Notion consultants, fractional COOs, or COS communities. The referral fee structure is ready. The pipeline-building work has not started.</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Case Studies</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C</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C+</w:t>
            </w:r>
          </w:p>
        </w:tc>
        <w:tc>
          <w:tcPr>
            <w:tcW w:type="dxa" w:w="7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Three case pages exist with Amora numbers updated. The governance coordinator, nonprofit, and consultancy cases are now on the site. Still missing: a named client beyond Amora with independently verifiable numbers. One more real case would move this to B+.</w:t>
            </w:r>
          </w:p>
        </w:tc>
      </w:tr>
      <w:tr>
        <w:tc>
          <w:tcPr>
            <w:tcW w:type="dxa" w:w="28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bCs/>
                <w:color w:val="1F2937"/>
                <w:sz w:val="20"/>
                <w:szCs w:val="20"/>
              </w:rPr>
              <w:t xml:space="preserve">Email / Nurture</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val="false"/>
                <w:bCs w:val="false"/>
                <w:color w:val="1F2937"/>
                <w:sz w:val="20"/>
                <w:szCs w:val="20"/>
              </w:rPr>
              <w:t xml:space="preserve">D</w:t>
            </w:r>
          </w:p>
        </w:tc>
        <w:tc>
          <w:tcPr>
            <w:tcW w:type="dxa" w:w="9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1F2937"/>
                <w:sz w:val="20"/>
                <w:szCs w:val="20"/>
              </w:rPr>
              <w:t xml:space="preserve">C+</w:t>
            </w:r>
          </w:p>
        </w:tc>
        <w:tc>
          <w:tcPr>
            <w:tcW w:type="dxa" w:w="70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center"/>
            </w:pPr>
            <w:r>
              <w:rPr>
                <w:rFonts w:ascii="Arial" w:cs="Arial" w:eastAsia="Arial" w:hAnsi="Arial"/>
                <w:b/>
                <w:bCs/>
                <w:color w:val="0F7A5A"/>
                <w:sz w:val="20"/>
                <w:szCs w:val="20"/>
              </w:rPr>
              <w:t xml:space="preserve">+</w:t>
            </w:r>
          </w:p>
        </w:tc>
        <w:tc>
          <w:tcPr>
            <w:tcW w:type="dxa" w:w="4060"/>
            <w:tcBorders>
              <w:top w:val="single" w:color="D1D5DB" w:sz="1"/>
              <w:left w:val="single" w:color="D1D5DB" w:sz="1"/>
              <w:bottom w:val="single" w:color="D1D5DB" w:sz="1"/>
              <w:right w:val="single" w:color="D1D5DB" w:sz="1"/>
            </w:tcBorders>
            <w:shd w:fill="D0ECEC"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3-email post-audit sequence is drafted. The copy is strong. The sequence is not yet wired to the audit form — no automation is live. Until it fires automatically, it does not exist as a conversion tool.</w:t>
            </w:r>
          </w:p>
        </w:tc>
      </w:tr>
    </w:tbl>
    <w:p>
      <w:pPr>
        <w:spacing w:after="16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6"/>
              <w:left w:val="single" w:color="D1D5DB" w:sz="1"/>
              <w:bottom w:val="single" w:color="D1D5DB" w:sz="1"/>
              <w:right w:val="single" w:color="D1D5DB" w:sz="1"/>
            </w:tcBorders>
            <w:shd w:fill="D0ECEC" w:val="clear"/>
            <w:tcMar>
              <w:top w:type="dxa" w:w="160"/>
              <w:left w:type="dxa" w:w="200"/>
              <w:bottom w:type="dxa" w:w="160"/>
              <w:right w:type="dxa" w:w="200"/>
            </w:tcMar>
          </w:tcPr>
          <w:p>
            <w:pPr>
              <w:spacing w:after="80"/>
            </w:pPr>
            <w:r>
              <w:rPr>
                <w:rFonts w:ascii="Arial" w:cs="Arial" w:eastAsia="Arial" w:hAnsi="Arial"/>
                <w:b/>
                <w:bCs/>
                <w:color w:val="006D6D"/>
                <w:sz w:val="22"/>
                <w:szCs w:val="22"/>
              </w:rPr>
              <w:t xml:space="preserve">OVERALL VERDICT: B+ (up from C+)</w:t>
            </w:r>
          </w:p>
          <w:p>
            <w:pPr>
              <w:spacing w:after="0"/>
            </w:pPr>
            <w:r>
              <w:rPr>
                <w:rFonts w:ascii="Arial" w:cs="Arial" w:eastAsia="Arial" w:hAnsi="Arial"/>
                <w:color w:val="1F2937"/>
                <w:sz w:val="21"/>
                <w:szCs w:val="21"/>
              </w:rPr>
              <w:t xml:space="preserve">Saberra's on-site conversion infrastructure is now genuinely world-class for its stage and price point. The audit is the best lead magnet in its category. The comparison pages, pricing reframe, score-based routing, and social proof in ATF put the site in the top 5% of B2B SaaS at this stage. The remaining gap is entirely off-site and behavioral: LinkedIn outbound, founder posting, live email automation, and one more named case study. Those four items are the entire remaining distance between current state and world-class go-to-market.</w:t>
            </w:r>
          </w:p>
        </w:tc>
      </w:tr>
    </w:tbl>
    <w:p>
      <w:r>
        <w:br w:type="page"/>
      </w:r>
    </w:p>
    <w:p>
      <w:pPr>
        <w:pStyle w:val="Heading1"/>
        <w:spacing w:after="120" w:before="360"/>
      </w:pPr>
      <w:r>
        <w:rPr>
          <w:rFonts w:ascii="Arial" w:cs="Arial" w:eastAsia="Arial" w:hAnsi="Arial"/>
          <w:b/>
          <w:bCs/>
          <w:color w:val="0F1E24"/>
          <w:sz w:val="36"/>
          <w:szCs w:val="36"/>
        </w:rPr>
        <w:t xml:space="preserve">What Still Needs to Happen</w:t>
      </w:r>
    </w:p>
    <w:p>
      <w:pPr>
        <w:spacing w:after="120" w:before="0"/>
      </w:pPr>
      <w:r>
        <w:rPr>
          <w:rFonts w:ascii="Arial" w:cs="Arial" w:eastAsia="Arial" w:hAnsi="Arial"/>
          <w:color w:val="1F2937"/>
          <w:sz w:val="22"/>
          <w:szCs w:val="22"/>
        </w:rPr>
        <w:t xml:space="preserve">The remaining gaps fall into three categories: behavioral (things that require daily action), automation (things that need one technical setup), and proof (things that require client conversations). Each has a clear unlock condition.</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1. LinkedIn and Founder Content — The Entire Off-Site Gap</w:t>
      </w:r>
    </w:p>
    <w:p>
      <w:pPr>
        <w:spacing w:after="120" w:before="0"/>
      </w:pPr>
      <w:r>
        <w:rPr>
          <w:rFonts w:ascii="Arial" w:cs="Arial" w:eastAsia="Arial" w:hAnsi="Arial"/>
          <w:color w:val="1F2937"/>
          <w:sz w:val="22"/>
          <w:szCs w:val="22"/>
        </w:rPr>
        <w:t xml:space="preserve">This is the single biggest remaining lever. The site is ready. The content is drafted. The audit is the best lead magnet in the category. The problem is that none of the people who need to see it know it exists.</w:t>
      </w:r>
    </w:p>
    <w:p>
      <w:pPr>
        <w:spacing w:after="80" w:before="0"/>
      </w:pPr>
      <w:r>
        <w:rPr>
          <w:sz w:val="22"/>
          <w:szCs w:val="22"/>
        </w:rPr>
        <w:t xml:space="preserve"> </w:t>
      </w:r>
    </w:p>
    <w:p>
      <w:pPr>
        <w:pStyle w:val="Heading3"/>
        <w:spacing w:after="80" w:before="200"/>
      </w:pPr>
      <w:r>
        <w:rPr>
          <w:rFonts w:ascii="Arial" w:cs="Arial" w:eastAsia="Arial" w:hAnsi="Arial"/>
          <w:b/>
          <w:bCs/>
          <w:color w:val="0F1E24"/>
          <w:sz w:val="24"/>
          <w:szCs w:val="24"/>
        </w:rPr>
        <w:t xml:space="preserve">What needs to happen this week</w:t>
      </w:r>
    </w:p>
    <w:p>
      <w:pPr>
        <w:pStyle w:val="ListParagraph"/>
        <w:numPr>
          <w:ilvl w:val="0"/>
          <w:numId w:val="2"/>
        </w:numPr>
        <w:spacing w:after="80" w:before="0"/>
      </w:pPr>
      <w:r>
        <w:rPr>
          <w:rFonts w:ascii="Arial" w:cs="Arial" w:eastAsia="Arial" w:hAnsi="Arial"/>
          <w:color w:val="1F2937"/>
          <w:sz w:val="22"/>
          <w:szCs w:val="22"/>
        </w:rPr>
        <w:t xml:space="preserve">Publish the first LinkedIn post from Rick's account — the first horror story draft is ready to go</w:t>
      </w:r>
    </w:p>
    <w:p>
      <w:pPr>
        <w:pStyle w:val="ListParagraph"/>
        <w:numPr>
          <w:ilvl w:val="0"/>
          <w:numId w:val="2"/>
        </w:numPr>
        <w:spacing w:after="80" w:before="0"/>
      </w:pPr>
      <w:r>
        <w:rPr>
          <w:rFonts w:ascii="Arial" w:cs="Arial" w:eastAsia="Arial" w:hAnsi="Arial"/>
          <w:color w:val="1F2937"/>
          <w:sz w:val="22"/>
          <w:szCs w:val="22"/>
        </w:rPr>
        <w:t xml:space="preserve">Connect with 15 ops leads, chiefs of staff, and managing partners per day</w:t>
      </w:r>
    </w:p>
    <w:p>
      <w:pPr>
        <w:pStyle w:val="ListParagraph"/>
        <w:numPr>
          <w:ilvl w:val="0"/>
          <w:numId w:val="2"/>
        </w:numPr>
        <w:spacing w:after="80" w:before="0"/>
      </w:pPr>
      <w:r>
        <w:rPr>
          <w:rFonts w:ascii="Arial" w:cs="Arial" w:eastAsia="Arial" w:hAnsi="Arial"/>
          <w:color w:val="1F2937"/>
          <w:sz w:val="22"/>
          <w:szCs w:val="22"/>
        </w:rPr>
        <w:t xml:space="preserve">Send Touch 2 message to every connection from the previous week</w:t>
      </w:r>
    </w:p>
    <w:p>
      <w:pPr>
        <w:spacing w:after="120" w:before="0"/>
      </w:pPr>
      <w:r>
        <w:rPr>
          <w:rFonts w:ascii="Arial" w:cs="Arial" w:eastAsia="Arial" w:hAnsi="Arial"/>
          <w:color w:val="1F2937"/>
          <w:sz w:val="22"/>
          <w:szCs w:val="22"/>
        </w:rPr>
        <w:t xml:space="preserve">The compound effect of LinkedIn posting is exponential after week 6. Every week of delay is not linear — it delays the compounding. The content is ready. The sequence is written. The bottleneck is hitting publish.</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1D5DB" w:sz="1"/>
              <w:bottom w:val="single" w:color="D1D5DB" w:sz="1"/>
              <w:right w:val="single" w:color="D1D5DB" w:sz="1"/>
            </w:tcBorders>
            <w:shd w:fill="FEF3C7" w:val="clear"/>
            <w:tcMar>
              <w:top w:type="dxa" w:w="160"/>
              <w:left w:type="dxa" w:w="200"/>
              <w:bottom w:type="dxa" w:w="160"/>
              <w:right w:type="dxa" w:w="200"/>
            </w:tcMar>
          </w:tcPr>
          <w:p>
            <w:pPr>
              <w:spacing w:after="80"/>
            </w:pPr>
            <w:r>
              <w:rPr>
                <w:rFonts w:ascii="Arial" w:cs="Arial" w:eastAsia="Arial" w:hAnsi="Arial"/>
                <w:b/>
                <w:bCs/>
                <w:color w:val="D97706"/>
                <w:sz w:val="22"/>
                <w:szCs w:val="22"/>
              </w:rPr>
              <w:t xml:space="preserve">UNLOCK CONDITION FOR LINKEDIN: Post 3 times this week.</w:t>
            </w:r>
          </w:p>
          <w:p>
            <w:pPr>
              <w:spacing w:after="0"/>
            </w:pPr>
            <w:r>
              <w:rPr>
                <w:rFonts w:ascii="Arial" w:cs="Arial" w:eastAsia="Arial" w:hAnsi="Arial"/>
                <w:color w:val="1F2937"/>
                <w:sz w:val="21"/>
                <w:szCs w:val="21"/>
              </w:rPr>
              <w:t xml:space="preserve">The research is done. The drafts exist. The only thing that changes the D+ to a B+ on LinkedIn in 60 days is publishing consistently. Three posts per week, every week, for 8 weeks. That is the entire requirement.</w:t>
            </w:r>
          </w:p>
        </w:tc>
      </w:tr>
    </w:tbl>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2. Email Nurture — The Automation Gap</w:t>
      </w:r>
    </w:p>
    <w:p>
      <w:pPr>
        <w:spacing w:after="120" w:before="0"/>
      </w:pPr>
      <w:r>
        <w:rPr>
          <w:rFonts w:ascii="Arial" w:cs="Arial" w:eastAsia="Arial" w:hAnsi="Arial"/>
          <w:color w:val="1F2937"/>
          <w:sz w:val="22"/>
          <w:szCs w:val="22"/>
        </w:rPr>
        <w:t xml:space="preserve">The 3-email post-audit sequence is drafted and ready. It has not been wired to the audit form. Until it fires automatically, every audit completer exits into silence. This is a plumbing problem, not a content problem.</w:t>
      </w:r>
    </w:p>
    <w:p>
      <w:pPr>
        <w:spacing w:after="80" w:before="0"/>
      </w:pPr>
      <w:r>
        <w:rPr>
          <w:sz w:val="22"/>
          <w:szCs w:val="22"/>
        </w:rPr>
        <w:t xml:space="preserve"> </w:t>
      </w:r>
    </w:p>
    <w:p>
      <w:pPr>
        <w:pStyle w:val="Heading3"/>
        <w:spacing w:after="80" w:before="200"/>
      </w:pPr>
      <w:r>
        <w:rPr>
          <w:rFonts w:ascii="Arial" w:cs="Arial" w:eastAsia="Arial" w:hAnsi="Arial"/>
          <w:b/>
          <w:bCs/>
          <w:color w:val="0F1E24"/>
          <w:sz w:val="24"/>
          <w:szCs w:val="24"/>
        </w:rPr>
        <w:t xml:space="preserve">What needs to happen this week</w:t>
      </w:r>
    </w:p>
    <w:p>
      <w:pPr>
        <w:pStyle w:val="ListParagraph"/>
        <w:numPr>
          <w:ilvl w:val="0"/>
          <w:numId w:val="2"/>
        </w:numPr>
        <w:spacing w:after="80" w:before="0"/>
      </w:pPr>
      <w:r>
        <w:rPr>
          <w:rFonts w:ascii="Arial" w:cs="Arial" w:eastAsia="Arial" w:hAnsi="Arial"/>
          <w:color w:val="1F2937"/>
          <w:sz w:val="22"/>
          <w:szCs w:val="22"/>
        </w:rPr>
        <w:t xml:space="preserve">Choose a delivery tool: ConvertKit, Mailchimp, or Resend (ConvertKit recommended for behavioral triggers)</w:t>
      </w:r>
    </w:p>
    <w:p>
      <w:pPr>
        <w:pStyle w:val="ListParagraph"/>
        <w:numPr>
          <w:ilvl w:val="0"/>
          <w:numId w:val="2"/>
        </w:numPr>
        <w:spacing w:after="80" w:before="0"/>
      </w:pPr>
      <w:r>
        <w:rPr>
          <w:rFonts w:ascii="Arial" w:cs="Arial" w:eastAsia="Arial" w:hAnsi="Arial"/>
          <w:color w:val="1F2937"/>
          <w:sz w:val="22"/>
          <w:szCs w:val="22"/>
        </w:rPr>
        <w:t xml:space="preserve">Set up audit form webhook or Zapier connection to add audit completers to a nurture sequence</w:t>
      </w:r>
    </w:p>
    <w:p>
      <w:pPr>
        <w:pStyle w:val="ListParagraph"/>
        <w:numPr>
          <w:ilvl w:val="0"/>
          <w:numId w:val="2"/>
        </w:numPr>
        <w:spacing w:after="80" w:before="0"/>
      </w:pPr>
      <w:r>
        <w:rPr>
          <w:rFonts w:ascii="Arial" w:cs="Arial" w:eastAsia="Arial" w:hAnsi="Arial"/>
          <w:color w:val="1F2937"/>
          <w:sz w:val="22"/>
          <w:szCs w:val="22"/>
        </w:rPr>
        <w:t xml:space="preserve">Wire the 3 emails: Email 1 (your score + what it means) fires immediately. Email 2 (story at your risk level) fires at 48 hours. Email 3 (next step) fires at 5 days.</w:t>
      </w:r>
    </w:p>
    <w:p>
      <w:pPr>
        <w:pStyle w:val="ListParagraph"/>
        <w:numPr>
          <w:ilvl w:val="0"/>
          <w:numId w:val="2"/>
        </w:numPr>
        <w:spacing w:after="80" w:before="0"/>
      </w:pPr>
      <w:r>
        <w:rPr>
          <w:rFonts w:ascii="Arial" w:cs="Arial" w:eastAsia="Arial" w:hAnsi="Arial"/>
          <w:color w:val="1F2937"/>
          <w:sz w:val="22"/>
          <w:szCs w:val="22"/>
        </w:rPr>
        <w:t xml:space="preserve">Segment by score band: critical/serious completers get a shorter sequence with a direct demo CTA. Early/stable completers get the full nurture.</w:t>
      </w:r>
    </w:p>
    <w:p>
      <w:pPr>
        <w:spacing w:after="80" w:before="0"/>
      </w:pPr>
      <w:r>
        <w:rPr>
          <w:sz w:val="22"/>
          <w:szCs w:val="22"/>
        </w:rPr>
        <w:t xml:space="preserve"> </w:t>
      </w:r>
    </w:p>
    <w:p>
      <w:pPr>
        <w:spacing w:after="120" w:before="0"/>
      </w:pPr>
      <w:r>
        <w:rPr>
          <w:rFonts w:ascii="Arial" w:cs="Arial" w:eastAsia="Arial" w:hAnsi="Arial"/>
          <w:color w:val="1F2937"/>
          <w:sz w:val="22"/>
          <w:szCs w:val="22"/>
        </w:rPr>
        <w:t xml:space="preserve">The expected impact of a working nurture sequence at this audit volume: 20-35% of audit completers who don't book immediately will book within 14 days of receiving Email 3. At 10 audit completions per week, that is 2-4 additional demos per month from automation alone.</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D1D5DB" w:sz="1"/>
              <w:bottom w:val="single" w:color="D1D5DB" w:sz="1"/>
              <w:right w:val="single" w:color="D1D5DB" w:sz="1"/>
            </w:tcBorders>
            <w:shd w:fill="FBE8E8" w:val="clear"/>
            <w:tcMar>
              <w:top w:type="dxa" w:w="160"/>
              <w:left w:type="dxa" w:w="200"/>
              <w:bottom w:type="dxa" w:w="160"/>
              <w:right w:type="dxa" w:w="200"/>
            </w:tcMar>
          </w:tcPr>
          <w:p>
            <w:pPr>
              <w:spacing w:after="80"/>
            </w:pPr>
            <w:r>
              <w:rPr>
                <w:rFonts w:ascii="Arial" w:cs="Arial" w:eastAsia="Arial" w:hAnsi="Arial"/>
                <w:b/>
                <w:bCs/>
                <w:color w:val="B91C1C"/>
                <w:sz w:val="22"/>
                <w:szCs w:val="22"/>
              </w:rPr>
              <w:t xml:space="preserve">UNLOCK CONDITION FOR NURTURE: One afternoon of technical setup.</w:t>
            </w:r>
          </w:p>
          <w:p>
            <w:pPr>
              <w:spacing w:after="0"/>
            </w:pPr>
            <w:r>
              <w:rPr>
                <w:rFonts w:ascii="Arial" w:cs="Arial" w:eastAsia="Arial" w:hAnsi="Arial"/>
                <w:color w:val="1F2937"/>
                <w:sz w:val="21"/>
                <w:szCs w:val="21"/>
              </w:rPr>
              <w:t xml:space="preserve">The copy is done. The strategy is clear. The bottleneck is a 2-3 hour ConvertKit configuration. Every week this is not live, audit completers go cold.</w:t>
            </w:r>
          </w:p>
        </w:tc>
      </w:tr>
    </w:tbl>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3. The Second Named Case Study — The Proof Gap</w:t>
      </w:r>
    </w:p>
    <w:p>
      <w:pPr>
        <w:spacing w:after="120" w:before="0"/>
      </w:pPr>
      <w:r>
        <w:rPr>
          <w:rFonts w:ascii="Arial" w:cs="Arial" w:eastAsia="Arial" w:hAnsi="Arial"/>
          <w:color w:val="1F2937"/>
          <w:sz w:val="22"/>
          <w:szCs w:val="22"/>
        </w:rPr>
        <w:t xml:space="preserve">Amora Community is a strong proof point with specific numbers. It is one org. One data point creates a sample of one. Two data points from different org types (a nonprofit and a consultancy) make the proof pattern undeniable.</w:t>
      </w:r>
    </w:p>
    <w:p>
      <w:pPr>
        <w:spacing w:after="80" w:before="0"/>
      </w:pPr>
      <w:r>
        <w:rPr>
          <w:sz w:val="22"/>
          <w:szCs w:val="22"/>
        </w:rPr>
        <w:t xml:space="preserve"> </w:t>
      </w:r>
    </w:p>
    <w:p>
      <w:pPr>
        <w:pStyle w:val="Heading3"/>
        <w:spacing w:after="80" w:before="200"/>
      </w:pPr>
      <w:r>
        <w:rPr>
          <w:rFonts w:ascii="Arial" w:cs="Arial" w:eastAsia="Arial" w:hAnsi="Arial"/>
          <w:b/>
          <w:bCs/>
          <w:color w:val="0F1E24"/>
          <w:sz w:val="24"/>
          <w:szCs w:val="24"/>
        </w:rPr>
        <w:t xml:space="preserve">Target case study structure</w:t>
      </w:r>
    </w:p>
    <w:p>
      <w:pPr>
        <w:pStyle w:val="ListParagraph"/>
        <w:numPr>
          <w:ilvl w:val="0"/>
          <w:numId w:val="2"/>
        </w:numPr>
        <w:spacing w:after="80" w:before="0"/>
      </w:pPr>
      <w:r>
        <w:rPr>
          <w:rFonts w:ascii="Arial" w:cs="Arial" w:eastAsia="Arial" w:hAnsi="Arial"/>
          <w:color w:val="1F2937"/>
          <w:sz w:val="22"/>
          <w:szCs w:val="22"/>
        </w:rPr>
        <w:t xml:space="preserve">A consultancy (10-60 staff) with at least one delivery lead or managing partner transition in the last 12 months</w:t>
      </w:r>
    </w:p>
    <w:p>
      <w:pPr>
        <w:pStyle w:val="ListParagraph"/>
        <w:numPr>
          <w:ilvl w:val="0"/>
          <w:numId w:val="2"/>
        </w:numPr>
        <w:spacing w:after="80" w:before="0"/>
      </w:pPr>
      <w:r>
        <w:rPr>
          <w:rFonts w:ascii="Arial" w:cs="Arial" w:eastAsia="Arial" w:hAnsi="Arial"/>
          <w:color w:val="1F2937"/>
          <w:sz w:val="22"/>
          <w:szCs w:val="22"/>
        </w:rPr>
        <w:t xml:space="preserve">A nonprofit with a governance coordinator or program lead handoff</w:t>
      </w:r>
    </w:p>
    <w:p>
      <w:pPr>
        <w:spacing w:after="120" w:before="0"/>
      </w:pPr>
      <w:r>
        <w:rPr>
          <w:rFonts w:ascii="Arial" w:cs="Arial" w:eastAsia="Arial" w:hAnsi="Arial"/>
          <w:color w:val="1F2937"/>
          <w:sz w:val="22"/>
          <w:szCs w:val="22"/>
        </w:rPr>
        <w:t xml:space="preserve">The numbers that matter most: how many decisions were captured, what a specific transition would have cost without the system, how fast a new person got up to speed. Even rough estimates from the client with their attribution ('we estimate...') are credible.</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6"/>
              <w:left w:val="single" w:color="D1D5DB" w:sz="1"/>
              <w:bottom w:val="single" w:color="D1D5DB" w:sz="1"/>
              <w:right w:val="single" w:color="D1D5DB" w:sz="1"/>
            </w:tcBorders>
            <w:shd w:fill="D0ECEC" w:val="clear"/>
            <w:tcMar>
              <w:top w:type="dxa" w:w="160"/>
              <w:left w:type="dxa" w:w="200"/>
              <w:bottom w:type="dxa" w:w="160"/>
              <w:right w:type="dxa" w:w="200"/>
            </w:tcMar>
          </w:tcPr>
          <w:p>
            <w:pPr>
              <w:spacing w:after="80"/>
            </w:pPr>
            <w:r>
              <w:rPr>
                <w:rFonts w:ascii="Arial" w:cs="Arial" w:eastAsia="Arial" w:hAnsi="Arial"/>
                <w:b/>
                <w:bCs/>
                <w:color w:val="006D6D"/>
                <w:sz w:val="22"/>
                <w:szCs w:val="22"/>
              </w:rPr>
              <w:t xml:space="preserve">UNLOCK CONDITION FOR PROOF: One 20-minute client conversation per case study.</w:t>
            </w:r>
          </w:p>
          <w:p>
            <w:pPr>
              <w:spacing w:after="0"/>
            </w:pPr>
            <w:r>
              <w:rPr>
                <w:rFonts w:ascii="Arial" w:cs="Arial" w:eastAsia="Arial" w:hAnsi="Arial"/>
                <w:color w:val="1F2937"/>
                <w:sz w:val="21"/>
                <w:szCs w:val="21"/>
              </w:rPr>
              <w:t xml:space="preserve">The case study template is built and tested on Amora. The next case study is one phone call away from whoever your most engaged client is. Ask them if you can publish their results. Most clients say yes if you draft the copy for them to approve.</w:t>
            </w:r>
          </w:p>
        </w:tc>
      </w:tr>
    </w:tbl>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4. Notion Template Form — Still Has Friction</w:t>
      </w:r>
    </w:p>
    <w:p>
      <w:pPr>
        <w:spacing w:after="120" w:before="0"/>
      </w:pPr>
      <w:r>
        <w:rPr>
          <w:rFonts w:ascii="Arial" w:cs="Arial" w:eastAsia="Arial" w:hAnsi="Arial"/>
          <w:color w:val="1F2937"/>
          <w:sz w:val="22"/>
          <w:szCs w:val="22"/>
        </w:rPr>
        <w:t xml:space="preserve">The Notion template gate form was identified in the original report as too heavy. A cold visitor should not face a full form with email, segment, and current tools just to see the template. This was partially addressed but not fully reduced to email-only.</w:t>
      </w:r>
    </w:p>
    <w:p>
      <w:pPr>
        <w:pStyle w:val="Heading3"/>
        <w:spacing w:after="80" w:before="200"/>
      </w:pPr>
      <w:r>
        <w:rPr>
          <w:rFonts w:ascii="Arial" w:cs="Arial" w:eastAsia="Arial" w:hAnsi="Arial"/>
          <w:b/>
          <w:bCs/>
          <w:color w:val="0F1E24"/>
          <w:sz w:val="24"/>
          <w:szCs w:val="24"/>
        </w:rPr>
        <w:t xml:space="preserve">Specific fix</w:t>
      </w:r>
    </w:p>
    <w:p>
      <w:pPr>
        <w:pStyle w:val="ListParagraph"/>
        <w:numPr>
          <w:ilvl w:val="0"/>
          <w:numId w:val="2"/>
        </w:numPr>
        <w:spacing w:after="80" w:before="0"/>
      </w:pPr>
      <w:r>
        <w:rPr>
          <w:rFonts w:ascii="Arial" w:cs="Arial" w:eastAsia="Arial" w:hAnsi="Arial"/>
          <w:color w:val="1F2937"/>
          <w:sz w:val="22"/>
          <w:szCs w:val="22"/>
        </w:rPr>
        <w:t xml:space="preserve">Notion template form: email field only on first submission</w:t>
      </w:r>
    </w:p>
    <w:p>
      <w:pPr>
        <w:pStyle w:val="ListParagraph"/>
        <w:numPr>
          <w:ilvl w:val="0"/>
          <w:numId w:val="2"/>
        </w:numPr>
        <w:spacing w:after="80" w:before="0"/>
      </w:pPr>
      <w:r>
        <w:rPr>
          <w:rFonts w:ascii="Arial" w:cs="Arial" w:eastAsia="Arial" w:hAnsi="Arial"/>
          <w:color w:val="1F2937"/>
          <w:sz w:val="22"/>
          <w:szCs w:val="22"/>
        </w:rPr>
        <w:t xml:space="preserve">Capture segment and tools in the post-submission email via a single link ('Tell us about your org for personalized setup tips') — optional click, not a required field</w:t>
      </w:r>
    </w:p>
    <w:p>
      <w:pPr>
        <w:pStyle w:val="ListParagraph"/>
        <w:numPr>
          <w:ilvl w:val="0"/>
          <w:numId w:val="2"/>
        </w:numPr>
        <w:spacing w:after="80" w:before="0"/>
      </w:pPr>
      <w:r>
        <w:rPr>
          <w:rFonts w:ascii="Arial" w:cs="Arial" w:eastAsia="Arial" w:hAnsi="Arial"/>
          <w:color w:val="1F2937"/>
          <w:sz w:val="22"/>
          <w:szCs w:val="22"/>
        </w:rPr>
        <w:t xml:space="preserve">Expected conversion lift: 15-25% more form completions from cold traffic</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5. Direct Calendly Link on Demo Confirmation</w:t>
      </w:r>
    </w:p>
    <w:p>
      <w:pPr>
        <w:spacing w:after="120" w:before="0"/>
      </w:pPr>
      <w:r>
        <w:rPr>
          <w:rFonts w:ascii="Arial" w:cs="Arial" w:eastAsia="Arial" w:hAnsi="Arial"/>
          <w:color w:val="1F2937"/>
          <w:sz w:val="22"/>
          <w:szCs w:val="22"/>
        </w:rPr>
        <w:t xml:space="preserve">A buyer who books a team demo fills out a form and then waits for a response. Every hour between form submission and scheduled call is friction that compounds. A Calendly direct link on the form confirmation page removes the friction entirely.</w:t>
      </w:r>
    </w:p>
    <w:p>
      <w:pPr>
        <w:pStyle w:val="ListParagraph"/>
        <w:numPr>
          <w:ilvl w:val="0"/>
          <w:numId w:val="2"/>
        </w:numPr>
        <w:spacing w:after="80" w:before="0"/>
      </w:pPr>
      <w:r>
        <w:rPr>
          <w:rFonts w:ascii="Arial" w:cs="Arial" w:eastAsia="Arial" w:hAnsi="Arial"/>
          <w:color w:val="1F2937"/>
          <w:sz w:val="22"/>
          <w:szCs w:val="22"/>
        </w:rPr>
        <w:t xml:space="preserve">Add a Calendly or Google Calendar booking link to the team demo form confirmation page</w:t>
      </w:r>
    </w:p>
    <w:p>
      <w:pPr>
        <w:pStyle w:val="ListParagraph"/>
        <w:numPr>
          <w:ilvl w:val="0"/>
          <w:numId w:val="2"/>
        </w:numPr>
        <w:spacing w:after="80" w:before="0"/>
      </w:pPr>
      <w:r>
        <w:rPr>
          <w:rFonts w:ascii="Arial" w:cs="Arial" w:eastAsia="Arial" w:hAnsi="Arial"/>
          <w:color w:val="1F2937"/>
          <w:sz w:val="22"/>
          <w:szCs w:val="22"/>
        </w:rPr>
        <w:t xml:space="preserve">Copy: 'While you're here — grab a time directly. No back-and-forth.' [BOOK A TIME]</w:t>
      </w:r>
    </w:p>
    <w:p>
      <w:pPr>
        <w:pStyle w:val="ListParagraph"/>
        <w:numPr>
          <w:ilvl w:val="0"/>
          <w:numId w:val="2"/>
        </w:numPr>
        <w:spacing w:after="80" w:before="0"/>
      </w:pPr>
      <w:r>
        <w:rPr>
          <w:rFonts w:ascii="Arial" w:cs="Arial" w:eastAsia="Arial" w:hAnsi="Arial"/>
          <w:color w:val="1F2937"/>
          <w:sz w:val="22"/>
          <w:szCs w:val="22"/>
        </w:rPr>
        <w:t xml:space="preserve">Expected impact: demo conversion rate from form to scheduled call increases 30-50%</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6. Partner Outreach — The Untouched Multiplier</w:t>
      </w:r>
    </w:p>
    <w:p>
      <w:pPr>
        <w:spacing w:after="120" w:before="0"/>
      </w:pPr>
      <w:r>
        <w:rPr>
          <w:rFonts w:ascii="Arial" w:cs="Arial" w:eastAsia="Arial" w:hAnsi="Arial"/>
          <w:color w:val="1F2937"/>
          <w:sz w:val="22"/>
          <w:szCs w:val="22"/>
        </w:rPr>
        <w:t xml:space="preserve">The partner page and affiliate structure are live. The referral fee (20% first year) is documented. Not one Notion consultant, fractional COO, or chief of staff community has been contacted with the partner proposition.</w:t>
      </w:r>
    </w:p>
    <w:p>
      <w:pPr>
        <w:pStyle w:val="Heading3"/>
        <w:spacing w:after="80" w:before="200"/>
      </w:pPr>
      <w:r>
        <w:rPr>
          <w:rFonts w:ascii="Arial" w:cs="Arial" w:eastAsia="Arial" w:hAnsi="Arial"/>
          <w:b/>
          <w:bCs/>
          <w:color w:val="0F1E24"/>
          <w:sz w:val="24"/>
          <w:szCs w:val="24"/>
        </w:rPr>
        <w:t xml:space="preserve">This week's action</w:t>
      </w:r>
    </w:p>
    <w:p>
      <w:pPr>
        <w:pStyle w:val="ListParagraph"/>
        <w:numPr>
          <w:ilvl w:val="0"/>
          <w:numId w:val="2"/>
        </w:numPr>
        <w:spacing w:after="80" w:before="0"/>
      </w:pPr>
      <w:r>
        <w:rPr>
          <w:rFonts w:ascii="Arial" w:cs="Arial" w:eastAsia="Arial" w:hAnsi="Arial"/>
          <w:color w:val="1F2937"/>
          <w:sz w:val="22"/>
          <w:szCs w:val="22"/>
        </w:rPr>
        <w:t xml:space="preserve">Identify the top 30 Notion consultants on LinkedIn by profile activity and follower count</w:t>
      </w:r>
    </w:p>
    <w:p>
      <w:pPr>
        <w:pStyle w:val="ListParagraph"/>
        <w:numPr>
          <w:ilvl w:val="0"/>
          <w:numId w:val="2"/>
        </w:numPr>
        <w:spacing w:after="80" w:before="0"/>
      </w:pPr>
      <w:r>
        <w:rPr>
          <w:rFonts w:ascii="Arial" w:cs="Arial" w:eastAsia="Arial" w:hAnsi="Arial"/>
          <w:color w:val="1F2937"/>
          <w:sz w:val="22"/>
          <w:szCs w:val="22"/>
        </w:rPr>
        <w:t xml:space="preserve">Send 10 DMs per day: 'I built Saberra for the exact clients you work with — [org type]. We have a referral program. Want the one-pager?'</w:t>
      </w:r>
    </w:p>
    <w:p>
      <w:pPr>
        <w:pStyle w:val="ListParagraph"/>
        <w:numPr>
          <w:ilvl w:val="0"/>
          <w:numId w:val="2"/>
        </w:numPr>
        <w:spacing w:after="80" w:before="0"/>
      </w:pPr>
      <w:r>
        <w:rPr>
          <w:rFonts w:ascii="Arial" w:cs="Arial" w:eastAsia="Arial" w:hAnsi="Arial"/>
          <w:color w:val="1F2937"/>
          <w:sz w:val="22"/>
          <w:szCs w:val="22"/>
        </w:rPr>
        <w:t xml:space="preserve">Post the partner one-pager to Notion's official partner community</w:t>
      </w:r>
    </w:p>
    <w:p>
      <w:pPr>
        <w:pStyle w:val="ListParagraph"/>
        <w:numPr>
          <w:ilvl w:val="0"/>
          <w:numId w:val="2"/>
        </w:numPr>
        <w:spacing w:after="80" w:before="0"/>
      </w:pPr>
      <w:r>
        <w:rPr>
          <w:rFonts w:ascii="Arial" w:cs="Arial" w:eastAsia="Arial" w:hAnsi="Arial"/>
          <w:color w:val="1F2937"/>
          <w:sz w:val="22"/>
          <w:szCs w:val="22"/>
        </w:rPr>
        <w:t xml:space="preserve">DM the admins of COS-Connect and Chief of Staff Network about a co-webinar</w:t>
      </w:r>
    </w:p>
    <w:p>
      <w:pPr>
        <w:spacing w:after="120" w:before="0"/>
      </w:pPr>
      <w:r>
        <w:rPr>
          <w:rFonts w:ascii="Arial" w:cs="Arial" w:eastAsia="Arial" w:hAnsi="Arial"/>
          <w:color w:val="1F2937"/>
          <w:sz w:val="22"/>
          <w:szCs w:val="22"/>
        </w:rPr>
        <w:t xml:space="preserve">Expected outcome at 4 weeks: 3-5 partner conversations. At 8 weeks: 1-2 warm referrals.</w:t>
      </w:r>
    </w:p>
    <w:p>
      <w:r>
        <w:br w:type="page"/>
      </w:r>
    </w:p>
    <w:p>
      <w:pPr>
        <w:pStyle w:val="Heading1"/>
        <w:spacing w:after="120" w:before="360"/>
      </w:pPr>
      <w:r>
        <w:rPr>
          <w:rFonts w:ascii="Arial" w:cs="Arial" w:eastAsia="Arial" w:hAnsi="Arial"/>
          <w:b/>
          <w:bCs/>
          <w:color w:val="0F1E24"/>
          <w:sz w:val="36"/>
          <w:szCs w:val="36"/>
        </w:rPr>
        <w:t xml:space="preserve">Sections That Remain Fully Valid from the Original Report</w:t>
      </w:r>
    </w:p>
    <w:p>
      <w:pPr>
        <w:spacing w:after="120" w:before="0"/>
      </w:pPr>
      <w:r>
        <w:rPr>
          <w:rFonts w:ascii="Arial" w:cs="Arial" w:eastAsia="Arial" w:hAnsi="Arial"/>
          <w:color w:val="1F2937"/>
          <w:sz w:val="22"/>
          <w:szCs w:val="22"/>
        </w:rPr>
        <w:t xml:space="preserve">The following strategic sections from the original report have not materially changed. They are reproduced here in full for reference. Re-read the original document for the complete narrative.</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LinkedIn Outbound — 4-Touch Sequence (Unchanged)</w:t>
      </w:r>
    </w:p>
    <w:p>
      <w:pPr>
        <w:spacing w:after="120" w:before="0"/>
      </w:pPr>
      <w:r>
        <w:rPr>
          <w:rFonts w:ascii="Arial" w:cs="Arial" w:eastAsia="Arial" w:hAnsi="Arial"/>
          <w:color w:val="1F2937"/>
          <w:sz w:val="22"/>
          <w:szCs w:val="22"/>
        </w:rPr>
        <w:t xml:space="preserve">The exact four-touch DM sequence from the original report remains the recommended approach. Touch 1 is a connection request with context. Touch 2 (Day 3) opens with a pain question. Touch 3 (Day 7) sends the audit link with no pitch. Touch 4 (Day 14) closes or releases.</w:t>
      </w:r>
    </w:p>
    <w:p>
      <w:pPr>
        <w:spacing w:after="120" w:before="0"/>
      </w:pPr>
      <w:r>
        <w:rPr>
          <w:rFonts w:ascii="Arial" w:cs="Arial" w:eastAsia="Arial" w:hAnsi="Arial"/>
          <w:color w:val="1F2937"/>
          <w:sz w:val="22"/>
          <w:szCs w:val="22"/>
        </w:rPr>
        <w:t xml:space="preserve">Volume targets: 15-20 connection requests per day. Expected reply rate at Touch 2: 8-15%. Expected demo conversion from replies: 20-35%. At 15 connections/day, 5 days/week: 6-15 demos per month from outbound alone.</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Founder Content Pillars (Unchanged)</w:t>
      </w:r>
    </w:p>
    <w:p>
      <w:pPr>
        <w:spacing w:after="120" w:before="0"/>
      </w:pPr>
      <w:r>
        <w:rPr>
          <w:rFonts w:ascii="Arial" w:cs="Arial" w:eastAsia="Arial" w:hAnsi="Arial"/>
          <w:color w:val="1F2937"/>
          <w:sz w:val="22"/>
          <w:szCs w:val="22"/>
        </w:rPr>
        <w:t xml:space="preserve">Three types of posts, weekly: Horror stories (2x per month) — specific org failure narratives. Behind-the-build (1x per week) — transparency about product decisions. Provocative takes (1x per week) — contrarian statements about AI, notes tools, or knowledge management.</w:t>
      </w:r>
    </w:p>
    <w:p>
      <w:pPr>
        <w:spacing w:after="120" w:before="0"/>
      </w:pPr>
      <w:r>
        <w:rPr>
          <w:rFonts w:ascii="Arial" w:cs="Arial" w:eastAsia="Arial" w:hAnsi="Arial"/>
          <w:color w:val="1F2937"/>
          <w:sz w:val="22"/>
          <w:szCs w:val="22"/>
        </w:rPr>
        <w:t xml:space="preserve">Post format rules that hold: first line stops the scroll, one sentence per line for first three lines, no outbound links in post body (put in first comment), end with a direct question to drive comments, post at 7-8am or 12-1pm in audience timezone.</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The Webinar as Conversion Engine (Now More Urgent)</w:t>
      </w:r>
    </w:p>
    <w:p>
      <w:pPr>
        <w:spacing w:after="120" w:before="0"/>
      </w:pPr>
      <w:r>
        <w:rPr>
          <w:rFonts w:ascii="Arial" w:cs="Arial" w:eastAsia="Arial" w:hAnsi="Arial"/>
          <w:color w:val="1F2937"/>
          <w:sz w:val="22"/>
          <w:szCs w:val="22"/>
        </w:rPr>
        <w:t xml:space="preserve">The site is ready to receive webinar registrants. The audit is producing qualified leads. The demo hub has three clear paths. A monthly live webinar is the highest-leverage move available right now because the entire nurture infrastructure now exists around it.</w:t>
      </w:r>
    </w:p>
    <w:p>
      <w:pPr>
        <w:spacing w:after="120" w:before="0"/>
      </w:pPr>
      <w:r>
        <w:rPr>
          <w:rFonts w:ascii="Arial" w:cs="Arial" w:eastAsia="Arial" w:hAnsi="Arial"/>
          <w:color w:val="1F2937"/>
          <w:sz w:val="22"/>
          <w:szCs w:val="22"/>
        </w:rPr>
        <w:t xml:space="preserve">Format: 15 min problem framing + 30 min live Sera demo + 15 min Q&amp;A + 10 min offer. Promote on LinkedIn 2 weeks out, 1 week out, and day-of. Gate the replay behind email opt-in. Goal: 25-30 attendees per session at 20% conversion to team demo = 5-6 demos per webinar.</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Case Study Template (Unchanged — Now More Executable)</w:t>
      </w:r>
    </w:p>
    <w:p>
      <w:pPr>
        <w:spacing w:after="120" w:before="0"/>
      </w:pPr>
      <w:r>
        <w:rPr>
          <w:rFonts w:ascii="Arial" w:cs="Arial" w:eastAsia="Arial" w:hAnsi="Arial"/>
          <w:color w:val="1F2937"/>
          <w:sz w:val="22"/>
          <w:szCs w:val="22"/>
        </w:rPr>
        <w:t xml:space="preserve">The seven-section template from the original report (Organization, Moment of Pain, What They Tried, Saberra Setup, 90-Day Result with Numbers, Quote, Residual Impact) is now battle-tested on the Amora case study. The next two case studies can be produced faster because the template is already proven.</w:t>
      </w:r>
    </w:p>
    <w:p>
      <w:pPr>
        <w:spacing w:after="80" w:before="0"/>
      </w:pPr>
      <w:r>
        <w:rPr>
          <w:sz w:val="22"/>
          <w:szCs w:val="22"/>
        </w:rPr>
        <w:t xml:space="preserve"> </w:t>
      </w:r>
    </w:p>
    <w:p>
      <w:pPr>
        <w:pStyle w:val="Heading2"/>
        <w:pBdr>
          <w:bottom w:val="single" w:color="006D6D" w:sz="4" w:space="4"/>
        </w:pBdr>
        <w:spacing w:after="100" w:before="280"/>
      </w:pPr>
      <w:r>
        <w:rPr>
          <w:rFonts w:ascii="Arial" w:cs="Arial" w:eastAsia="Arial" w:hAnsi="Arial"/>
          <w:b/>
          <w:bCs/>
          <w:color w:val="006D6D"/>
          <w:sz w:val="28"/>
          <w:szCs w:val="28"/>
        </w:rPr>
        <w:t xml:space="preserve">Partner Program Architecture (Unchanged)</w:t>
      </w:r>
    </w:p>
    <w:p>
      <w:pPr>
        <w:spacing w:after="120" w:before="0"/>
      </w:pPr>
      <w:r>
        <w:rPr>
          <w:rFonts w:ascii="Arial" w:cs="Arial" w:eastAsia="Arial" w:hAnsi="Arial"/>
          <w:color w:val="1F2937"/>
          <w:sz w:val="22"/>
          <w:szCs w:val="22"/>
        </w:rPr>
        <w:t xml:space="preserve">Referral tier: 20% of first-year setup fee + 15% of first-year monthly recurring, paid at 30 days post-client payment. Certified Implementation Partner tier (future): partners trained to deliver Saberra deployment themselves. Co-marketing tier: joint webinars, co-authored content, shared email distribution.</w:t>
      </w:r>
    </w:p>
    <w:p>
      <w:r>
        <w:br w:type="page"/>
      </w:r>
    </w:p>
    <w:p>
      <w:pPr>
        <w:pStyle w:val="Heading1"/>
        <w:spacing w:after="120" w:before="360"/>
      </w:pPr>
      <w:r>
        <w:rPr>
          <w:rFonts w:ascii="Arial" w:cs="Arial" w:eastAsia="Arial" w:hAnsi="Arial"/>
          <w:b/>
          <w:bCs/>
          <w:color w:val="0F1E24"/>
          <w:sz w:val="36"/>
          <w:szCs w:val="36"/>
        </w:rPr>
        <w:t xml:space="preserve">Updated 90-Day Roadmap</w:t>
      </w:r>
    </w:p>
    <w:p>
      <w:pPr>
        <w:spacing w:after="120" w:before="0"/>
      </w:pPr>
      <w:r>
        <w:rPr>
          <w:rFonts w:ascii="Arial" w:cs="Arial" w:eastAsia="Arial" w:hAnsi="Arial"/>
          <w:color w:val="1F2937"/>
          <w:sz w:val="22"/>
          <w:szCs w:val="22"/>
        </w:rPr>
        <w:t xml:space="preserve">This roadmap reflects current state. Completed items are marked DONE. Items marked IN PROGRESS are underway. Open items are sequenced by impact.</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100"/>
        <w:gridCol w:w="1300"/>
        <w:gridCol w:w="1560"/>
      </w:tblGrid>
      <w:tr>
        <w:tc>
          <w:tcPr>
            <w:tcW w:type="dxa" w:w="14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Week</w:t>
            </w:r>
          </w:p>
        </w:tc>
        <w:tc>
          <w:tcPr>
            <w:tcW w:type="dxa" w:w="30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Action</w:t>
            </w:r>
          </w:p>
        </w:tc>
        <w:tc>
          <w:tcPr>
            <w:tcW w:type="dxa" w:w="21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Expected Outcome</w:t>
            </w:r>
          </w:p>
        </w:tc>
        <w:tc>
          <w:tcPr>
            <w:tcW w:type="dxa" w:w="13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Owner</w:t>
            </w:r>
          </w:p>
        </w:tc>
        <w:tc>
          <w:tcPr>
            <w:tcW w:type="dxa" w:w="156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Status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Post first 3 LinkedIn posts (horror story, behind-the-build, provocative take)</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Establish presence, begin algorithm momentum</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Wire audit form to ConvertKit: 3-email nurture sequence goes live</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completers receive nurture automatically. 2-4 additional demos/month.</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 + dev</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Add Calendly link to team demo form confirmation page</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30-50% lift in form-to-scheduled-call rate</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 (1 hour)</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Reduce Notion template form to email-only</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15-25% lift in template form conversions</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 (30 min)</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DM 10 Notion consultants per day about partner program</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3-5 partner conversations within 4 weeks</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3-4</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Set date for first monthly webinar, open registration</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25-30 registrants, 5-6 demos expected</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3-4</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Conduct case study interview with second client</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Second named case study published</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3-4</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Send audit link in Touch 3 to all LinkedIn connections from Weeks 1-2</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completions from outbound traffic</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3-4</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Post partner content in Notion consultant community</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Inbound partner inquiries</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5-8</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Run first live webinar</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5-6 demo conversions expected</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5-8</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Publish second named case study (consultancy or nonprofit)</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B+ social proof, SEO page</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5-8</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Increase LinkedIn cadence to 4 posts/week</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Algorithm momentum compounds at week 6</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5-8</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Clip 3 best 90-second segments from webinar for LinkedIn</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Evergreen content from one live event</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5-8</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DM COS-Connect and Chief of Staff Network about co-webinar</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Pre-qualified audience access</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9-12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Gate webinar replay behind email opt-in — evergreen lead magnet</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Ongoing qualified lead flow</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9-12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Add social proof logos bar to homepage if clients willing</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Credibility signal, A grade on social proof</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 + dev</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9-12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Analyze audit drop-off rates, optimize weak questions</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Higher audit completion rate</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9-12</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Write third case study (the scaling founder arc)</w:t>
            </w:r>
          </w:p>
        </w:tc>
        <w:tc>
          <w:tcPr>
            <w:tcW w:type="dxa" w:w="21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Full case study library, each ICP covered</w:t>
            </w:r>
          </w:p>
        </w:tc>
        <w:tc>
          <w:tcPr>
            <w:tcW w:type="dxa" w:w="13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Rick</w:t>
            </w:r>
          </w:p>
        </w:tc>
        <w:tc>
          <w:tcPr>
            <w:tcW w:type="dxa" w:w="1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OPEN</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phase-gate UX + start screen</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Unmissable entry point, clear flow</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score-based CTA routing (critical/serious/early/stable)</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First qualified funnel with urgency routing</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1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Audit: primary CTA in hero, trust chips, video caption, Amora quote ATF</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Near-world-class homepage conversion</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2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Pricing: COA comparison + transition cost one-liner</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Price anchor reframed from SaaS to executive headcount</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2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Scarcity counter on founding access + demo pages</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Real urgency signal with animation</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3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Comparison resource pages (vs notetakers, vs Notion AI)</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High-intent buyer SEO capture</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3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Full SEO overhaul: JSON-LD, per-page OG, robots AI crawlers, llms.txt, sitemap</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Rich result eligibility, AI search citation readiness</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4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Security page expanded: data flow table, offboarding grid, FAQ</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IT and legal objection handling on-site</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r>
        <w:tc>
          <w:tcPr>
            <w:tcW w:type="dxa" w:w="14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Week 4 (DONE)</w:t>
            </w:r>
          </w:p>
        </w:tc>
        <w:tc>
          <w:tcPr>
            <w:tcW w:type="dxa" w:w="30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Demo hub: 7-database breakdown + product page with 4 visuals</w:t>
            </w:r>
          </w:p>
        </w:tc>
        <w:tc>
          <w:tcPr>
            <w:tcW w:type="dxa" w:w="21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Technical buyers can evaluate structure without a demo</w:t>
            </w:r>
          </w:p>
        </w:tc>
        <w:tc>
          <w:tcPr>
            <w:tcW w:type="dxa" w:w="130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Dev</w:t>
            </w:r>
          </w:p>
        </w:tc>
        <w:tc>
          <w:tcPr>
            <w:tcW w:type="dxa" w:w="1560"/>
            <w:tcBorders>
              <w:top w:val="single" w:color="D1D5DB" w:sz="1"/>
              <w:left w:val="single" w:color="D1D5DB" w:sz="1"/>
              <w:bottom w:val="single" w:color="D1D5DB" w:sz="1"/>
              <w:right w:val="single" w:color="D1D5DB" w:sz="1"/>
            </w:tcBorders>
            <w:shd w:fill="E6F4F0" w:val="clear"/>
            <w:tcMar>
              <w:top w:type="dxa" w:w="90"/>
              <w:left w:type="dxa" w:w="120"/>
              <w:bottom w:type="dxa" w:w="90"/>
              <w:right w:type="dxa" w:w="120"/>
            </w:tcMar>
          </w:tcPr>
          <w:p>
            <w:pPr>
              <w:jc w:val="left"/>
            </w:pPr>
            <w:r>
              <w:rPr>
                <w:rFonts w:ascii="Arial" w:cs="Arial" w:eastAsia="Arial" w:hAnsi="Arial"/>
                <w:b/>
                <w:bCs/>
                <w:color w:val="0F7A5A"/>
                <w:sz w:val="20"/>
                <w:szCs w:val="20"/>
              </w:rPr>
              <w:t xml:space="preserve">DONE</w:t>
            </w:r>
          </w:p>
        </w:tc>
      </w:tr>
    </w:tbl>
    <w:p>
      <w:r>
        <w:br w:type="page"/>
      </w:r>
    </w:p>
    <w:p>
      <w:pPr>
        <w:pStyle w:val="Heading1"/>
        <w:spacing w:after="120" w:before="360"/>
      </w:pPr>
      <w:r>
        <w:rPr>
          <w:rFonts w:ascii="Arial" w:cs="Arial" w:eastAsia="Arial" w:hAnsi="Arial"/>
          <w:b/>
          <w:bCs/>
          <w:color w:val="0F1E24"/>
          <w:sz w:val="36"/>
          <w:szCs w:val="36"/>
        </w:rPr>
        <w:t xml:space="preserve">Updated KPIs and Success Metrics</w:t>
      </w:r>
    </w:p>
    <w:p>
      <w:pPr>
        <w:spacing w:after="120" w:before="0"/>
      </w:pPr>
      <w:r>
        <w:rPr>
          <w:rFonts w:ascii="Arial" w:cs="Arial" w:eastAsia="Arial" w:hAnsi="Arial"/>
          <w:color w:val="1F2937"/>
          <w:sz w:val="22"/>
          <w:szCs w:val="22"/>
        </w:rPr>
        <w:t xml:space="preserve">Track these weekly. The baseline column reflects what was known as of the original report. The status column reflects estimated current state based on what has been shipped.</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60"/>
        <w:gridCol w:w="1860"/>
        <w:gridCol w:w="1740"/>
      </w:tblGrid>
      <w:tr>
        <w:tc>
          <w:tcPr>
            <w:tcW w:type="dxa" w:w="24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Metric</w:t>
            </w:r>
          </w:p>
        </w:tc>
        <w:tc>
          <w:tcPr>
            <w:tcW w:type="dxa" w:w="150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Baseline</w:t>
            </w:r>
          </w:p>
        </w:tc>
        <w:tc>
          <w:tcPr>
            <w:tcW w:type="dxa" w:w="186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30-Day Target</w:t>
            </w:r>
          </w:p>
        </w:tc>
        <w:tc>
          <w:tcPr>
            <w:tcW w:type="dxa" w:w="186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90-Day Target</w:t>
            </w:r>
          </w:p>
        </w:tc>
        <w:tc>
          <w:tcPr>
            <w:tcW w:type="dxa" w:w="1740"/>
            <w:tcBorders>
              <w:top w:val="single" w:color="D1D5DB" w:sz="1"/>
              <w:left w:val="single" w:color="D1D5DB" w:sz="1"/>
              <w:bottom w:val="single" w:color="D1D5DB" w:sz="1"/>
              <w:right w:val="single" w:color="D1D5DB" w:sz="1"/>
            </w:tcBorders>
            <w:shd w:fill="0F1E24"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Status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Audit completions / week</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Unknown</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30+</w:t>
            </w:r>
          </w:p>
        </w:tc>
        <w:tc>
          <w:tcPr>
            <w:tcW w:type="dxa" w:w="174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6B8C93"/>
                <w:sz w:val="20"/>
                <w:szCs w:val="20"/>
              </w:rPr>
              <w:t xml:space="preserve">Not tracked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Demo calls booked / month</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Unknown</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4+</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12+</w:t>
            </w:r>
          </w:p>
        </w:tc>
        <w:tc>
          <w:tcPr>
            <w:tcW w:type="dxa" w:w="174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6B8C93"/>
                <w:sz w:val="20"/>
                <w:szCs w:val="20"/>
              </w:rPr>
              <w:t xml:space="preserve">Not tracked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Webinar registrations / event</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25+</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50+</w:t>
            </w:r>
          </w:p>
        </w:tc>
        <w:tc>
          <w:tcPr>
            <w:tcW w:type="dxa" w:w="1740"/>
            <w:tcBorders>
              <w:top w:val="single" w:color="D1D5DB" w:sz="1"/>
              <w:left w:val="single" w:color="D1D5DB" w:sz="1"/>
              <w:bottom w:val="single" w:color="D1D5DB" w:sz="1"/>
              <w:right w:val="single" w:color="D1D5DB" w:sz="1"/>
            </w:tcBorders>
            <w:shd w:fill="FBE8E8" w:val="clear"/>
            <w:tcMar>
              <w:top w:type="dxa" w:w="90"/>
              <w:left w:type="dxa" w:w="120"/>
              <w:bottom w:type="dxa" w:w="90"/>
              <w:right w:type="dxa" w:w="120"/>
            </w:tcMar>
          </w:tcPr>
          <w:p>
            <w:pPr>
              <w:jc w:val="left"/>
            </w:pPr>
            <w:r>
              <w:rPr>
                <w:rFonts w:ascii="Arial" w:cs="Arial" w:eastAsia="Arial" w:hAnsi="Arial"/>
                <w:b/>
                <w:bCs/>
                <w:color w:val="B91C1C"/>
                <w:sz w:val="20"/>
                <w:szCs w:val="20"/>
              </w:rPr>
              <w:t xml:space="preserve">Not started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LinkedIn connection accepts / week</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50+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100+</w:t>
            </w:r>
          </w:p>
        </w:tc>
        <w:tc>
          <w:tcPr>
            <w:tcW w:type="dxa" w:w="1740"/>
            <w:tcBorders>
              <w:top w:val="single" w:color="D1D5DB" w:sz="1"/>
              <w:left w:val="single" w:color="D1D5DB" w:sz="1"/>
              <w:bottom w:val="single" w:color="D1D5DB" w:sz="1"/>
              <w:right w:val="single" w:color="D1D5DB" w:sz="1"/>
            </w:tcBorders>
            <w:shd w:fill="FBE8E8" w:val="clear"/>
            <w:tcMar>
              <w:top w:type="dxa" w:w="90"/>
              <w:left w:type="dxa" w:w="120"/>
              <w:bottom w:type="dxa" w:w="90"/>
              <w:right w:type="dxa" w:w="120"/>
            </w:tcMar>
          </w:tcPr>
          <w:p>
            <w:pPr>
              <w:jc w:val="left"/>
            </w:pPr>
            <w:r>
              <w:rPr>
                <w:rFonts w:ascii="Arial" w:cs="Arial" w:eastAsia="Arial" w:hAnsi="Arial"/>
                <w:b/>
                <w:bCs/>
                <w:color w:val="B91C1C"/>
                <w:sz w:val="20"/>
                <w:szCs w:val="20"/>
              </w:rPr>
              <w:t xml:space="preserve">Not started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LinkedIn DM reply rate</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8%+</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12%+</w:t>
            </w:r>
          </w:p>
        </w:tc>
        <w:tc>
          <w:tcPr>
            <w:tcW w:type="dxa" w:w="1740"/>
            <w:tcBorders>
              <w:top w:val="single" w:color="D1D5DB" w:sz="1"/>
              <w:left w:val="single" w:color="D1D5DB" w:sz="1"/>
              <w:bottom w:val="single" w:color="D1D5DB" w:sz="1"/>
              <w:right w:val="single" w:color="D1D5DB" w:sz="1"/>
            </w:tcBorders>
            <w:shd w:fill="FBE8E8" w:val="clear"/>
            <w:tcMar>
              <w:top w:type="dxa" w:w="90"/>
              <w:left w:type="dxa" w:w="120"/>
              <w:bottom w:type="dxa" w:w="90"/>
              <w:right w:type="dxa" w:w="120"/>
            </w:tcMar>
          </w:tcPr>
          <w:p>
            <w:pPr>
              <w:jc w:val="left"/>
            </w:pPr>
            <w:r>
              <w:rPr>
                <w:rFonts w:ascii="Arial" w:cs="Arial" w:eastAsia="Arial" w:hAnsi="Arial"/>
                <w:b/>
                <w:bCs/>
                <w:color w:val="B91C1C"/>
                <w:sz w:val="20"/>
                <w:szCs w:val="20"/>
              </w:rPr>
              <w:t xml:space="preserve">Not started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Partner referrals / month</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5+</w:t>
            </w:r>
          </w:p>
        </w:tc>
        <w:tc>
          <w:tcPr>
            <w:tcW w:type="dxa" w:w="1740"/>
            <w:tcBorders>
              <w:top w:val="single" w:color="D1D5DB" w:sz="1"/>
              <w:left w:val="single" w:color="D1D5DB" w:sz="1"/>
              <w:bottom w:val="single" w:color="D1D5DB" w:sz="1"/>
              <w:right w:val="single" w:color="D1D5DB" w:sz="1"/>
            </w:tcBorders>
            <w:shd w:fill="FBE8E8" w:val="clear"/>
            <w:tcMar>
              <w:top w:type="dxa" w:w="90"/>
              <w:left w:type="dxa" w:w="120"/>
              <w:bottom w:type="dxa" w:w="90"/>
              <w:right w:type="dxa" w:w="120"/>
            </w:tcMar>
          </w:tcPr>
          <w:p>
            <w:pPr>
              <w:jc w:val="left"/>
            </w:pPr>
            <w:r>
              <w:rPr>
                <w:rFonts w:ascii="Arial" w:cs="Arial" w:eastAsia="Arial" w:hAnsi="Arial"/>
                <w:b/>
                <w:bCs/>
                <w:color w:val="B91C1C"/>
                <w:sz w:val="20"/>
                <w:szCs w:val="20"/>
              </w:rPr>
              <w:t xml:space="preserve">Not started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Homepage to Audit conversion</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Unknown</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Baseline set</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10%+ of visitors</w:t>
            </w:r>
          </w:p>
        </w:tc>
        <w:tc>
          <w:tcPr>
            <w:tcW w:type="dxa" w:w="174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6B8C93"/>
                <w:sz w:val="20"/>
                <w:szCs w:val="20"/>
              </w:rPr>
              <w:t xml:space="preserve">Not tracked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Audit to demo booking rate</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15%+</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25%+</w:t>
            </w:r>
          </w:p>
        </w:tc>
        <w:tc>
          <w:tcPr>
            <w:tcW w:type="dxa" w:w="174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6B8C93"/>
                <w:sz w:val="20"/>
                <w:szCs w:val="20"/>
              </w:rPr>
              <w:t xml:space="preserve">Not tracked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Email nurture sequence live</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No</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Live by Week 2</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Optimized</w:t>
            </w:r>
          </w:p>
        </w:tc>
        <w:tc>
          <w:tcPr>
            <w:tcW w:type="dxa" w:w="1740"/>
            <w:tcBorders>
              <w:top w:val="single" w:color="D1D5DB" w:sz="1"/>
              <w:left w:val="single" w:color="D1D5DB" w:sz="1"/>
              <w:bottom w:val="single" w:color="D1D5DB" w:sz="1"/>
              <w:right w:val="single" w:color="D1D5DB" w:sz="1"/>
            </w:tcBorders>
            <w:shd w:fill="FBE8E8" w:val="clear"/>
            <w:tcMar>
              <w:top w:type="dxa" w:w="90"/>
              <w:left w:type="dxa" w:w="120"/>
              <w:bottom w:type="dxa" w:w="90"/>
              <w:right w:type="dxa" w:w="120"/>
            </w:tcMar>
          </w:tcPr>
          <w:p>
            <w:pPr>
              <w:jc w:val="left"/>
            </w:pPr>
            <w:r>
              <w:rPr>
                <w:rFonts w:ascii="Arial" w:cs="Arial" w:eastAsia="Arial" w:hAnsi="Arial"/>
                <w:b/>
                <w:bCs/>
                <w:color w:val="B91C1C"/>
                <w:sz w:val="20"/>
                <w:szCs w:val="20"/>
              </w:rPr>
              <w:t xml:space="preserve">Not started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Founding Partner applications</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Unknown</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2/month</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5/month</w:t>
            </w:r>
          </w:p>
        </w:tc>
        <w:tc>
          <w:tcPr>
            <w:tcW w:type="dxa" w:w="174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6B8C93"/>
                <w:sz w:val="20"/>
                <w:szCs w:val="20"/>
              </w:rPr>
              <w:t xml:space="preserve">Not tracked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Time to first qualified call (new lead)</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Days/unknown</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&lt;48 hours</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&lt;24 hours</w:t>
            </w:r>
          </w:p>
        </w:tc>
        <w:tc>
          <w:tcPr>
            <w:tcW w:type="dxa" w:w="174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6B8C93"/>
                <w:sz w:val="20"/>
                <w:szCs w:val="20"/>
              </w:rPr>
              <w:t xml:space="preserve">Not tracked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bCs/>
                <w:color w:val="1F2937"/>
                <w:sz w:val="20"/>
                <w:szCs w:val="20"/>
              </w:rPr>
              <w:t xml:space="preserve">Inbound partner inquiries / month</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0</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2+</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tcPr>
          <w:p>
            <w:pPr>
              <w:jc w:val="left"/>
            </w:pPr>
            <w:r>
              <w:rPr>
                <w:rFonts w:ascii="Arial" w:cs="Arial" w:eastAsia="Arial" w:hAnsi="Arial"/>
                <w:b w:val="false"/>
                <w:bCs w:val="false"/>
                <w:color w:val="1F2937"/>
                <w:sz w:val="20"/>
                <w:szCs w:val="20"/>
              </w:rPr>
              <w:t xml:space="preserve">8+</w:t>
            </w:r>
          </w:p>
        </w:tc>
        <w:tc>
          <w:tcPr>
            <w:tcW w:type="dxa" w:w="1740"/>
            <w:tcBorders>
              <w:top w:val="single" w:color="D1D5DB" w:sz="1"/>
              <w:left w:val="single" w:color="D1D5DB" w:sz="1"/>
              <w:bottom w:val="single" w:color="D1D5DB" w:sz="1"/>
              <w:right w:val="single" w:color="D1D5DB" w:sz="1"/>
            </w:tcBorders>
            <w:shd w:fill="FBE8E8" w:val="clear"/>
            <w:tcMar>
              <w:top w:type="dxa" w:w="90"/>
              <w:left w:type="dxa" w:w="120"/>
              <w:bottom w:type="dxa" w:w="90"/>
              <w:right w:type="dxa" w:w="120"/>
            </w:tcMar>
          </w:tcPr>
          <w:p>
            <w:pPr>
              <w:jc w:val="left"/>
            </w:pPr>
            <w:r>
              <w:rPr>
                <w:rFonts w:ascii="Arial" w:cs="Arial" w:eastAsia="Arial" w:hAnsi="Arial"/>
                <w:b/>
                <w:bCs/>
                <w:color w:val="B91C1C"/>
                <w:sz w:val="20"/>
                <w:szCs w:val="20"/>
              </w:rPr>
              <w:t xml:space="preserve">Not started</w:t>
            </w:r>
          </w:p>
        </w:tc>
      </w:tr>
    </w:tbl>
    <w:p>
      <w:r>
        <w:br w:type="page"/>
      </w:r>
    </w:p>
    <w:p>
      <w:pPr>
        <w:pStyle w:val="Heading1"/>
        <w:spacing w:after="120" w:before="360"/>
      </w:pPr>
      <w:r>
        <w:rPr>
          <w:rFonts w:ascii="Arial" w:cs="Arial" w:eastAsia="Arial" w:hAnsi="Arial"/>
          <w:b/>
          <w:bCs/>
          <w:color w:val="0F1E24"/>
          <w:sz w:val="36"/>
          <w:szCs w:val="36"/>
        </w:rPr>
        <w:t xml:space="preserve">Closing Assessment from the Combined Team</w:t>
      </w:r>
    </w:p>
    <w:p>
      <w:pPr>
        <w:spacing w:after="8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1E24" w:val="clear"/>
            <w:tcMar>
              <w:top w:type="dxa" w:w="280"/>
              <w:left w:type="dxa" w:w="320"/>
              <w:bottom w:type="dxa" w:w="280"/>
              <w:right w:type="dxa" w:w="320"/>
            </w:tcMar>
          </w:tcPr>
          <w:p>
            <w:pPr>
              <w:spacing w:after="140"/>
            </w:pPr>
            <w:r>
              <w:rPr>
                <w:rFonts w:ascii="Arial" w:cs="Arial" w:eastAsia="Arial" w:hAnsi="Arial"/>
                <w:b/>
                <w:bCs/>
                <w:color w:val="FFFFFF"/>
                <w:sz w:val="26"/>
                <w:szCs w:val="26"/>
              </w:rPr>
              <w:t xml:space="preserve">The site is no longer the problem.</w:t>
            </w:r>
          </w:p>
          <w:p>
            <w:pPr>
              <w:spacing w:after="140"/>
            </w:pPr>
            <w:r>
              <w:rPr>
                <w:rFonts w:ascii="Arial" w:cs="Arial" w:eastAsia="Arial" w:hAnsi="Arial"/>
                <w:color w:val="C8D8DB"/>
                <w:sz w:val="21"/>
                <w:szCs w:val="21"/>
              </w:rPr>
              <w:t xml:space="preserve">Saberra's on-site conversion infrastructure moved from C+ to B+ in one development sprint. The audit is the best lead magnet in the institutional memory category. The comparison pages, COA pricing reframe, score-based routing, and named social proof with specific numbers are genuinely world-class for this stage.</w:t>
            </w:r>
          </w:p>
          <w:p>
            <w:pPr>
              <w:spacing w:after="140"/>
            </w:pPr>
            <w:r>
              <w:rPr>
                <w:rFonts w:ascii="Arial" w:cs="Arial" w:eastAsia="Arial" w:hAnsi="Arial"/>
                <w:b/>
                <w:bCs/>
                <w:color w:val="006D6D"/>
                <w:sz w:val="24"/>
                <w:szCs w:val="24"/>
              </w:rPr>
              <w:t xml:space="preserve">The entire remaining gap lives off-site.</w:t>
            </w:r>
          </w:p>
          <w:p>
            <w:pPr>
              <w:spacing w:after="140"/>
            </w:pPr>
            <w:r>
              <w:rPr>
                <w:rFonts w:ascii="Arial" w:cs="Arial" w:eastAsia="Arial" w:hAnsi="Arial"/>
                <w:color w:val="C8D8DB"/>
                <w:sz w:val="21"/>
                <w:szCs w:val="21"/>
              </w:rPr>
              <w:t xml:space="preserve">LinkedIn, founder content, live email automation, and one more named case study. Those four items are the complete distance between current state and world-class go-to-market. None of them require building anything. They require doing things that are already designed and ready.</w:t>
            </w:r>
          </w:p>
          <w:p>
            <w:pPr>
              <w:spacing w:after="80"/>
            </w:pPr>
            <w:r>
              <w:rPr>
                <w:rFonts w:ascii="Arial" w:cs="Arial" w:eastAsia="Arial" w:hAnsi="Arial"/>
                <w:b/>
                <w:bCs/>
                <w:color w:val="C9A84C"/>
                <w:sz w:val="22"/>
                <w:szCs w:val="22"/>
              </w:rPr>
              <w:t xml:space="preserve">The highest-leverage single action this week: post on LinkedIn today.</w:t>
            </w:r>
          </w:p>
          <w:p>
            <w:pPr>
              <w:spacing w:after="0"/>
            </w:pPr>
            <w:r>
              <w:rPr>
                <w:rFonts w:ascii="Arial" w:cs="Arial" w:eastAsia="Arial" w:hAnsi="Arial"/>
                <w:b/>
                <w:bCs/>
                <w:color w:val="C9A84C"/>
                <w:sz w:val="22"/>
                <w:szCs w:val="22"/>
              </w:rPr>
              <w:t xml:space="preserve">The second: wire the audit form to the nurture sequence.</w:t>
            </w:r>
          </w:p>
        </w:tc>
      </w:tr>
    </w:tbl>
    <w:p>
      <w:pPr>
        <w:spacing w:after="160" w:before="0"/>
      </w:pPr>
      <w:r>
        <w:rPr>
          <w:sz w:val="22"/>
          <w:szCs w:val="22"/>
        </w:rPr>
        <w:t xml:space="preserve"> </w:t>
      </w:r>
    </w:p>
    <w:p>
      <w:pPr>
        <w:jc w:val="center"/>
      </w:pPr>
      <w:r>
        <w:rPr>
          <w:rFonts w:ascii="Arial" w:cs="Arial" w:eastAsia="Arial" w:hAnsi="Arial"/>
          <w:color w:val="6B8C93"/>
          <w:sz w:val="18"/>
          <w:szCs w:val="18"/>
        </w:rPr>
        <w:t xml:space="preserve">Prepared for Rick  ·  saberra.com  ·  June 2026</w:t>
      </w:r>
    </w:p>
    <w:p>
      <w:pPr>
        <w:spacing w:after="0" w:before="40"/>
        <w:jc w:val="center"/>
      </w:pPr>
      <w:r>
        <w:rPr>
          <w:rFonts w:ascii="Arial" w:cs="Arial" w:eastAsia="Arial" w:hAnsi="Arial"/>
          <w:i/>
          <w:iCs/>
          <w:color w:val="6B8C93"/>
          <w:sz w:val="17"/>
          <w:szCs w:val="17"/>
        </w:rPr>
        <w:t xml:space="preserve">Combined assessment by the world's leading growth teams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8640"/>
      </w:tabs>
      <w:spacing w:before="0"/>
    </w:pPr>
    <w:r>
      <w:rPr>
        <w:rFonts w:ascii="Arial" w:cs="Arial" w:eastAsia="Arial" w:hAnsi="Arial"/>
        <w:color w:val="6B8C93"/>
        <w:sz w:val="17"/>
        <w:szCs w:val="17"/>
      </w:rPr>
      <w:t xml:space="preserve">saberra.com  ·  Prepared for Rick</w:t>
    </w:r>
    <w:r>
      <w:rPr>
        <w:sz w:val="17"/>
        <w:szCs w:val="17"/>
      </w:rPr>
      <w:t xml:space="preserve">	</w:t>
    </w:r>
    <w:r>
      <w:rPr>
        <w:rFonts w:ascii="Arial" w:cs="Arial" w:eastAsia="Arial" w:hAnsi="Arial"/>
        <w:color w:val="6B8C93"/>
        <w:sz w:val="17"/>
        <w:szCs w:val="17"/>
      </w:rPr>
      <w:t xml:space="preserve">Page </w:t>
    </w:r>
    <w:r>
      <w:rPr>
        <w:rFonts w:ascii="Arial" w:cs="Arial" w:eastAsia="Arial" w:hAnsi="Arial"/>
        <w:color w:val="6B8C93"/>
        <w:sz w:val="17"/>
        <w:szCs w:val="17"/>
      </w:rPr>
      <w:fldChar w:fldCharType="begin"/>
      <w:instrText xml:space="preserve">PAGE</w:instrText>
      <w:fldChar w:fldCharType="separate"/>
      <w:fldChar w:fldCharType="end"/>
    </w:r>
    <w:r>
      <w:rPr>
        <w:rFonts w:ascii="Arial" w:cs="Arial" w:eastAsia="Arial" w:hAnsi="Arial"/>
        <w:color w:val="6B8C93"/>
        <w:sz w:val="17"/>
        <w:szCs w:val="17"/>
      </w:rPr>
      <w:t xml:space="preserve"> of </w:t>
    </w:r>
    <w:r>
      <w:rPr>
        <w:rFonts w:ascii="Arial" w:cs="Arial" w:eastAsia="Arial" w:hAnsi="Arial"/>
        <w:color w:val="6B8C9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tabs>
        <w:tab w:val="right" w:pos="8640"/>
      </w:tabs>
      <w:spacing w:after="0"/>
    </w:pPr>
    <w:r>
      <w:rPr>
        <w:rFonts w:ascii="Arial" w:cs="Arial" w:eastAsia="Arial" w:hAnsi="Arial"/>
        <w:b/>
        <w:bCs/>
        <w:color w:val="006D6D"/>
        <w:sz w:val="18"/>
        <w:szCs w:val="18"/>
      </w:rPr>
      <w:t xml:space="preserve">SABERRA  </w:t>
    </w:r>
    <w:r>
      <w:rPr>
        <w:rFonts w:ascii="Arial" w:cs="Arial" w:eastAsia="Arial" w:hAnsi="Arial"/>
        <w:color w:val="6B8C93"/>
        <w:sz w:val="18"/>
        <w:szCs w:val="18"/>
      </w:rPr>
      <w:t xml:space="preserve">World-Class Growth Strategy  ·  Updated June 2026</w:t>
    </w:r>
    <w:r>
      <w:rPr>
        <w:rFonts w:ascii="Arial" w:cs="Arial" w:eastAsia="Arial" w:hAnsi="Arial"/>
        <w:sz w:val="18"/>
        <w:szCs w:val="18"/>
      </w:rPr>
      <w:t xml:space="preserve">	</w:t>
    </w:r>
    <w:r>
      <w:rPr>
        <w:rFonts w:ascii="Arial" w:cs="Arial" w:eastAsia="Arial" w:hAnsi="Arial"/>
        <w:b/>
        <w:bCs/>
        <w:color w:val="6B8C93"/>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E2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6D6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1E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2026-06-12T10:32:54.967Z</dcterms:created>
  <dcterms:modified xsi:type="dcterms:W3CDTF">2026-06-12T10:32:54.967Z</dcterms:modified>
</cp:coreProperties>
</file>

<file path=docProps/custom.xml><?xml version="1.0" encoding="utf-8"?>
<Properties xmlns="http://schemas.openxmlformats.org/officeDocument/2006/custom-properties" xmlns:vt="http://schemas.openxmlformats.org/officeDocument/2006/docPropsVTypes"/>
</file>