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default"/>
          <w:sz w:val="96"/>
          <w:szCs w:val="48"/>
          <w:lang w:val="en-US" w:eastAsia="zh-CN"/>
        </w:rPr>
      </w:pPr>
      <w:r>
        <w:rPr>
          <w:rFonts w:hint="eastAsia"/>
          <w:sz w:val="96"/>
          <w:szCs w:val="48"/>
          <w:lang w:val="en-US" w:eastAsia="zh-CN"/>
        </w:rPr>
        <w:t>软件研制智能体介绍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default"/>
          <w:sz w:val="56"/>
          <w:szCs w:val="40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36"/>
          <w:szCs w:val="22"/>
          <w:lang w:val="en-US" w:eastAsia="zh-CN"/>
        </w:rPr>
      </w:pPr>
      <w:r>
        <w:rPr>
          <w:rFonts w:hint="eastAsia"/>
          <w:sz w:val="36"/>
          <w:szCs w:val="22"/>
          <w:lang w:val="en-US" w:eastAsia="zh-CN"/>
        </w:rPr>
        <w:t>XXX中心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eastAsia"/>
          <w:sz w:val="36"/>
          <w:szCs w:val="22"/>
          <w:lang w:val="en-US" w:eastAsia="zh-CN"/>
        </w:rPr>
      </w:pP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jc w:val="center"/>
        <w:textAlignment w:val="auto"/>
        <w:rPr>
          <w:rFonts w:hint="default"/>
          <w:sz w:val="36"/>
          <w:szCs w:val="22"/>
          <w:lang w:val="en-US" w:eastAsia="zh-CN"/>
        </w:rPr>
        <w:sectPr>
          <w:headerReference r:id="rId5" w:type="first"/>
          <w:footerReference r:id="rId7" w:type="first"/>
          <w:headerReference r:id="rId3" w:type="default"/>
          <w:headerReference r:id="rId4" w:type="even"/>
          <w:footerReference r:id="rId6" w:type="even"/>
          <w:pgSz w:w="11906" w:h="16838"/>
          <w:pgMar w:top="720" w:right="1080" w:bottom="720" w:left="1080" w:header="708" w:footer="708" w:gutter="0"/>
          <w:cols w:space="720" w:num="1"/>
          <w:docGrid w:linePitch="360" w:charSpace="0"/>
        </w:sectPr>
      </w:pPr>
      <w:r>
        <w:rPr>
          <w:rFonts w:hint="eastAsia"/>
          <w:sz w:val="36"/>
          <w:szCs w:val="22"/>
          <w:lang w:val="en-US" w:eastAsia="zh-CN"/>
        </w:rPr>
        <w:t>2026-4-30</w:t>
      </w:r>
    </w:p>
    <w:p>
      <w:r>
        <w:br w:type="page"/>
      </w:r>
    </w:p>
    <w:p>
      <w:pPr>
        <w:spacing w:before="0" w:after="0" w:line="240" w:lineRule="auto"/>
        <w:jc w:val="center"/>
        <w:rPr>
          <w:rFonts w:hint="eastAsia" w:cs="微软雅黑"/>
          <w:b/>
          <w:bCs/>
          <w:color w:val="1F4E79"/>
          <w:sz w:val="44"/>
          <w:szCs w:val="44"/>
          <w:lang w:val="en-US" w:eastAsia="zh-CN"/>
        </w:rPr>
      </w:pPr>
      <w:r>
        <w:rPr>
          <w:b/>
          <w:bCs/>
          <w:sz w:val="22"/>
          <w:szCs w:val="16"/>
        </w:rPr>
        <w:t>SafeMatrix  软件安全性分析智能体</w:t>
      </w:r>
    </w:p>
    <w:p>
      <w:pPr>
        <w:spacing w:before="0" w:after="0" w:line="240" w:lineRule="auto"/>
        <w:jc w:val="center"/>
        <w:rPr>
          <w:rFonts w:hint="eastAsia" w:cs="微软雅黑"/>
          <w:color w:val="4472C4"/>
          <w:sz w:val="44"/>
          <w:szCs w:val="44"/>
          <w:lang w:val="en-US" w:eastAsia="zh-CN"/>
        </w:rPr>
      </w:pPr>
      <w:r>
        <w:rPr>
          <w:sz w:val="22"/>
          <w:szCs w:val="16"/>
        </w:rPr>
        <w:t>SFTA + FMEA 一体化 · 多 Agent 协同 · 全链路追溯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jc w:val="left"/>
        <w:textAlignment w:val="auto"/>
        <w:rPr>
          <w:rFonts w:hint="eastAsia" w:ascii="微软雅黑" w:hAnsi="微软雅黑" w:eastAsia="微软雅黑" w:cs="微软雅黑"/>
          <w:sz w:val="22"/>
          <w:szCs w:val="16"/>
        </w:rPr>
      </w:pPr>
      <w:r>
        <w:rPr>
          <w:b/>
          <w:bCs/>
          <w:sz w:val="22"/>
          <w:szCs w:val="16"/>
        </w:rPr>
        <w:t>一、业务痛点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textAlignment w:val="auto"/>
        <w:rPr>
          <w:sz w:val="22"/>
          <w:szCs w:val="16"/>
        </w:rPr>
      </w:pPr>
      <w:r>
        <w:rPr>
          <w:sz w:val="22"/>
          <w:szCs w:val="16"/>
        </w:rPr>
        <w:t>高安全等级嵌入式软件研制中，软件安全性分析长期面临多重挑战：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软件规模大，分析工作量爆炸：</w:t>
      </w:r>
      <w:r>
        <w:rPr>
          <w:sz w:val="22"/>
          <w:szCs w:val="16"/>
        </w:rPr>
        <w:t>SRS/SDD 动辄上百页，故障树/FMEA 单型号常需数人月起步，难以按期交付。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方法门槛高，复合人才稀缺：</w:t>
      </w:r>
      <w:r>
        <w:rPr>
          <w:sz w:val="22"/>
          <w:szCs w:val="16"/>
        </w:rPr>
        <w:t>SFTA/SFMEA/HAZOP/CCA/WCA 等方法门槛高，既懂软件又懂安全的复合人才极为稀缺。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缺少软件级专用工具：</w:t>
      </w:r>
      <w:r>
        <w:rPr>
          <w:sz w:val="22"/>
          <w:szCs w:val="16"/>
        </w:rPr>
        <w:t>现有工具多面向硬件/系统级，软件失效模式库与传播规则空白，填表全靠人工拼装。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与研制过程脱节：</w:t>
      </w:r>
      <w:r>
        <w:rPr>
          <w:sz w:val="22"/>
          <w:szCs w:val="16"/>
        </w:rPr>
        <w:t>GJB 5000B/GJB 8114/CMS-RW-08 要求开展软件安全性分析，但结论常流于交差文档、缺乏工程证据。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二、产品介绍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sz w:val="22"/>
          <w:szCs w:val="16"/>
        </w:rPr>
        <w:t>SafeMatrix 以大模型推理为核心，融合多 Agent 协同、软件失效模式库与 FTA-FMEA 交叉校验，贯穿需求分析→设计实现→交叉审查→交付归档全流程：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端到端自动化：</w:t>
      </w:r>
      <w:r>
        <w:rPr>
          <w:sz w:val="22"/>
          <w:szCs w:val="16"/>
        </w:rPr>
        <w:t>SRS/SDD 一键输入，9 个专职智能体协同推演，自动产出需求/设计阶段故障树与 FMEA 表，分析周期从数人月压缩至数人天。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分析-审查-改进闭环：</w:t>
      </w:r>
      <w:r>
        <w:rPr>
          <w:sz w:val="22"/>
          <w:szCs w:val="16"/>
        </w:rPr>
        <w:t>双 Agent 互查 + 人工审查面板 + FTA↔FMEA 交叉校验，将大模型不确定性转化为可控工程动作，确保分析无盲区。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全链路追溯与报告导出：</w:t>
      </w:r>
      <w:r>
        <w:rPr>
          <w:sz w:val="22"/>
          <w:szCs w:val="16"/>
        </w:rPr>
        <w:t>原文逐字溯源、版本快照可审计回放，一键导出符合 DO-178C/GJB 规范的 Word 报告（含故障树画布与 RPN 色标矩阵）。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本地化部署：</w:t>
      </w:r>
      <w:r>
        <w:rPr>
          <w:sz w:val="22"/>
          <w:szCs w:val="16"/>
        </w:rPr>
        <w:t>兼容国产服务器与国产 LLM，数据不出域，支撑合规审查。</w:t>
      </w:r>
    </w:p>
    <w:p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2"/>
          <w:szCs w:val="16"/>
        </w:rPr>
      </w:pPr>
      <w:r>
        <w:rPr>
          <w:b/>
          <w:bCs/>
          <w:sz w:val="22"/>
          <w:szCs w:val="16"/>
        </w:rPr>
        <w:t>三、应用效益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分析效率大幅提升：</w:t>
      </w:r>
      <w:r>
        <w:rPr>
          <w:sz w:val="22"/>
          <w:szCs w:val="16"/>
        </w:rPr>
        <w:t>周期从数人月压缩至数人天，效率提升超 10 倍。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三个 100% 关键指标：</w:t>
      </w:r>
      <w:r>
        <w:rPr>
          <w:sz w:val="22"/>
          <w:szCs w:val="16"/>
        </w:rPr>
        <w:t>故障树完整率 100%、FTA↔FMEA 有效率 100%、高 RPN（≥200）识别率 100%。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降低门槛，知识持续沉淀：</w:t>
      </w:r>
      <w:r>
        <w:rPr>
          <w:sz w:val="22"/>
          <w:szCs w:val="16"/>
        </w:rPr>
        <w:t>工程师无需安全专家背景即可完成高质量分析，失效模式知识库持续沉淀复用。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标准化交付：</w:t>
      </w:r>
      <w:r>
        <w:rPr>
          <w:sz w:val="22"/>
          <w:szCs w:val="16"/>
        </w:rPr>
        <w:t>符合 DO-178C/GJB 5000B/GJB 8114/CMS-RW-08 规范，安全分析结论可追溯至源文档。</w:t>
      </w:r>
    </w:p>
    <w:p>
      <w:r>
        <w:br w:type="page"/>
      </w:r>
    </w:p>
    <w:p>
      <w:pPr>
        <w:spacing w:before="0" w:after="0" w:line="240" w:lineRule="auto"/>
        <w:jc w:val="center"/>
        <w:rPr>
          <w:rFonts w:hint="eastAsia" w:cs="微软雅黑"/>
          <w:b/>
          <w:bCs/>
          <w:color w:val="1F4E79"/>
          <w:sz w:val="44"/>
          <w:szCs w:val="44"/>
          <w:lang w:val="en-US" w:eastAsia="zh-CN"/>
        </w:rPr>
      </w:pPr>
      <w:r>
        <w:rPr>
          <w:b/>
          <w:bCs/>
          <w:sz w:val="22"/>
          <w:szCs w:val="16"/>
        </w:rPr>
        <w:t>SmartInsight  代码走查智能体</w:t>
      </w:r>
    </w:p>
    <w:p>
      <w:pPr>
        <w:spacing w:before="0" w:after="0" w:line="240" w:lineRule="auto"/>
        <w:jc w:val="center"/>
        <w:rPr>
          <w:rFonts w:hint="eastAsia" w:cs="微软雅黑"/>
          <w:color w:val="4472C4"/>
          <w:sz w:val="44"/>
          <w:szCs w:val="44"/>
          <w:lang w:val="en-US" w:eastAsia="zh-CN"/>
        </w:rPr>
      </w:pPr>
      <w:r>
        <w:rPr>
          <w:sz w:val="22"/>
          <w:szCs w:val="16"/>
        </w:rPr>
        <w:t>专家级走查能力 · 多 Agent 协同 · 型号经验沉淀复用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jc w:val="left"/>
        <w:textAlignment w:val="auto"/>
        <w:rPr>
          <w:rFonts w:hint="eastAsia" w:ascii="微软雅黑" w:hAnsi="微软雅黑" w:eastAsia="微软雅黑" w:cs="微软雅黑"/>
          <w:sz w:val="22"/>
          <w:szCs w:val="16"/>
        </w:rPr>
      </w:pPr>
      <w:r>
        <w:rPr>
          <w:b/>
          <w:bCs/>
          <w:sz w:val="22"/>
          <w:szCs w:val="16"/>
        </w:rPr>
        <w:t>一、业务痛点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textAlignment w:val="auto"/>
        <w:rPr>
          <w:sz w:val="22"/>
          <w:szCs w:val="16"/>
        </w:rPr>
      </w:pPr>
      <w:r>
        <w:rPr>
          <w:sz w:val="22"/>
          <w:szCs w:val="16"/>
        </w:rPr>
        <w:t>高安全高可靠软件代码走查虽已具备一定规范与工具支撑，但仍面临突出矛盾：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管理与决策：</w:t>
      </w:r>
      <w:r>
        <w:rPr>
          <w:sz w:val="22"/>
          <w:szCs w:val="16"/>
        </w:rPr>
        <w:t>走查过程质量状态不透明，整改闭环与风险难以管控，决策依据滞后且不完整。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成本与能力：</w:t>
      </w:r>
      <w:r>
        <w:rPr>
          <w:sz w:val="22"/>
          <w:szCs w:val="16"/>
        </w:rPr>
        <w:t>软件配置项多、文档代码量大，效率低；专家短缺，难以实现 100% 全量覆盖。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方法与工具：</w:t>
      </w:r>
      <w:r>
        <w:rPr>
          <w:sz w:val="22"/>
          <w:szCs w:val="16"/>
        </w:rPr>
        <w:t>人工走查一致性差、易疏漏；现有工具误报率高，成为质量保障的效率瓶颈。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二、产品介绍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sz w:val="22"/>
          <w:szCs w:val="16"/>
        </w:rPr>
        <w:t>SmartInsight 面向高安全等级嵌入式软件研制场景，以大模型语义理解为核心，融合多 Agent 协同、型号经验知识库与多工具结果归一等技术：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需求确认：</w:t>
      </w:r>
      <w:r>
        <w:rPr>
          <w:sz w:val="22"/>
          <w:szCs w:val="16"/>
        </w:rPr>
        <w:t>多 Agent 协同将需求条款逐项映射至代码实现，自动识别遗漏、偏差与冗余，生成附定位证据的可追溯符合性报告，支持增量分析加速回归走查。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设计验证：</w:t>
      </w:r>
      <w:r>
        <w:rPr>
          <w:sz w:val="22"/>
          <w:szCs w:val="16"/>
        </w:rPr>
        <w:t>从架构、接口、逻辑、算法等维度比对设计文档与代码实现，自动识别设计偏差，输出风险等级与改进建议。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故障校验：</w:t>
      </w:r>
      <w:r>
        <w:rPr>
          <w:sz w:val="22"/>
          <w:szCs w:val="16"/>
        </w:rPr>
        <w:t>基于型号经验沉淀的安全可靠性故障模式库进行专项扫描，将专家经验转化为可自动执行的检查能力，支持模式扩展。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扫描智判：</w:t>
      </w:r>
      <w:r>
        <w:rPr>
          <w:sz w:val="22"/>
          <w:szCs w:val="16"/>
        </w:rPr>
        <w:t>支持 Coverity/CodeSonar/C++Test 等主流工具结果导入，建立问题归一化模型，智能识别高价值问题。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RepoMap 与报告导出：</w:t>
      </w:r>
      <w:r>
        <w:rPr>
          <w:sz w:val="22"/>
          <w:szCs w:val="16"/>
        </w:rPr>
        <w:t>自动生成代码仓结构地图，为 Agent 提供全局导航；支持 PPT/Word 格式走查报告一键导出。</w:t>
      </w:r>
    </w:p>
    <w:p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2"/>
          <w:szCs w:val="16"/>
        </w:rPr>
      </w:pPr>
      <w:r>
        <w:rPr>
          <w:b/>
          <w:bCs/>
          <w:sz w:val="22"/>
          <w:szCs w:val="16"/>
        </w:rPr>
        <w:t>三、应用效益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走查效率大幅跃升：</w:t>
      </w:r>
      <w:r>
        <w:rPr>
          <w:sz w:val="22"/>
          <w:szCs w:val="16"/>
        </w:rPr>
        <w:t>整体效率提升 20～80 倍，需求条款确认由人工数十分钟压缩至数十秒。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质量覆盖全面提升：</w:t>
      </w:r>
      <w:r>
        <w:rPr>
          <w:sz w:val="22"/>
          <w:szCs w:val="16"/>
        </w:rPr>
        <w:t>需求、设计、故障模式实现全量覆盖，覆盖率可达 95% 以上，结论稳定可复现。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经验持续沉淀复用：</w:t>
      </w:r>
      <w:r>
        <w:rPr>
          <w:sz w:val="22"/>
          <w:szCs w:val="16"/>
        </w:rPr>
        <w:t>历史故障模式形成团队共享经验库，新项目自动复用，走查能力持续迭代升级。</w:t>
      </w:r>
    </w:p>
    <w:p>
      <w:r>
        <w:br w:type="page"/>
      </w:r>
    </w:p>
    <w:p>
      <w:pPr>
        <w:spacing w:before="0" w:after="0" w:line="240" w:lineRule="auto"/>
        <w:jc w:val="center"/>
        <w:rPr>
          <w:rFonts w:hint="eastAsia" w:cs="微软雅黑"/>
          <w:b/>
          <w:bCs/>
          <w:color w:val="1F4E79"/>
          <w:sz w:val="44"/>
          <w:szCs w:val="44"/>
          <w:lang w:val="en-US" w:eastAsia="zh-CN"/>
        </w:rPr>
      </w:pPr>
      <w:r>
        <w:rPr>
          <w:b/>
          <w:bCs/>
          <w:sz w:val="22"/>
          <w:szCs w:val="16"/>
        </w:rPr>
        <w:t>SmartUT  单元测试代码生成智能体</w:t>
      </w:r>
    </w:p>
    <w:p>
      <w:pPr>
        <w:spacing w:before="0" w:after="0" w:line="240" w:lineRule="auto"/>
        <w:jc w:val="center"/>
        <w:rPr>
          <w:rFonts w:hint="eastAsia" w:cs="微软雅黑"/>
          <w:color w:val="4472C4"/>
          <w:sz w:val="44"/>
          <w:szCs w:val="44"/>
          <w:lang w:val="en-US" w:eastAsia="zh-CN"/>
        </w:rPr>
      </w:pPr>
      <w:r>
        <w:rPr>
          <w:sz w:val="22"/>
          <w:szCs w:val="16"/>
        </w:rPr>
        <w:t>设计文档驱动 · 形式化规约 · 自动化闭环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jc w:val="left"/>
        <w:textAlignment w:val="auto"/>
        <w:rPr>
          <w:rFonts w:hint="eastAsia" w:ascii="微软雅黑" w:hAnsi="微软雅黑" w:eastAsia="微软雅黑" w:cs="微软雅黑"/>
          <w:sz w:val="22"/>
          <w:szCs w:val="16"/>
        </w:rPr>
      </w:pPr>
      <w:r>
        <w:rPr>
          <w:b/>
          <w:bCs/>
          <w:sz w:val="22"/>
          <w:szCs w:val="16"/>
        </w:rPr>
        <w:t>一、业务痛点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textAlignment w:val="auto"/>
        <w:rPr>
          <w:sz w:val="22"/>
          <w:szCs w:val="16"/>
        </w:rPr>
      </w:pPr>
      <w:r>
        <w:rPr>
          <w:sz w:val="22"/>
          <w:szCs w:val="16"/>
        </w:rPr>
        <w:t>当前型号软件规模持续增长，单元测试面临日益突出的效率与质量矛盾：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测试工作量大：</w:t>
      </w:r>
      <w:r>
        <w:rPr>
          <w:sz w:val="22"/>
          <w:szCs w:val="16"/>
        </w:rPr>
        <w:t>典型大型软件待测函数多达 500 个，用例编写、执行与维护工作总量极为繁重，难以在有限周期内完成全量覆盖。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人力投入高：</w:t>
      </w:r>
      <w:r>
        <w:rPr>
          <w:sz w:val="22"/>
          <w:szCs w:val="16"/>
        </w:rPr>
        <w:t>以每人每小时 2 个函数的编写速度估算，完成 500 个函数需 125 人天，人力投入极大。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专业性要求高：</w:t>
      </w:r>
      <w:r>
        <w:rPr>
          <w:sz w:val="22"/>
          <w:szCs w:val="16"/>
        </w:rPr>
        <w:t>须满足语句、分支、MC/DC 等覆盖率要求，专业门槛高，培养周期长。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二、产品介绍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sz w:val="22"/>
          <w:szCs w:val="16"/>
        </w:rPr>
        <w:t>SmartUT 以被测代码的设计文档和源代码为输入，自动生成高覆盖度、高正确性的单元测试代码，支持与 C++TEST/GoogleTest 等主流框架集成：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测试说明文档生成：</w:t>
      </w:r>
      <w:r>
        <w:rPr>
          <w:sz w:val="22"/>
          <w:szCs w:val="16"/>
        </w:rPr>
        <w:t>自动识别函数输入输出、外部依赖及功能关系，划分等价类并设计用例的输入和预期输出，生成结构化测试说明文档。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测试用例代码生成：</w:t>
      </w:r>
      <w:r>
        <w:rPr>
          <w:sz w:val="22"/>
          <w:szCs w:val="16"/>
        </w:rPr>
        <w:t>依据测试说明文档编写可执行测试代码及 mock/wrap 代码，通过编译执行反馈持续修正，由智能体自主规划代码的编写、执行与完善。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测试代码审查：</w:t>
      </w:r>
      <w:r>
        <w:rPr>
          <w:sz w:val="22"/>
          <w:szCs w:val="16"/>
        </w:rPr>
        <w:t>检查用例是否完整覆盖功能条目及输出行为，生成审查意见反馈给生成智能体进行迭代修改，确保用例正确性和完备性。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形式化规约驱动：</w:t>
      </w:r>
      <w:r>
        <w:rPr>
          <w:sz w:val="22"/>
          <w:szCs w:val="16"/>
        </w:rPr>
        <w:t>先从设计文档提取形式化规约，以规约为依据通过等价类和边界值分析自动产生测试用例，确保与设计预期严格对齐。</w:t>
      </w:r>
    </w:p>
    <w:p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2"/>
          <w:szCs w:val="16"/>
        </w:rPr>
      </w:pPr>
      <w:r>
        <w:rPr>
          <w:b/>
          <w:bCs/>
          <w:sz w:val="22"/>
          <w:szCs w:val="16"/>
        </w:rPr>
        <w:t>三、应用效益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显著减少人力投入：</w:t>
      </w:r>
      <w:r>
        <w:rPr>
          <w:sz w:val="22"/>
          <w:szCs w:val="16"/>
        </w:rPr>
        <w:t>单函数人工介入约 10 分钟（传统 2 小时），效率提升 10 倍；500 个函数工作量由 125 人天降至约 10 人天。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提升测试质量：</w:t>
      </w:r>
      <w:r>
        <w:rPr>
          <w:sz w:val="22"/>
          <w:szCs w:val="16"/>
        </w:rPr>
        <w:t>覆盖人工易忽略的边界条件和异常场景，形式化规约驱动保障用例严格性，助力达成语句、分支、MC/DC 覆盖率要求。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降低专业门槛：</w:t>
      </w:r>
      <w:r>
        <w:rPr>
          <w:sz w:val="22"/>
          <w:szCs w:val="16"/>
        </w:rPr>
        <w:t>普通工程师即可完成高质量单元测试，降低对少数高专业经验人员的依赖，有效应对任务增长压力。</w:t>
      </w:r>
    </w:p>
    <w:p>
      <w:r>
        <w:br w:type="page"/>
      </w:r>
    </w:p>
    <w:p>
      <w:pPr>
        <w:spacing w:before="0" w:after="0" w:line="240" w:lineRule="auto"/>
        <w:jc w:val="center"/>
        <w:rPr>
          <w:rFonts w:hint="eastAsia" w:cs="微软雅黑"/>
          <w:b/>
          <w:bCs/>
          <w:color w:val="1F4E79"/>
          <w:sz w:val="44"/>
          <w:szCs w:val="44"/>
          <w:lang w:val="en-US" w:eastAsia="zh-CN"/>
        </w:rPr>
      </w:pPr>
      <w:r>
        <w:rPr>
          <w:b/>
          <w:bCs/>
          <w:sz w:val="22"/>
          <w:szCs w:val="16"/>
        </w:rPr>
        <w:t>SmartST  软件配置项测试用例生成智能体</w:t>
      </w:r>
    </w:p>
    <w:p>
      <w:pPr>
        <w:spacing w:before="0" w:after="0" w:line="240" w:lineRule="auto"/>
        <w:jc w:val="center"/>
        <w:rPr>
          <w:rFonts w:hint="eastAsia" w:cs="微软雅黑"/>
          <w:color w:val="4472C4"/>
          <w:sz w:val="44"/>
          <w:szCs w:val="44"/>
          <w:lang w:val="en-US" w:eastAsia="zh-CN"/>
        </w:rPr>
      </w:pPr>
      <w:r>
        <w:rPr>
          <w:sz w:val="22"/>
          <w:szCs w:val="16"/>
        </w:rPr>
        <w:t>需求驱动 · 智能生成 · 标准符合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jc w:val="left"/>
        <w:textAlignment w:val="auto"/>
        <w:rPr>
          <w:rFonts w:hint="eastAsia" w:ascii="微软雅黑" w:hAnsi="微软雅黑" w:eastAsia="微软雅黑" w:cs="微软雅黑"/>
          <w:sz w:val="22"/>
          <w:szCs w:val="16"/>
        </w:rPr>
      </w:pPr>
      <w:r>
        <w:rPr>
          <w:b/>
          <w:bCs/>
          <w:sz w:val="22"/>
          <w:szCs w:val="16"/>
        </w:rPr>
        <w:t>一、业务痛点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textAlignment w:val="auto"/>
        <w:rPr>
          <w:sz w:val="22"/>
          <w:szCs w:val="16"/>
        </w:rPr>
      </w:pPr>
      <w:r>
        <w:rPr>
          <w:sz w:val="22"/>
          <w:szCs w:val="16"/>
        </w:rPr>
        <w:t>软件配置项测试是装备软件质量保障的关键环节，传统人工方式难以持续做好，面临多重挑战：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测试充分性难保障：</w:t>
      </w:r>
      <w:r>
        <w:rPr>
          <w:sz w:val="22"/>
          <w:szCs w:val="16"/>
        </w:rPr>
        <w:t>人工编写依赖个人经验，边界值、异常分支与时序组合场景易遗漏，跨批次质量波动明显。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覆盖率长期承压：</w:t>
      </w:r>
      <w:r>
        <w:rPr>
          <w:sz w:val="22"/>
          <w:szCs w:val="16"/>
        </w:rPr>
        <w:t>需求迭代快、影响范围广，人工变更分析与回归补测成本高，漏测风险持续积累。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门槛高且人力紧缺：</w:t>
      </w:r>
      <w:r>
        <w:rPr>
          <w:sz w:val="22"/>
          <w:szCs w:val="16"/>
        </w:rPr>
        <w:t>需懂业务、懂接口、懂方法论，培养周期长，团队扩编速度跟不上任务增长，形成持续性人力瓶颈。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二、产品介绍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sz w:val="22"/>
          <w:szCs w:val="16"/>
        </w:rPr>
        <w:t>SmartST 以需求文档为驱动，融合等价类/边界值/状态迁移/异常处理等测试方法论，自动生成可追溯、可执行、可度量的标准化测试用例：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需求理解：</w:t>
      </w:r>
      <w:r>
        <w:rPr>
          <w:sz w:val="22"/>
          <w:szCs w:val="16"/>
        </w:rPr>
        <w:t>自动抽取需求条目、章节锚点与关键信息，形成结构化需求池并保留来源追溯，支持增量重解析。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用例生成：</w:t>
      </w:r>
      <w:r>
        <w:rPr>
          <w:sz w:val="22"/>
          <w:szCs w:val="16"/>
        </w:rPr>
        <w:t>方法论驱动 + 依赖关系注入（前置约束透传至下游），支持一键批量生成与单需求定向再生成，面向问题项持续修正。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用例质量控制：</w:t>
      </w:r>
      <w:r>
        <w:rPr>
          <w:sz w:val="22"/>
          <w:szCs w:val="16"/>
        </w:rPr>
        <w:t>围绕"步骤、输入、预期、判定逻辑"四要素标准化输出，质量门禁保障步骤可操作、输入可执行、判定可复核。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覆盖统计与执行回填：</w:t>
      </w:r>
      <w:r>
        <w:rPr>
          <w:sz w:val="22"/>
          <w:szCs w:val="16"/>
        </w:rPr>
        <w:t>展示覆盖状态，识别未覆盖场景；支持执行结果回填，实现需求—用例—执行—缺陷全链路追溯。</w:t>
      </w:r>
    </w:p>
    <w:p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2"/>
          <w:szCs w:val="16"/>
        </w:rPr>
      </w:pPr>
      <w:r>
        <w:rPr>
          <w:b/>
          <w:bCs/>
          <w:sz w:val="22"/>
          <w:szCs w:val="16"/>
        </w:rPr>
        <w:t>三、应用效益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效率显著提升：</w:t>
      </w:r>
      <w:r>
        <w:rPr>
          <w:sz w:val="22"/>
          <w:szCs w:val="16"/>
        </w:rPr>
        <w:t>首版测试用例从约 3 天压缩至约 2 小时，支持需求变更后快速迭代，大幅缩短测试准备周期。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质量覆盖全面提升：</w:t>
      </w:r>
      <w:r>
        <w:rPr>
          <w:sz w:val="22"/>
          <w:szCs w:val="16"/>
        </w:rPr>
        <w:t>需求完整时正常场景覆盖率可达 100%，依赖识别+规约约束有效减少漏测、错测与判据冲突。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管理效能提升：</w:t>
      </w:r>
      <w:r>
        <w:rPr>
          <w:sz w:val="22"/>
          <w:szCs w:val="16"/>
        </w:rPr>
        <w:t>降低对资深人员的单点依赖，覆盖统计可视化支撑管理决策，过程可追溯、可度量，支撑 GJB 2434/CMS-RW-04/QJ 3027 等标准。</w:t>
      </w:r>
    </w:p>
    <w:p>
      <w:r>
        <w:br w:type="page"/>
      </w:r>
    </w:p>
    <w:p>
      <w:pPr>
        <w:spacing w:before="0" w:after="0" w:line="240" w:lineRule="auto"/>
        <w:jc w:val="center"/>
        <w:rPr>
          <w:rFonts w:hint="eastAsia" w:cs="微软雅黑"/>
          <w:b/>
          <w:bCs/>
          <w:color w:val="1F4E79"/>
          <w:sz w:val="44"/>
          <w:szCs w:val="44"/>
          <w:lang w:val="en-US" w:eastAsia="zh-CN"/>
        </w:rPr>
      </w:pPr>
      <w:r>
        <w:rPr>
          <w:b/>
          <w:bCs/>
          <w:sz w:val="22"/>
          <w:szCs w:val="16"/>
        </w:rPr>
        <w:t>SafeWise  航天复杂系统安全性分析智能体</w:t>
      </w:r>
    </w:p>
    <w:p>
      <w:pPr>
        <w:spacing w:before="0" w:after="0" w:line="240" w:lineRule="auto"/>
        <w:jc w:val="center"/>
        <w:rPr>
          <w:rFonts w:hint="eastAsia" w:cs="微软雅黑"/>
          <w:color w:val="4472C4"/>
          <w:sz w:val="44"/>
          <w:szCs w:val="44"/>
          <w:lang w:val="en-US" w:eastAsia="zh-CN"/>
        </w:rPr>
      </w:pPr>
      <w:r>
        <w:rPr>
          <w:sz w:val="22"/>
          <w:szCs w:val="16"/>
        </w:rPr>
        <w:t>STPA 系统安全分析 · 全生命周期覆盖 · AI 驱动自动推演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jc w:val="left"/>
        <w:textAlignment w:val="auto"/>
        <w:rPr>
          <w:rFonts w:hint="eastAsia" w:ascii="微软雅黑" w:hAnsi="微软雅黑" w:eastAsia="微软雅黑" w:cs="微软雅黑"/>
          <w:sz w:val="22"/>
          <w:szCs w:val="16"/>
        </w:rPr>
      </w:pPr>
      <w:r>
        <w:rPr>
          <w:b/>
          <w:bCs/>
          <w:sz w:val="22"/>
          <w:szCs w:val="16"/>
        </w:rPr>
        <w:t>一、业务痛点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textAlignment w:val="auto"/>
        <w:rPr>
          <w:sz w:val="22"/>
          <w:szCs w:val="16"/>
        </w:rPr>
      </w:pPr>
      <w:r>
        <w:rPr>
          <w:sz w:val="22"/>
          <w:szCs w:val="16"/>
        </w:rPr>
        <w:t>航天装备系统高度复杂、软硬件强耦合，安全性分析依赖少数顶级专家，面临效率与覆盖度的双重瓶颈：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风险覆盖不全：</w:t>
      </w:r>
      <w:r>
        <w:rPr>
          <w:sz w:val="22"/>
          <w:szCs w:val="16"/>
        </w:rPr>
        <w:t>人工分析存在盲区，软件时序、人机交互等"软风险"尤为突出，复杂交互路径难以穷举，危险场景易遗漏。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效率低、周期长：</w:t>
      </w:r>
      <w:r>
        <w:rPr>
          <w:sz w:val="22"/>
          <w:szCs w:val="16"/>
        </w:rPr>
        <w:t>人工推演数周才能完成，跟不上装备研制快速迭代节奏，型号总师被迫压缩安全分析深度。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专家依赖过高：</w:t>
      </w:r>
      <w:r>
        <w:rPr>
          <w:sz w:val="22"/>
          <w:szCs w:val="16"/>
        </w:rPr>
        <w:t>安全专家资源稀缺，经验难以标准化传承，人员流动导致分析质量大幅波动，知识流失风险高。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传统方法失效：</w:t>
      </w:r>
      <w:r>
        <w:rPr>
          <w:sz w:val="22"/>
          <w:szCs w:val="16"/>
        </w:rPr>
        <w:t>FTA/FMEA 聚焦单点失效，无法有效应对软件动态逻辑、人机交互、多系统强耦合等新型复杂风险。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二、产品介绍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sz w:val="22"/>
          <w:szCs w:val="16"/>
        </w:rPr>
        <w:t>SafeWise 基于 STPA（系统理论过程分析）方法论，以多 Agent 三阶段流水线自动推演系统安全性，专注于软硬件、人员操作与环境之间的复杂交互分析：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概念/初步设计——识别危害：</w:t>
      </w:r>
      <w:r>
        <w:rPr>
          <w:sz w:val="22"/>
          <w:szCs w:val="16"/>
        </w:rPr>
        <w:t>输入设计说明，自动识别损失、危害场景与安全约束，生成安全需求，让总师在方案阶段就心里有底。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详细设计——控制结构分析：</w:t>
      </w:r>
      <w:r>
        <w:rPr>
          <w:sz w:val="22"/>
          <w:szCs w:val="16"/>
        </w:rPr>
        <w:t>自动梳理控制结构图与不安全控制行为（UCA），给出接口设计、冗余配置与人机交互的安全要求。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测试验证——致因分析：</w:t>
      </w:r>
      <w:r>
        <w:rPr>
          <w:sz w:val="22"/>
          <w:szCs w:val="16"/>
        </w:rPr>
        <w:t>从事故链反向推导故障注入点，自动生成带判定准则的安全测试用例，不再靠经验猜测测试点。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交付审计——全链路追溯：</w:t>
      </w:r>
      <w:r>
        <w:rPr>
          <w:sz w:val="22"/>
          <w:szCs w:val="16"/>
        </w:rPr>
        <w:t>一键生成可视化合规报告，损失→危险→约束→需求→UCA→测试用例全程可追溯，支撑 GJB 900A 等标准。</w:t>
      </w:r>
    </w:p>
    <w:p>
      <w:pPr>
        <w:pStyle w:val="12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2"/>
          <w:szCs w:val="16"/>
        </w:rPr>
      </w:pPr>
      <w:r>
        <w:rPr>
          <w:b/>
          <w:bCs/>
          <w:sz w:val="22"/>
          <w:szCs w:val="16"/>
        </w:rPr>
        <w:t>三、应用效益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分析效率大幅提升：</w:t>
      </w:r>
      <w:r>
        <w:rPr>
          <w:sz w:val="22"/>
          <w:szCs w:val="16"/>
        </w:rPr>
        <w:t>分析周期从数周压缩至数小时，效率提升 10 倍以上，型号节点不再因安全分析而拖期。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风险覆盖无盲区：</w:t>
      </w:r>
      <w:r>
        <w:rPr>
          <w:sz w:val="22"/>
          <w:szCs w:val="16"/>
        </w:rPr>
        <w:t>基于 STPA 自动遍历全路径，100% 覆盖软件时序、人机交互、多系统耦合等隐性风险，消除分析盲区。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降低专家依赖：</w:t>
      </w:r>
      <w:r>
        <w:rPr>
          <w:sz w:val="22"/>
          <w:szCs w:val="16"/>
        </w:rPr>
        <w:t>专家投入减少 5 倍，普通工程师按流程即可完成高质量分析，STPA 模板库与历史结果持续沉淀，知识不流失。</w:t>
      </w:r>
    </w:p>
    <w:p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firstLine="539" w:firstLineChars="245"/>
        <w:jc w:val="left"/>
        <w:textAlignment w:val="auto"/>
        <w:rPr>
          <w:sz w:val="22"/>
          <w:szCs w:val="16"/>
        </w:rPr>
      </w:pPr>
      <w:r>
        <w:rPr>
          <w:b/>
          <w:bCs/>
          <w:sz w:val="22"/>
          <w:szCs w:val="16"/>
        </w:rPr>
        <w:t>标准符合，广泛适用：</w:t>
      </w:r>
      <w:r>
        <w:rPr>
          <w:sz w:val="22"/>
          <w:szCs w:val="16"/>
        </w:rPr>
        <w:t>支撑 GJB 900A《装备安全性工作通用要求》；适用于载人航天、运载火箭、卫星系统、航空装备、武器系统等高安全领域。</w:t>
      </w:r>
    </w:p>
    <w:sectPr>
      <w:headerReference r:id="rId18" w:type="first"/>
      <w:footerReference r:id="rId21" w:type="first"/>
      <w:headerReference r:id="rId16" w:type="default"/>
      <w:footerReference r:id="rId19" w:type="default"/>
      <w:headerReference r:id="rId17" w:type="even"/>
      <w:footerReference r:id="rId20" w:type="even"/>
      <w:pgSz w:w="11906" w:h="16838"/>
      <w:pgMar w:top="720" w:right="1080" w:bottom="72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jc w:val="lef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jc w:val="lef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none" w:color="auto" w:sz="0" w:space="0"/>
      </w:pBdr>
      <w:snapToGrid/>
      <w:spacing w:before="40" w:after="0" w:line="240" w:lineRule="auto"/>
      <w:ind w:left="0" w:right="0"/>
      <w:jc w:val="right"/>
    </w:pPr>
    <w:r>
      <w:rPr>
        <w:rFonts w:ascii="微软雅黑" w:hAnsi="微软雅黑" w:eastAsia="微软雅黑" w:cs="微软雅黑"/>
        <w:i w:val="0"/>
        <w:strike w:val="0"/>
        <w:color w:val="808080"/>
        <w:sz w:val="16"/>
        <w:u w:val="none"/>
      </w:rPr>
      <w:t xml:space="preserve">  |  SafetyMatrix|  2026.04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top w:val="single" w:color="BFBFBF" w:sz="4" w:space="4"/>
      </w:pBdr>
      <w:jc w:val="center"/>
    </w:pPr>
    <w:r>
      <w:rPr>
        <w:rFonts w:ascii="微软雅黑" w:hAnsi="微软雅黑" w:eastAsia="微软雅黑" w:cs="微软雅黑"/>
        <w:color w:val="808080"/>
        <w:sz w:val="14"/>
        <w:szCs w:val="14"/>
      </w:rPr>
      <w:t>AI 赋能软件质量  |  让每一行代码都有据可查  |  © 2026 SmartInsight Team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none" w:color="auto" w:sz="0" w:space="0"/>
      </w:pBdr>
      <w:snapToGrid/>
      <w:spacing w:before="0" w:after="0" w:line="240" w:lineRule="auto"/>
      <w:ind w:left="0" w:right="0"/>
      <w:jc w:val="center"/>
    </w:pPr>
    <w:r>
      <w:rPr>
        <w:rFonts w:ascii="微软雅黑" w:hAnsi="微软雅黑" w:eastAsia="微软雅黑" w:cs="微软雅黑"/>
        <w:i w:val="0"/>
        <w:strike w:val="0"/>
        <w:color w:val="808080"/>
        <w:sz w:val="14"/>
        <w:u w:val="none"/>
      </w:rPr>
      <w:t>AI 赋能航天安全  |  让每一个危险都有效避免  |  © 2026 SafetyWise Team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jc w:val="left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jc w:val="left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1F4E79" w:sz="8" w:space="4"/>
      </w:pBdr>
      <w:tabs>
        <w:tab w:val="right" w:pos="9026"/>
      </w:tabs>
      <w:rPr>
        <w:rFonts w:hint="eastAsia" w:eastAsia="微软雅黑"/>
        <w:lang w:val="en-US" w:eastAsia="zh-CN"/>
      </w:rPr>
    </w:pPr>
    <w:r>
      <w:rPr>
        <w:rFonts w:ascii="微软雅黑" w:hAnsi="微软雅黑" w:eastAsia="微软雅黑" w:cs="微软雅黑"/>
        <w:color w:val="808080"/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1F4E79" w:sz="8" w:space="4"/>
      </w:pBdr>
      <w:tabs>
        <w:tab w:val="right" w:pos="9026"/>
      </w:tabs>
      <w:rPr>
        <w:rFonts w:hint="eastAsia" w:eastAsia="微软雅黑"/>
        <w:lang w:val="en-US" w:eastAsia="zh-CN"/>
      </w:rPr>
    </w:pPr>
    <w:r>
      <w:rPr>
        <w:rFonts w:hint="eastAsia" w:cs="微软雅黑"/>
        <w:b/>
        <w:bCs/>
        <w:color w:val="1F4E79"/>
        <w:sz w:val="18"/>
        <w:szCs w:val="18"/>
        <w:lang w:val="en-US" w:eastAsia="zh-CN"/>
      </w:rPr>
      <w:t>SafetyMatrix</w:t>
    </w:r>
    <w:r>
      <w:rPr>
        <w:rFonts w:ascii="微软雅黑" w:hAnsi="微软雅黑" w:eastAsia="微软雅黑" w:cs="微软雅黑"/>
        <w:color w:val="808080"/>
        <w:sz w:val="16"/>
        <w:szCs w:val="16"/>
      </w:rPr>
      <w:tab/>
    </w:r>
    <w:r>
      <w:rPr>
        <w:rFonts w:hint="eastAsia" w:cs="微软雅黑"/>
        <w:color w:val="808080"/>
        <w:sz w:val="16"/>
        <w:szCs w:val="16"/>
        <w:lang w:val="en-US" w:eastAsia="zh-CN"/>
      </w:rPr>
      <w:t>软件安全分析</w:t>
    </w:r>
    <w:r>
      <w:rPr>
        <w:rFonts w:ascii="微软雅黑" w:hAnsi="微软雅黑" w:eastAsia="微软雅黑" w:cs="微软雅黑"/>
        <w:color w:val="808080"/>
        <w:sz w:val="16"/>
        <w:szCs w:val="16"/>
      </w:rPr>
      <w:t>智能</w:t>
    </w:r>
    <w:r>
      <w:rPr>
        <w:rFonts w:hint="eastAsia" w:cs="微软雅黑"/>
        <w:color w:val="808080"/>
        <w:sz w:val="16"/>
        <w:szCs w:val="16"/>
        <w:lang w:val="en-US" w:eastAsia="zh-CN"/>
      </w:rPr>
      <w:t>体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1F4E79" w:sz="8" w:space="4"/>
      </w:pBdr>
      <w:tabs>
        <w:tab w:val="right" w:pos="9026"/>
      </w:tabs>
      <w:rPr>
        <w:rFonts w:hint="eastAsia" w:eastAsia="微软雅黑"/>
        <w:lang w:val="en-US" w:eastAsia="zh-CN"/>
      </w:rPr>
    </w:pPr>
    <w:r>
      <w:rPr>
        <w:rFonts w:hint="eastAsia" w:cs="微软雅黑"/>
        <w:b/>
        <w:bCs/>
        <w:color w:val="1F4E79"/>
        <w:sz w:val="18"/>
        <w:szCs w:val="18"/>
        <w:lang w:val="en-US" w:eastAsia="zh-CN"/>
      </w:rPr>
      <w:t>SmartInsight</w:t>
    </w:r>
    <w:r>
      <w:rPr>
        <w:rFonts w:ascii="微软雅黑" w:hAnsi="微软雅黑" w:eastAsia="微软雅黑" w:cs="微软雅黑"/>
        <w:color w:val="808080"/>
        <w:sz w:val="16"/>
        <w:szCs w:val="16"/>
      </w:rPr>
      <w:tab/>
    </w:r>
    <w:r>
      <w:rPr>
        <w:rFonts w:ascii="微软雅黑" w:hAnsi="微软雅黑" w:eastAsia="微软雅黑" w:cs="微软雅黑"/>
        <w:color w:val="808080"/>
        <w:sz w:val="16"/>
        <w:szCs w:val="16"/>
      </w:rPr>
      <w:t>代码</w:t>
    </w:r>
    <w:r>
      <w:rPr>
        <w:rFonts w:hint="eastAsia" w:ascii="微软雅黑" w:hAnsi="微软雅黑" w:eastAsia="微软雅黑" w:cs="微软雅黑"/>
        <w:color w:val="808080"/>
        <w:sz w:val="16"/>
        <w:szCs w:val="16"/>
      </w:rPr>
      <w:t>走</w:t>
    </w:r>
    <w:r>
      <w:rPr>
        <w:rFonts w:hint="eastAsia" w:cs="微软雅黑"/>
        <w:color w:val="808080"/>
        <w:sz w:val="16"/>
        <w:szCs w:val="16"/>
        <w:lang w:val="en-US" w:eastAsia="zh-CN"/>
      </w:rPr>
      <w:t>查</w:t>
    </w:r>
    <w:r>
      <w:rPr>
        <w:rFonts w:ascii="微软雅黑" w:hAnsi="微软雅黑" w:eastAsia="微软雅黑" w:cs="微软雅黑"/>
        <w:color w:val="808080"/>
        <w:sz w:val="16"/>
        <w:szCs w:val="16"/>
      </w:rPr>
      <w:t>智能</w:t>
    </w:r>
    <w:r>
      <w:rPr>
        <w:rFonts w:hint="eastAsia" w:cs="微软雅黑"/>
        <w:color w:val="808080"/>
        <w:sz w:val="16"/>
        <w:szCs w:val="16"/>
        <w:lang w:val="en-US" w:eastAsia="zh-CN"/>
      </w:rPr>
      <w:t>体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1F4E79" w:sz="8" w:space="4"/>
      </w:pBdr>
      <w:tabs>
        <w:tab w:val="right" w:pos="9026"/>
      </w:tabs>
      <w:rPr>
        <w:rFonts w:ascii="微软雅黑" w:hAnsi="微软雅黑" w:eastAsia="微软雅黑" w:cs="微软雅黑"/>
        <w:color w:val="808080"/>
        <w:sz w:val="16"/>
        <w:szCs w:val="16"/>
      </w:rPr>
    </w:pPr>
    <w:r>
      <w:rPr>
        <w:rFonts w:hint="eastAsia" w:cs="微软雅黑"/>
        <w:b/>
        <w:bCs/>
        <w:color w:val="1F4E79"/>
        <w:sz w:val="18"/>
        <w:szCs w:val="18"/>
        <w:lang w:val="en-US" w:eastAsia="zh-CN"/>
      </w:rPr>
      <w:t>SmartUT</w:t>
    </w:r>
    <w:r>
      <w:rPr>
        <w:rFonts w:hint="eastAsia"/>
      </w:rPr>
      <w:t xml:space="preserve"> </w:t>
    </w:r>
    <w:r>
      <w:rPr>
        <w:rFonts w:hint="eastAsia"/>
      </w:rPr>
      <w:tab/>
    </w:r>
    <w:r>
      <w:rPr>
        <w:rFonts w:hint="eastAsia"/>
      </w:rPr>
      <w:t xml:space="preserve">         </w:t>
    </w:r>
    <w:r>
      <w:rPr>
        <w:rFonts w:ascii="微软雅黑" w:hAnsi="微软雅黑" w:eastAsia="微软雅黑" w:cs="微软雅黑"/>
        <w:color w:val="808080"/>
        <w:sz w:val="16"/>
        <w:szCs w:val="16"/>
      </w:rPr>
      <w:t>单元测试代码生成智能体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1F4E79" w:sz="8" w:space="4"/>
      </w:pBdr>
      <w:tabs>
        <w:tab w:val="right" w:pos="9026"/>
      </w:tabs>
      <w:rPr>
        <w:rFonts w:hint="eastAsia" w:eastAsia="微软雅黑"/>
        <w:lang w:val="en-US" w:eastAsia="zh-CN"/>
      </w:rPr>
    </w:pPr>
    <w:r>
      <w:rPr>
        <w:rFonts w:hint="eastAsia" w:cs="微软雅黑"/>
        <w:b/>
        <w:bCs/>
        <w:color w:val="1F4E79"/>
        <w:sz w:val="18"/>
        <w:szCs w:val="18"/>
        <w:lang w:val="en-US" w:eastAsia="zh-CN"/>
      </w:rPr>
      <w:t>SmartST</w:t>
    </w:r>
    <w:r>
      <w:rPr>
        <w:rFonts w:ascii="微软雅黑" w:hAnsi="微软雅黑" w:eastAsia="微软雅黑" w:cs="微软雅黑"/>
        <w:strike/>
        <w:color w:val="808080"/>
        <w:sz w:val="16"/>
        <w:szCs w:val="16"/>
      </w:rPr>
      <w:tab/>
    </w:r>
    <w:r>
      <w:rPr>
        <w:rFonts w:hint="eastAsia" w:cs="微软雅黑"/>
        <w:color w:val="808080"/>
        <w:sz w:val="16"/>
        <w:szCs w:val="16"/>
        <w:lang w:val="en-US" w:eastAsia="zh-CN"/>
      </w:rPr>
      <w:t>系统测试</w:t>
    </w:r>
    <w:r>
      <w:rPr>
        <w:rFonts w:ascii="微软雅黑" w:hAnsi="微软雅黑" w:eastAsia="微软雅黑" w:cs="微软雅黑"/>
        <w:color w:val="808080"/>
        <w:sz w:val="16"/>
        <w:szCs w:val="16"/>
      </w:rPr>
      <w:t>智能</w:t>
    </w:r>
    <w:r>
      <w:rPr>
        <w:rFonts w:hint="eastAsia" w:cs="微软雅黑"/>
        <w:color w:val="808080"/>
        <w:sz w:val="16"/>
        <w:szCs w:val="16"/>
        <w:lang w:val="en-US" w:eastAsia="zh-CN"/>
      </w:rPr>
      <w:t>体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  <w:r>
      <w:rPr>
        <w:rFonts w:hint="eastAsia"/>
      </w:rPr>
      <w:t>SafetyWise                                                                                                                                      系统安全分析智能体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01572C99"/>
    <w:rsid w:val="04BA77B2"/>
    <w:rsid w:val="071F2E29"/>
    <w:rsid w:val="0C6F1FE5"/>
    <w:rsid w:val="10D4446D"/>
    <w:rsid w:val="14B62AB7"/>
    <w:rsid w:val="15027278"/>
    <w:rsid w:val="15A44410"/>
    <w:rsid w:val="163D479F"/>
    <w:rsid w:val="1D065ED7"/>
    <w:rsid w:val="1F7B1734"/>
    <w:rsid w:val="1FEC0C8F"/>
    <w:rsid w:val="21DB5D37"/>
    <w:rsid w:val="23277354"/>
    <w:rsid w:val="25BC1581"/>
    <w:rsid w:val="2C227E92"/>
    <w:rsid w:val="2DB216ED"/>
    <w:rsid w:val="2EE155E4"/>
    <w:rsid w:val="2F1156C3"/>
    <w:rsid w:val="30887719"/>
    <w:rsid w:val="30A14CB5"/>
    <w:rsid w:val="320A38B3"/>
    <w:rsid w:val="35567D64"/>
    <w:rsid w:val="378826AF"/>
    <w:rsid w:val="3D042809"/>
    <w:rsid w:val="42A706A9"/>
    <w:rsid w:val="451A3F70"/>
    <w:rsid w:val="481E1230"/>
    <w:rsid w:val="52950364"/>
    <w:rsid w:val="59AF6F50"/>
    <w:rsid w:val="5ABF5F70"/>
    <w:rsid w:val="635323E3"/>
    <w:rsid w:val="691079C5"/>
    <w:rsid w:val="6C54286F"/>
    <w:rsid w:val="6D1B668A"/>
    <w:rsid w:val="6D5063AB"/>
    <w:rsid w:val="71E05943"/>
    <w:rsid w:val="75A1344A"/>
    <w:rsid w:val="79573D7F"/>
    <w:rsid w:val="7D6C7B5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333333"/>
      <w:sz w:val="18"/>
      <w:szCs w:val="18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18"/>
      <w:szCs w:val="18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18"/>
      <w:szCs w:val="18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18"/>
      <w:szCs w:val="18"/>
    </w:rPr>
  </w:style>
  <w:style w:type="character" w:default="1" w:styleId="16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footnote text"/>
    <w:link w:val="22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Title"/>
    <w:qFormat/>
    <w:uiPriority w:val="0"/>
    <w:rPr>
      <w:rFonts w:ascii="微软雅黑" w:hAnsi="微软雅黑" w:eastAsia="微软雅黑" w:cs="微软雅黑"/>
      <w:color w:val="333333"/>
      <w:sz w:val="56"/>
      <w:szCs w:val="56"/>
    </w:rPr>
  </w:style>
  <w:style w:type="table" w:styleId="15">
    <w:name w:val="Table Grid"/>
    <w:basedOn w:val="14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17">
    <w:name w:val="Strong"/>
    <w:basedOn w:val="16"/>
    <w:qFormat/>
    <w:uiPriority w:val="0"/>
    <w:rPr>
      <w:b/>
    </w:rPr>
  </w:style>
  <w:style w:type="character" w:styleId="18">
    <w:name w:val="endnote reference"/>
    <w:semiHidden/>
    <w:unhideWhenUsed/>
    <w:qFormat/>
    <w:uiPriority w:val="99"/>
    <w:rPr>
      <w:vertAlign w:val="superscript"/>
    </w:rPr>
  </w:style>
  <w:style w:type="character" w:styleId="19">
    <w:name w:val="Hyperlink"/>
    <w:unhideWhenUsed/>
    <w:qFormat/>
    <w:uiPriority w:val="99"/>
    <w:rPr>
      <w:color w:val="0563C1"/>
      <w:u w:val="single"/>
    </w:rPr>
  </w:style>
  <w:style w:type="character" w:styleId="20">
    <w:name w:val="footnote reference"/>
    <w:semiHidden/>
    <w:unhideWhenUsed/>
    <w:qFormat/>
    <w:uiPriority w:val="99"/>
    <w:rPr>
      <w:vertAlign w:val="superscript"/>
    </w:rPr>
  </w:style>
  <w:style w:type="paragraph" w:styleId="21">
    <w:name w:val="List Paragraph"/>
    <w:qFormat/>
    <w:uiPriority w:val="0"/>
    <w:rPr>
      <w:rFonts w:ascii="微软雅黑" w:hAnsi="微软雅黑" w:eastAsia="微软雅黑" w:cs="微软雅黑"/>
      <w:color w:val="333333"/>
      <w:sz w:val="18"/>
      <w:szCs w:val="18"/>
    </w:rPr>
  </w:style>
  <w:style w:type="character" w:customStyle="1" w:styleId="22">
    <w:name w:val="Foot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3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3" Type="http://schemas.openxmlformats.org/officeDocument/2006/relationships/fontTable" Target="fontTable.xml"/><Relationship Id="rId22" Type="http://schemas.openxmlformats.org/officeDocument/2006/relationships/theme" Target="theme/theme1.xml"/><Relationship Id="rId21" Type="http://schemas.openxmlformats.org/officeDocument/2006/relationships/footer" Target="footer7.xml"/><Relationship Id="rId20" Type="http://schemas.openxmlformats.org/officeDocument/2006/relationships/footer" Target="footer6.xml"/><Relationship Id="rId2" Type="http://schemas.openxmlformats.org/officeDocument/2006/relationships/settings" Target="settings.xml"/><Relationship Id="rId19" Type="http://schemas.openxmlformats.org/officeDocument/2006/relationships/footer" Target="footer5.xml"/><Relationship Id="rId18" Type="http://schemas.openxmlformats.org/officeDocument/2006/relationships/header" Target="header12.xml"/><Relationship Id="rId17" Type="http://schemas.openxmlformats.org/officeDocument/2006/relationships/header" Target="header11.xml"/><Relationship Id="rId16" Type="http://schemas.openxmlformats.org/officeDocument/2006/relationships/header" Target="header10.xml"/><Relationship Id="rId15" Type="http://schemas.openxmlformats.org/officeDocument/2006/relationships/header" Target="header9.xml"/><Relationship Id="rId14" Type="http://schemas.openxmlformats.org/officeDocument/2006/relationships/header" Target="header8.xml"/><Relationship Id="rId13" Type="http://schemas.openxmlformats.org/officeDocument/2006/relationships/header" Target="header7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1</TotalTime>
  <ScaleCrop>false</ScaleCrop>
  <LinksUpToDate>false</LinksUpToDate>
  <Application>WPS Office_11.8.0.16981_F1E327BC-269C-435d-A152-05C5408002CA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2026-04-30T10:31:00Z</dcterms:created>
  <dc:creator>DELL</dc:creator>
  <cp:lastModifiedBy>朱海涛</cp:lastModifiedBy>
  <dcterms:modified xsi:type="dcterms:W3CDTF">2026-04-30T02:34:46Z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2052-11.8.0.16981</vt:lpwstr>
  </property>
  <property fmtid="{D5CDD505-2E9C-101B-9397-08002B2CF9AE}" pid="3" name="ICV">
    <vt:lpwstr>B788C48994B14616A43A5930954ED989</vt:lpwstr>
  </property>
</Properties>
</file>