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SafetyMatrix 技术方案概要（公开）</w:t>
      </w:r>
    </w:p>
    <w:p>
      <w:r>
        <w:rPr>
          <w:rFonts w:ascii="宋体" w:hAnsi="宋体" w:eastAsia="宋体"/>
          <w:b/>
          <w:sz w:val="26"/>
        </w:rPr>
        <w:t>一、软件定位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SafetyMatrix 面向装备软件需求与设计阶段的软件安全分析场景，重点服务软件安全评审、设计校核和风险复盘工作，帮助团队在设计早期就识别高风险链路、关键失效模式和整改重点。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软件强调把需求、设计、故障树、失效模式和风险排序放到同一分析框架中处理，减少纯手工画图填表带来的重复劳动和口径不一致问题。</w:t>
      </w:r>
    </w:p>
    <w:p>
      <w:r>
        <w:rPr>
          <w:rFonts w:ascii="宋体" w:hAnsi="宋体" w:eastAsia="宋体"/>
          <w:b/>
          <w:sz w:val="26"/>
        </w:rPr>
        <w:t>二、主要业务功能条目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需求级故障树分析：从需求条目出发识别顶层风险事件，形成第一版风险骨架。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设计级故障树细化：结合设计资料和模块关系继续展开故障树，定位关键路径和薄弱点。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失效模式与影响分析：面向模块、接口和功能行为梳理失效模式、影响范围和改进建议。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风险评估与排序：围绕风险等级、高风险项和处理状态形成统一排序视图。</w:t>
      </w:r>
    </w:p>
    <w:p>
      <w:pPr>
        <w:ind w:left="360"/>
      </w:pPr>
      <w:r>
        <w:rPr>
          <w:rFonts w:ascii="宋体" w:hAnsi="宋体" w:eastAsia="宋体"/>
          <w:b w:val="0"/>
          <w:sz w:val="22"/>
        </w:rPr>
        <w:t>• 图形展示与成果交付：提供故障树可视化、版本差异查看和报告导出能力。</w:t>
      </w:r>
    </w:p>
    <w:p>
      <w:r>
        <w:rPr>
          <w:rFonts w:ascii="宋体" w:hAnsi="宋体" w:eastAsia="宋体"/>
          <w:b/>
          <w:sz w:val="26"/>
        </w:rPr>
        <w:t>三、行业现状及发展趋势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随着软件规模和复杂度持续上升，软件安全分析已从“补充性工作”变成需求和设计评审中的关键环节。人工故障树展开和失效模式整理方式越来越难适应交付节奏。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行业正在强调风险识别前移、版本持续更新和整改闭环管理。未来软件安全分析不仅要给出风险结论，还要能说明风险从哪里来、改动后发生了什么变化。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面向高安全业务的专用工具会继续向知识化、图形化和一体化方向发展，既支持专家深度分析，也要让普通工程师能按统一口径参与工作。</w:t>
      </w:r>
    </w:p>
    <w:p>
      <w:r>
        <w:rPr>
          <w:rFonts w:ascii="宋体" w:hAnsi="宋体" w:eastAsia="宋体"/>
          <w:b/>
          <w:sz w:val="26"/>
        </w:rPr>
        <w:t>四、软件技术栈列表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功能规格点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技术选型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用途说明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平台底座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Python服务框架（FastAPI）、Vue3页面、PostgreSQL、Redis、MinIO、一体机/容器化部署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支撑项目管理、任务留痕、版本管理和本地部署。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需求级风险识别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需求解析、故障树自动生成、多智能体协同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在需求阶段先形成顶层风险骨架。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设计级树展开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模块关系建模、设计联动、增量更新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让故障树随设计细化而持续展开。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失效模式分析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FMEA/FMECA、评分规则、经验库检索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形成失效模式、影响分析和改进建议。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风险展示与比对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故障树画布、RPN色标、版本Diff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支撑评审展示、重点风险定位和版本复盘。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成果交付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Word报告模板、问题台账、审计留痕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便于形成交付材料和后续整改闭环。</w:t>
            </w:r>
          </w:p>
        </w:tc>
      </w:tr>
    </w:tbl>
    <w:p>
      <w:r>
        <w:rPr>
          <w:rFonts w:ascii="宋体" w:hAnsi="宋体" w:eastAsia="宋体"/>
          <w:b/>
          <w:sz w:val="26"/>
        </w:rPr>
        <w:t>五、方案说明</w:t>
      </w:r>
    </w:p>
    <w:p>
      <w:r>
        <w:rPr>
          <w:rFonts w:ascii="宋体" w:hAnsi="宋体" w:eastAsia="宋体"/>
          <w:b/>
          <w:sz w:val="24"/>
        </w:rPr>
        <w:t>1. 需求级故障树分析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具体方案：围绕需求条目、运行场景和顶层风险事件，先生成需求阶段故障树骨架，帮助项目尽早识别哪些风险需要在设计前就重点关注。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实现难点：需求文档偏业务表达，直接转化为可分析的风险语言并不容易，容易出现顶层事件定义过泛或过细。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攻关点：需要加强行业风险模板、术语统一和需求上下文理解能力，让需求级风险识别更稳、更可复核。</w:t>
      </w:r>
    </w:p>
    <w:p>
      <w:r>
        <w:rPr>
          <w:rFonts w:ascii="宋体" w:hAnsi="宋体" w:eastAsia="宋体"/>
          <w:b/>
          <w:sz w:val="24"/>
        </w:rPr>
        <w:t>2. 设计级故障树细化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具体方案：当设计资料逐步明确后，结合模块划分、接口关系和控制逻辑继续展开故障树，把风险定位到更具体的设计层级。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实现难点：设计资料颗粒度差异大、迭代频繁，故障树一旦靠人工维护就很难及时跟上设计变化。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攻关点：需要持续提升增量分析、版本差异识别和图形联动能力，让树结构能够随设计同步演进。</w:t>
      </w:r>
    </w:p>
    <w:p>
      <w:r>
        <w:rPr>
          <w:rFonts w:ascii="宋体" w:hAnsi="宋体" w:eastAsia="宋体"/>
          <w:b/>
          <w:sz w:val="24"/>
        </w:rPr>
        <w:t>3. 失效模式与影响分析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具体方案：围绕模块、接口和功能行为梳理失效模式、影响范围、检测方式和改进建议，为后续设计整改和评审提供更细颗粒度依据。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实现难点：失效模式写法和评分口径容易因人而异，高风险项筛选常依赖资深人员经验。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攻关点：需要进一步沉淀软件失效模式库、评分规则库和典型案例库，提升跨项目复用和口径一致性。</w:t>
      </w:r>
    </w:p>
    <w:p>
      <w:r>
        <w:rPr>
          <w:rFonts w:ascii="宋体" w:hAnsi="宋体" w:eastAsia="宋体"/>
          <w:b/>
          <w:sz w:val="24"/>
        </w:rPr>
        <w:t>4. 风险评估与排序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具体方案：把故障树结果、失效模式、风险等级和处理状态放到统一视图中，帮助团队快速看清“最该先处理什么”。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实现难点：风险项数量多时，管理层更关心优先级和处理状态，而不是单纯问题总数，传统表格方式难以支撑快速决策。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攻关点：需要强化风险排序规则、专题看板和整改闭环联动，让分析成果直接服务管理决策。</w:t>
      </w:r>
    </w:p>
    <w:p>
      <w:r>
        <w:rPr>
          <w:rFonts w:ascii="宋体" w:hAnsi="宋体" w:eastAsia="宋体"/>
          <w:b/>
          <w:sz w:val="24"/>
        </w:rPr>
        <w:t>5. 图形展示与成果交付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具体方案：通过故障树画布、风险色标、版本差异和报告导出，把复杂分析结果转化为评审可理解、交付可使用的正式成果。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实现难点：图形、表格和文字报告往往分散维护，公开汇报、内部复盘和正式交付对内容颗粒度要求也不同。</w:t>
      </w:r>
    </w:p>
    <w:p>
      <w:pPr>
        <w:ind w:firstLine="480"/>
      </w:pPr>
      <w:r>
        <w:rPr>
          <w:rFonts w:ascii="宋体" w:hAnsi="宋体" w:eastAsia="宋体"/>
          <w:b w:val="0"/>
          <w:sz w:val="22"/>
        </w:rPr>
        <w:t>攻关点：需要继续打磨多模板导出、图文联动和版本留痕能力，形成更稳定的工程交付方式。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