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pPr>
    </w:p>
    <w:p>
      <w:pPr>
        <w:pStyle w:val="12"/>
      </w:pPr>
    </w:p>
    <w:p>
      <w:pPr>
        <w:pStyle w:val="12"/>
      </w:pPr>
    </w:p>
    <w:p>
      <w:pPr>
        <w:pStyle w:val="12"/>
      </w:pPr>
    </w:p>
    <w:p>
      <w:pPr>
        <w:pStyle w:val="12"/>
        <w:jc w:val="center"/>
      </w:pPr>
      <w:r>
        <w:rPr>
          <w:sz w:val="96"/>
        </w:rPr>
        <w:t>软件研制智能体介绍</w:t>
      </w:r>
    </w:p>
    <w:p>
      <w:pPr>
        <w:pStyle w:val="12"/>
      </w:pPr>
    </w:p>
    <w:p>
      <w:pPr>
        <w:pStyle w:val="12"/>
      </w:pPr>
    </w:p>
    <w:p>
      <w:pPr>
        <w:pStyle w:val="12"/>
      </w:pPr>
    </w:p>
    <w:p>
      <w:pPr>
        <w:pStyle w:val="12"/>
      </w:pPr>
    </w:p>
    <w:p>
      <w:pPr>
        <w:pStyle w:val="12"/>
      </w:pPr>
    </w:p>
    <w:p>
      <w:pPr>
        <w:pStyle w:val="12"/>
      </w:pPr>
    </w:p>
    <w:p>
      <w:pPr>
        <w:pStyle w:val="12"/>
        <w:jc w:val="center"/>
      </w:pPr>
      <w:r>
        <w:rPr>
          <w:sz w:val="36"/>
        </w:rPr>
        <w:t>XXX中心</w:t>
      </w:r>
    </w:p>
    <w:p>
      <w:pPr>
        <w:pStyle w:val="12"/>
        <w:jc w:val="center"/>
      </w:pPr>
      <w:r>
        <w:rPr>
          <w:sz w:val="36"/>
        </w:rPr>
        <w:t>2026-4-30</w:t>
      </w:r>
    </w:p>
    <w:p>
      <w:r>
        <w:br w:type="page"/>
      </w:r>
    </w:p>
    <w:p>
      <w:pPr/>
      <w:r>
        <w:rPr>
          <w:b/>
          <w:color w:val="1F4E79"/>
          <w:sz w:val="44"/>
        </w:rPr>
        <w:t xml:space="preserve">SafeMatrix  </w:t>
      </w:r>
      <w:r>
        <w:rPr>
          <w:b/>
          <w:color w:val="1F4E79"/>
          <w:sz w:val="44"/>
        </w:rPr>
        <w:t>软件安全性分析智能体</w:t>
      </w:r>
    </w:p>
    <w:p>
      <w:pPr/>
      <w:r>
        <w:rPr>
          <w:color w:val="4472C4"/>
          <w:sz w:val="22"/>
        </w:rPr>
        <w:t>SFTA + FMEA 一体化 · 多 Agent 协同 · 全链路追溯</w:t>
      </w:r>
    </w:p>
    <w:p>
      <w:pPr>
        <w:pStyle w:val="12"/>
      </w:pPr>
    </w:p>
    <w:p>
      <w:pPr>
        <w:pStyle w:val="12"/>
      </w:pPr>
      <w:r>
        <w:rPr>
          <w:b/>
          <w:sz w:val="22"/>
        </w:rPr>
        <w:t>一、业务痛点</w:t>
      </w:r>
    </w:p>
    <w:p>
      <w:pPr>
        <w:pStyle w:val="12"/>
      </w:pPr>
      <w:r>
        <w:rPr>
          <w:sz w:val="22"/>
        </w:rPr>
        <w:t>高安全等级嵌入式软件研制中，软件安全性分析是强制要求的核心环节，却长期面临工作量暴增、复合人才稀缺、专用工具缺失、标准落地困难等多重挑战。主要痛点如下：</w:t>
      </w:r>
    </w:p>
    <w:p>
      <w:pPr>
        <w:pStyle w:val="12"/>
        <w:ind w:left="283"/>
      </w:pPr>
      <w:r>
        <w:rPr>
          <w:b/>
          <w:sz w:val="22"/>
        </w:rPr>
        <w:t>软件规模大，分析工作量爆炸：</w:t>
      </w:r>
      <w:r>
        <w:rPr>
          <w:sz w:val="22"/>
        </w:rPr>
        <w:t>代码量从千/万行走向十万行级，SRS/SDD 动辄上百页；故障树/FMEA 单型号常需数人月起步，难以按期交付。</w:t>
      </w:r>
    </w:p>
    <w:p>
      <w:pPr>
        <w:pStyle w:val="12"/>
        <w:ind w:left="283"/>
      </w:pPr>
      <w:r>
        <w:rPr>
          <w:b/>
          <w:sz w:val="22"/>
        </w:rPr>
        <w:t>方法门槛高，复合人才稀缺：</w:t>
      </w:r>
      <w:r>
        <w:rPr>
          <w:sz w:val="22"/>
        </w:rPr>
        <w:t>SFTA/SFMEA/HAZOP/CCA/WCA 等方法门槛高，既懂软件又懂安全的复合人才极为稀缺，靠师徒制传承难以规模化。</w:t>
      </w:r>
    </w:p>
    <w:p>
      <w:pPr>
        <w:pStyle w:val="12"/>
        <w:ind w:left="283"/>
      </w:pPr>
      <w:r>
        <w:rPr>
          <w:b/>
          <w:sz w:val="22"/>
        </w:rPr>
        <w:t>缺少软件级专用工具：</w:t>
      </w:r>
      <w:r>
        <w:rPr>
          <w:sz w:val="22"/>
        </w:rPr>
        <w:t>现有安全分析工具多面向硬件/系统级，软件失效模式库、传播规则、概率数据空白；故障树绘制与 FMEA 填表全靠人工拼装。</w:t>
      </w:r>
    </w:p>
    <w:p>
      <w:pPr>
        <w:pStyle w:val="12"/>
        <w:ind w:left="283"/>
      </w:pPr>
      <w:r>
        <w:rPr>
          <w:b/>
          <w:sz w:val="22"/>
        </w:rPr>
        <w:t>与研制过程脱节，标准落地难：</w:t>
      </w:r>
      <w:r>
        <w:rPr>
          <w:sz w:val="22"/>
        </w:rPr>
        <w:t>GJB 5000B / GJB 8114 / CMS-RW-08 都要求开展软件安全性分析，但分析结论难与代码实现关联，常流于交差文档、缺乏工程证据。</w:t>
      </w:r>
    </w:p>
    <w:p>
      <w:pPr>
        <w:pStyle w:val="12"/>
      </w:pPr>
    </w:p>
    <w:p>
      <w:pPr>
        <w:pStyle w:val="12"/>
      </w:pPr>
      <w:r>
        <w:rPr>
          <w:b/>
          <w:sz w:val="22"/>
        </w:rPr>
        <w:t>二、产品介绍</w:t>
      </w:r>
    </w:p>
    <w:p>
      <w:pPr>
        <w:pStyle w:val="12"/>
      </w:pPr>
      <w:r>
        <w:rPr>
          <w:sz w:val="22"/>
        </w:rPr>
        <w:t>SafeMatrix 软件安全性分析智能体面向航空航天、军工装备等高安全等级嵌入式软件研制场景，以大模型推理为核心，融合多 Agent 协同、软件失效模式库与 FTA-FMEA 交叉校验等技术，贯穿需求分析（条目化提取+需求级故障树）→ 设计实现（SDD/源码扩展模块级故障树+FMEA 评分）→ 交叉审查（FTA 叶节点 ↔ FMEA 条目，识别覆盖缺口）→ 交付归档（一键导出 Word 报告）全流程，将软件安全性分析从人工密集型活动转变为可追溯、可复核、可沉淀的工程化闭环。具备以下四项核心能力：</w:t>
      </w:r>
    </w:p>
    <w:p>
      <w:pPr>
        <w:pStyle w:val="12"/>
        <w:ind w:left="283"/>
      </w:pPr>
      <w:r>
        <w:rPr>
          <w:b/>
          <w:sz w:val="22"/>
        </w:rPr>
        <w:t>端到端自动化：</w:t>
      </w:r>
      <w:r>
        <w:rPr>
          <w:sz w:val="22"/>
        </w:rPr>
        <w:t>以 SRS/SDD 为输入，9 个专职智能体协同推演，自动产出需求阶段故障树与设计阶段 FMEA 表，分析周期从数人月压缩至数人天。</w:t>
      </w:r>
    </w:p>
    <w:p>
      <w:pPr>
        <w:pStyle w:val="12"/>
        <w:ind w:left="283"/>
      </w:pPr>
      <w:r>
        <w:rPr>
          <w:b/>
          <w:sz w:val="22"/>
        </w:rPr>
        <w:t>多智能体协作架构：</w:t>
      </w:r>
      <w:r>
        <w:rPr>
          <w:sz w:val="22"/>
        </w:rPr>
        <w:t>需求分析师、FTA 工程师、FMEA 评估员、审查员等专职 Agent 分工协作，采用结构化摘要与原文片段精准流转机制，支持多版本协同与版本 Diff 对比。</w:t>
      </w:r>
    </w:p>
    <w:p>
      <w:pPr>
        <w:pStyle w:val="12"/>
        <w:ind w:left="283"/>
      </w:pPr>
      <w:r>
        <w:rPr>
          <w:b/>
          <w:sz w:val="22"/>
        </w:rPr>
        <w:t>分析-审查-改进闭环：</w:t>
      </w:r>
      <w:r>
        <w:rPr>
          <w:sz w:val="22"/>
        </w:rPr>
        <w:t>双 Agent 互查 + 人工审查面板 + 改进 Diff 分组接受，将大模型不确定性转化为可控工程动作，结合 FTA 叶节点 ↔ FMEA 条目交叉校验，确保分析覆盖无盲区。</w:t>
      </w:r>
    </w:p>
    <w:p>
      <w:pPr>
        <w:pStyle w:val="12"/>
        <w:ind w:left="283"/>
      </w:pPr>
      <w:r>
        <w:rPr>
          <w:b/>
          <w:sz w:val="22"/>
        </w:rPr>
        <w:t>全链路追溯与报告导出：</w:t>
      </w:r>
      <w:r>
        <w:rPr>
          <w:sz w:val="22"/>
        </w:rPr>
        <w:t>原文逐字溯源、FTA↔FMEA 互验、全程版本快照可审计回放，一键导出符合 DO-178C / GJB 规范的 Word 报告（含故障树可视化画布与 RPN 色标矩阵）。</w:t>
      </w:r>
    </w:p>
    <w:p>
      <w:pPr>
        <w:pStyle w:val="12"/>
      </w:pPr>
    </w:p>
    <w:p>
      <w:pPr>
        <w:pStyle w:val="12"/>
      </w:pPr>
      <w:r>
        <w:rPr>
          <w:b/>
          <w:sz w:val="22"/>
        </w:rPr>
        <w:t>三、应用效益</w:t>
      </w:r>
    </w:p>
    <w:p>
      <w:pPr>
        <w:pStyle w:val="12"/>
      </w:pPr>
      <w:r>
        <w:rPr>
          <w:sz w:val="22"/>
        </w:rPr>
        <w:t>通过 SafeMatrix 的应用，软件安全性分析从数人月的人工密集型任务压缩为数人天的自动化交付，从依赖少数安全专家转向工程师可独立操作的智能服务，从散落文档变为全程可追溯的工程证据链。主要应用效益如下：</w:t>
      </w:r>
    </w:p>
    <w:p>
      <w:pPr>
        <w:pStyle w:val="12"/>
        <w:ind w:left="283"/>
      </w:pPr>
      <w:r>
        <w:rPr>
          <w:b/>
          <w:sz w:val="22"/>
        </w:rPr>
        <w:t>分析效率大幅提升：</w:t>
      </w:r>
      <w:r>
        <w:rPr>
          <w:sz w:val="22"/>
        </w:rPr>
        <w:t>SRS/SDD 一次录入自动驱动需求→设计→FMEA 三阶段，分析周期从数人月起步压缩到数人天交付，效率提升超 10 倍。</w:t>
      </w:r>
    </w:p>
    <w:p>
      <w:pPr>
        <w:pStyle w:val="12"/>
        <w:ind w:left="283"/>
      </w:pPr>
      <w:r>
        <w:rPr>
          <w:b/>
          <w:sz w:val="22"/>
        </w:rPr>
        <w:t>三个 100% 关键指标：</w:t>
      </w:r>
      <w:r>
        <w:rPr>
          <w:sz w:val="22"/>
        </w:rPr>
        <w:t>故障树生成完整率 100%（覆盖全部安全性需求/危险事件）、故障树生成有效率 100%（FTA 叶节点均有 FMEA 条目对应）、FMEA 高风险识别率 100%（高 RPN≥200 条目均有 FTA 路径关联），关键风险零遗漏。</w:t>
      </w:r>
    </w:p>
    <w:p>
      <w:pPr>
        <w:pStyle w:val="12"/>
        <w:ind w:left="283"/>
      </w:pPr>
      <w:r>
        <w:rPr>
          <w:b/>
          <w:sz w:val="22"/>
        </w:rPr>
        <w:t>降低门槛，沉淀可复用知识：</w:t>
      </w:r>
      <w:r>
        <w:rPr>
          <w:sz w:val="22"/>
        </w:rPr>
        <w:t>工程师无需是安全领域专家即可完成高质量分析，软件失效模式知识库持续沉淀复用，告别师徒制传承困境，新型号项目自动复用历史经验。</w:t>
      </w:r>
    </w:p>
    <w:p>
      <w:pPr>
        <w:pStyle w:val="12"/>
        <w:ind w:left="283"/>
      </w:pPr>
      <w:r>
        <w:rPr>
          <w:b/>
          <w:sz w:val="22"/>
        </w:rPr>
        <w:t>标准化交付，支撑合规审查：</w:t>
      </w:r>
      <w:r>
        <w:rPr>
          <w:sz w:val="22"/>
        </w:rPr>
        <w:t>输出符合 DO-178C / GJB 5000B / GJB 8114 / CMS-RW-08 规范要求的标准化报告，安全分析结论可追溯至源文档；本地运行、数据不出域，兼容国产服务器与国产 LLM。</w:t>
      </w:r>
    </w:p>
    <w:p>
      <w:r>
        <w:br w:type="page"/>
      </w:r>
    </w:p>
    <w:p>
      <w:pPr/>
      <w:r>
        <w:rPr>
          <w:b/>
          <w:color w:val="1F4E79"/>
          <w:sz w:val="44"/>
        </w:rPr>
        <w:t xml:space="preserve">SmartInsight  </w:t>
      </w:r>
      <w:r>
        <w:rPr>
          <w:b/>
          <w:color w:val="1F4E79"/>
          <w:sz w:val="44"/>
        </w:rPr>
        <w:t>代码走查智能体</w:t>
      </w:r>
    </w:p>
    <w:p>
      <w:pPr/>
      <w:r>
        <w:rPr>
          <w:color w:val="4472C4"/>
          <w:sz w:val="22"/>
        </w:rPr>
        <w:t>专家级走查能力 · 多 Agent 协同 · 型号经验沉淀复用</w:t>
      </w:r>
    </w:p>
    <w:p>
      <w:pPr>
        <w:pStyle w:val="12"/>
      </w:pPr>
    </w:p>
    <w:p>
      <w:pPr>
        <w:pStyle w:val="12"/>
      </w:pPr>
      <w:r>
        <w:rPr>
          <w:b/>
          <w:sz w:val="22"/>
        </w:rPr>
        <w:t>一、业务痛点</w:t>
      </w:r>
    </w:p>
    <w:p>
      <w:pPr>
        <w:pStyle w:val="12"/>
      </w:pPr>
      <w:r>
        <w:rPr>
          <w:sz w:val="22"/>
        </w:rPr>
        <w:t>当前高安全高可靠软件代码走查虽已具备一定规范与工具支撑，但仍面临工作量与专家供给之间的突出矛盾，经验沉淀与传承机制缺失，工具结果可用性低等问题，难以支撑全过程质量管控。主要痛点如下：</w:t>
      </w:r>
    </w:p>
    <w:p>
      <w:pPr>
        <w:pStyle w:val="12"/>
        <w:ind w:left="283"/>
      </w:pPr>
      <w:r>
        <w:rPr>
          <w:b/>
          <w:sz w:val="22"/>
        </w:rPr>
        <w:t>管理与决策：</w:t>
      </w:r>
      <w:r>
        <w:rPr>
          <w:sz w:val="22"/>
        </w:rPr>
        <w:t>走查过程质量状态不透明，整改闭环与风险难以管控，决策依据滞后且不完整。</w:t>
      </w:r>
    </w:p>
    <w:p>
      <w:pPr>
        <w:pStyle w:val="12"/>
        <w:ind w:left="283"/>
      </w:pPr>
      <w:r>
        <w:rPr>
          <w:b/>
          <w:sz w:val="22"/>
        </w:rPr>
        <w:t>成本与能力：</w:t>
      </w:r>
      <w:r>
        <w:rPr>
          <w:sz w:val="22"/>
        </w:rPr>
        <w:t>软件配置项多、文档代码量大，效率低；专家短缺，难以实现 100% 全量覆盖。</w:t>
      </w:r>
    </w:p>
    <w:p>
      <w:pPr>
        <w:pStyle w:val="12"/>
        <w:ind w:left="283"/>
      </w:pPr>
      <w:r>
        <w:rPr>
          <w:b/>
          <w:sz w:val="22"/>
        </w:rPr>
        <w:t>方法与工具：</w:t>
      </w:r>
      <w:r>
        <w:rPr>
          <w:sz w:val="22"/>
        </w:rPr>
        <w:t>人工走查一致性差、易疏漏；现有工具误报率高，成为质量保障的效率瓶颈。</w:t>
      </w:r>
    </w:p>
    <w:p>
      <w:pPr>
        <w:pStyle w:val="12"/>
      </w:pPr>
    </w:p>
    <w:p>
      <w:pPr>
        <w:pStyle w:val="12"/>
      </w:pPr>
      <w:r>
        <w:rPr>
          <w:b/>
          <w:sz w:val="22"/>
        </w:rPr>
        <w:t>二、产品介绍</w:t>
      </w:r>
    </w:p>
    <w:p>
      <w:pPr>
        <w:pStyle w:val="12"/>
      </w:pPr>
      <w:r>
        <w:rPr>
          <w:sz w:val="22"/>
        </w:rPr>
        <w:t>SmartInsight 代码走查智能体面向航空航天、军工装备等高安全等级嵌入式软件研制场景，以大模型语义理解为核心，融合多 Agent 协同、型号经验知识库与多工具结果归一等技术，将分散、重复、依赖经验的工作转变为可追溯、可复核、可沉淀的质量闭环，让"专家级走查能力"沉淀为可复用、可量产的智能体服务。具备以下五项核心能力：</w:t>
      </w:r>
    </w:p>
    <w:p>
      <w:pPr>
        <w:pStyle w:val="12"/>
        <w:ind w:left="283"/>
      </w:pPr>
      <w:r>
        <w:rPr>
          <w:b/>
          <w:sz w:val="22"/>
        </w:rPr>
        <w:t>需求确认：</w:t>
      </w:r>
      <w:r>
        <w:rPr>
          <w:sz w:val="22"/>
        </w:rPr>
        <w:t>基于多 Agent 协同将需求条款逐项映射至代码实现，自动识别遗漏、偏差与冗余，生成附定位证据的可追溯符合性报告，支持增量分析加速回归走查。</w:t>
      </w:r>
    </w:p>
    <w:p>
      <w:pPr>
        <w:pStyle w:val="12"/>
        <w:ind w:left="283"/>
      </w:pPr>
      <w:r>
        <w:rPr>
          <w:b/>
          <w:sz w:val="22"/>
        </w:rPr>
        <w:t>设计验证：</w:t>
      </w:r>
      <w:r>
        <w:rPr>
          <w:sz w:val="22"/>
        </w:rPr>
        <w:t>从架构、接口、逻辑、算法、约束等维度全面比对设计文档与代码实现，自动识别设计偏差，输出风险等级与改进建议。</w:t>
      </w:r>
    </w:p>
    <w:p>
      <w:pPr>
        <w:pStyle w:val="12"/>
        <w:ind w:left="283"/>
      </w:pPr>
      <w:r>
        <w:rPr>
          <w:b/>
          <w:sz w:val="22"/>
        </w:rPr>
        <w:t>故障校验：</w:t>
      </w:r>
      <w:r>
        <w:rPr>
          <w:sz w:val="22"/>
        </w:rPr>
        <w:t>基于型号研发多年沉淀形成中断冲突、共享变量并发、三模冗余保护、参数有效性等安全可靠性故障模式库，支持故障模式扩展并进行专项扫描，将专家经验转化为可自动执行的检查能力。</w:t>
      </w:r>
    </w:p>
    <w:p>
      <w:pPr>
        <w:pStyle w:val="12"/>
        <w:ind w:left="283"/>
      </w:pPr>
      <w:r>
        <w:rPr>
          <w:b/>
          <w:sz w:val="22"/>
        </w:rPr>
        <w:t>扫描智判：</w:t>
      </w:r>
      <w:r>
        <w:rPr>
          <w:sz w:val="22"/>
        </w:rPr>
        <w:t>支持主流静态分析工具（Coverity、CodeSonar、Fortify、SonarQube、C++Test、PolySpace、CppCheck、Clang-Tidy 等）代码扫描结果的导入和集成，建立问题归一化模型，智能识别误报、聚焦真实问题，并为每条真问题生成可落地的修复建议。</w:t>
      </w:r>
    </w:p>
    <w:p>
      <w:pPr>
        <w:pStyle w:val="12"/>
        <w:ind w:left="283"/>
      </w:pPr>
      <w:r>
        <w:rPr>
          <w:b/>
          <w:sz w:val="22"/>
        </w:rPr>
        <w:t>RepoMap 与报告导出：</w:t>
      </w:r>
      <w:r>
        <w:rPr>
          <w:sz w:val="22"/>
        </w:rPr>
        <w:t>自动生成代码仓结构地图（RepoMap），为 Agent 智能搜索提供全局导航，大幅提升多文件定位效率；支持 PPT/Word 格式走查报告一键导出，输出结论有据可查、可直接用于评审交付。</w:t>
      </w:r>
    </w:p>
    <w:p>
      <w:pPr>
        <w:pStyle w:val="12"/>
      </w:pPr>
    </w:p>
    <w:p>
      <w:pPr>
        <w:pStyle w:val="12"/>
      </w:pPr>
      <w:r>
        <w:rPr>
          <w:b/>
          <w:sz w:val="22"/>
        </w:rPr>
        <w:t>三、应用效益</w:t>
      </w:r>
    </w:p>
    <w:p>
      <w:pPr>
        <w:pStyle w:val="12"/>
      </w:pPr>
      <w:r>
        <w:rPr>
          <w:sz w:val="22"/>
        </w:rPr>
        <w:t>通过 SmartInsight 代码走查智能体的应用，软件代码走查从人工密集型活动转向智能服务，从专家单点经验依赖转向团队共享的可执行知识资产，从工具结果割裂转向多源统一研判，使走查环节从研发瓶颈变为近实时质量门。主要应用效益如下：</w:t>
      </w:r>
    </w:p>
    <w:p>
      <w:pPr>
        <w:pStyle w:val="12"/>
        <w:ind w:left="283"/>
      </w:pPr>
      <w:r>
        <w:rPr>
          <w:b/>
          <w:sz w:val="22"/>
        </w:rPr>
        <w:t>走查效率大幅跃升：</w:t>
      </w:r>
      <w:r>
        <w:rPr>
          <w:sz w:val="22"/>
        </w:rPr>
        <w:t>走查整体效率提升 20～80 倍，单条需求涉及条款确认由人工数十分钟压缩至数十秒，单条扫描问题研判由人工数分钟缩短至几秒自动执行。</w:t>
      </w:r>
    </w:p>
    <w:p>
      <w:pPr>
        <w:pStyle w:val="12"/>
        <w:ind w:left="283"/>
      </w:pPr>
      <w:r>
        <w:rPr>
          <w:b/>
          <w:sz w:val="22"/>
        </w:rPr>
        <w:t>质量覆盖全面提升：</w:t>
      </w:r>
      <w:r>
        <w:rPr>
          <w:sz w:val="22"/>
        </w:rPr>
        <w:t>需求条款、设计要点、故障模式实现全量覆盖，覆盖率可达 95% 以上，结论稳定可复现，彻底消除人为疏漏与标准不一的问题，人工需复核的问题条目大幅减少。</w:t>
      </w:r>
    </w:p>
    <w:p>
      <w:pPr>
        <w:pStyle w:val="12"/>
        <w:ind w:left="283"/>
      </w:pPr>
      <w:r>
        <w:rPr>
          <w:b/>
          <w:sz w:val="22"/>
        </w:rPr>
        <w:t>经验持续沉淀复用：</w:t>
      </w:r>
      <w:r>
        <w:rPr>
          <w:sz w:val="22"/>
        </w:rPr>
        <w:t>型号历史故障模式沉淀为团队共享经验库，新项目自动复用，不依赖个人经验传承，同一平台可跨多个型号项目统一赋能，走查能力持续迭代升级。</w:t>
      </w:r>
    </w:p>
    <w:p>
      <w:r>
        <w:br w:type="page"/>
      </w:r>
    </w:p>
    <w:p>
      <w:pPr/>
      <w:r>
        <w:rPr>
          <w:b/>
          <w:color w:val="1F4E79"/>
          <w:sz w:val="44"/>
        </w:rPr>
        <w:t xml:space="preserve">SmartUT  </w:t>
      </w:r>
      <w:r>
        <w:rPr>
          <w:b/>
          <w:color w:val="1F4E79"/>
          <w:sz w:val="44"/>
        </w:rPr>
        <w:t>单元测试代码生成智能体</w:t>
      </w:r>
    </w:p>
    <w:p>
      <w:pPr/>
      <w:r>
        <w:rPr>
          <w:color w:val="4472C4"/>
          <w:sz w:val="22"/>
        </w:rPr>
        <w:t>设计文档驱动 · 形式化规约 · 自动化闭环</w:t>
      </w:r>
    </w:p>
    <w:p>
      <w:pPr>
        <w:pStyle w:val="12"/>
      </w:pPr>
    </w:p>
    <w:p>
      <w:pPr>
        <w:pStyle w:val="12"/>
      </w:pPr>
      <w:r>
        <w:rPr>
          <w:b/>
          <w:sz w:val="22"/>
        </w:rPr>
        <w:t>一、业务痛点</w:t>
      </w:r>
    </w:p>
    <w:p>
      <w:pPr>
        <w:pStyle w:val="12"/>
      </w:pPr>
      <w:r>
        <w:rPr>
          <w:sz w:val="22"/>
        </w:rPr>
        <w:t>当前型号软件规模持续增长，单元测试面临日益突出的效率与质量矛盾。典型的大型软件代码量超过 10 万行，假设平均每个函数 200 行，则待测函数多达 500 个，测试工作繁重且重复。主要痛点如下：</w:t>
      </w:r>
    </w:p>
    <w:p>
      <w:pPr>
        <w:pStyle w:val="12"/>
        <w:ind w:left="283"/>
      </w:pPr>
      <w:r>
        <w:rPr>
          <w:b/>
          <w:sz w:val="22"/>
        </w:rPr>
        <w:t>测试工作量大：</w:t>
      </w:r>
      <w:r>
        <w:rPr>
          <w:sz w:val="22"/>
        </w:rPr>
        <w:t>待测单元数量庞大，测试用例编写、执行与维护的工作总量极为繁重，难以在有限周期内完成全量覆盖。</w:t>
      </w:r>
    </w:p>
    <w:p>
      <w:pPr>
        <w:pStyle w:val="12"/>
        <w:ind w:left="283"/>
      </w:pPr>
      <w:r>
        <w:rPr>
          <w:b/>
          <w:sz w:val="22"/>
        </w:rPr>
        <w:t>人力投入需求高：</w:t>
      </w:r>
      <w:r>
        <w:rPr>
          <w:sz w:val="22"/>
        </w:rPr>
        <w:t>单元测试须全面覆盖设计文档的功能与性能要求，且须保证测试代码自身正确。以每人每小时 2 个函数的编写速度估算，完成 500 个函数需要 125 人天，人力投入极大。</w:t>
      </w:r>
    </w:p>
    <w:p>
      <w:pPr>
        <w:pStyle w:val="12"/>
        <w:ind w:left="283"/>
      </w:pPr>
      <w:r>
        <w:rPr>
          <w:b/>
          <w:sz w:val="22"/>
        </w:rPr>
        <w:t>专业性要求高：</w:t>
      </w:r>
      <w:r>
        <w:rPr>
          <w:sz w:val="22"/>
        </w:rPr>
        <w:t>测试需满足语句、分支、MC/DC 等覆盖率要求，要求测试人员深入理解功能逻辑并精准设计用例，专业门槛高，培养周期长。</w:t>
      </w:r>
    </w:p>
    <w:p>
      <w:pPr>
        <w:pStyle w:val="12"/>
      </w:pPr>
    </w:p>
    <w:p>
      <w:pPr>
        <w:pStyle w:val="12"/>
      </w:pPr>
      <w:r>
        <w:rPr>
          <w:b/>
          <w:sz w:val="22"/>
        </w:rPr>
        <w:t>二、产品介绍</w:t>
      </w:r>
    </w:p>
    <w:p>
      <w:pPr>
        <w:pStyle w:val="12"/>
      </w:pPr>
      <w:r>
        <w:rPr>
          <w:sz w:val="22"/>
        </w:rPr>
        <w:t>SmartUT 单元测试代码生成智能体面向嵌入式软件研制场景，以被测代码的设计文档和源代码为输入，自动生成高覆盖度、高正确性的单元测试代码，大幅降低人工编写与审查的工作量。工具由三个核心智能体及形式化规约驱动的测试生成方法构成，支持与 C++TEST / GoogleTest 等主流单元测试框架集成。具备以下四项核心能力：</w:t>
      </w:r>
    </w:p>
    <w:p>
      <w:pPr>
        <w:pStyle w:val="12"/>
        <w:ind w:left="283"/>
      </w:pPr>
      <w:r>
        <w:rPr>
          <w:b/>
          <w:sz w:val="22"/>
        </w:rPr>
        <w:t>测试说明文档生成：</w:t>
      </w:r>
      <w:r>
        <w:rPr>
          <w:sz w:val="22"/>
        </w:rPr>
        <w:t>自动识别函数输入、输出、外部依赖及功能关系，进而划分等价类并设计测试用例的输入和预期输出，生成结构化的测试说明文档。</w:t>
      </w:r>
    </w:p>
    <w:p>
      <w:pPr>
        <w:pStyle w:val="12"/>
        <w:ind w:left="283"/>
      </w:pPr>
      <w:r>
        <w:rPr>
          <w:b/>
          <w:sz w:val="22"/>
        </w:rPr>
        <w:t>测试用例代码生成：</w:t>
      </w:r>
      <w:r>
        <w:rPr>
          <w:sz w:val="22"/>
        </w:rPr>
        <w:t>依据测试说明文档确定具体输入输出值，编写可执行测试代码及必要的 mock/wrap 代码，通过编译执行反馈持续修正，由智能体自主规划代码的编写、执行与完善。</w:t>
      </w:r>
    </w:p>
    <w:p>
      <w:pPr>
        <w:pStyle w:val="12"/>
        <w:ind w:left="283"/>
      </w:pPr>
      <w:r>
        <w:rPr>
          <w:b/>
          <w:sz w:val="22"/>
        </w:rPr>
        <w:t>测试代码审查：</w:t>
      </w:r>
      <w:r>
        <w:rPr>
          <w:sz w:val="22"/>
        </w:rPr>
        <w:t>检查测试用例是否完整覆盖功能条目及输出行为，生成审查意见反馈给生成智能体进行迭代修改，确保用例的正确性和完备性。</w:t>
      </w:r>
    </w:p>
    <w:p>
      <w:pPr>
        <w:pStyle w:val="12"/>
        <w:ind w:left="283"/>
      </w:pPr>
      <w:r>
        <w:rPr>
          <w:b/>
          <w:sz w:val="22"/>
        </w:rPr>
        <w:t>形式化规约驱动的测试生成：</w:t>
      </w:r>
      <w:r>
        <w:rPr>
          <w:sz w:val="22"/>
        </w:rPr>
        <w:t>先从设计文档提取形式化规约，精确描述输入约束与输出映射关系；再以规约为唯一依据，通过等价类和边界值分析自动产生测试用例，确保与设计预期严格对齐，从根本上保证正确性和完整性。</w:t>
      </w:r>
    </w:p>
    <w:p>
      <w:pPr>
        <w:pStyle w:val="12"/>
      </w:pPr>
    </w:p>
    <w:p>
      <w:pPr>
        <w:pStyle w:val="12"/>
      </w:pPr>
      <w:r>
        <w:rPr>
          <w:b/>
          <w:sz w:val="22"/>
        </w:rPr>
        <w:t>三、应用效益</w:t>
      </w:r>
    </w:p>
    <w:p>
      <w:pPr>
        <w:pStyle w:val="12"/>
      </w:pPr>
      <w:r>
        <w:rPr>
          <w:sz w:val="22"/>
        </w:rPr>
        <w:t>通过 SmartUT 的应用，单元测试从人工密集型任务转向智能自动化生成，从依赖经验的人工编写转向形式化规约驱动的精准生成，从单点执行走向多环节闭环迭代，显著缩短测试周期、提升覆盖质量。与传统人工方式相比，主要应用效益如下：</w:t>
      </w:r>
    </w:p>
    <w:p>
      <w:pPr>
        <w:pStyle w:val="12"/>
        <w:ind w:left="283"/>
      </w:pPr>
      <w:r>
        <w:rPr>
          <w:b/>
          <w:sz w:val="22"/>
        </w:rPr>
        <w:t>显著减少人力投入：</w:t>
      </w:r>
      <w:r>
        <w:rPr>
          <w:sz w:val="22"/>
        </w:rPr>
        <w:t>单函数人工介入查验时间约 10 分钟，相比传统 2 小时/函数，效率提升 10 倍以上；500 个函数的工作量可由 125 人天降至约 10 人天，有效释放测试人员精力。</w:t>
      </w:r>
    </w:p>
    <w:p>
      <w:pPr>
        <w:pStyle w:val="12"/>
        <w:ind w:left="283"/>
      </w:pPr>
      <w:r>
        <w:rPr>
          <w:b/>
          <w:sz w:val="22"/>
        </w:rPr>
        <w:t>提升测试质量：</w:t>
      </w:r>
      <w:r>
        <w:rPr>
          <w:sz w:val="22"/>
        </w:rPr>
        <w:t>大模型生成的用例能覆盖人工易忽略的边界条件和异常场景，形式化规约驱动与自动审查机制保障了用例的严格性和全面性，助力团队高效达成语句、分支、MC/DC 等覆盖率要求。</w:t>
      </w:r>
    </w:p>
    <w:p>
      <w:pPr>
        <w:pStyle w:val="12"/>
        <w:ind w:left="283"/>
      </w:pPr>
      <w:r>
        <w:rPr>
          <w:b/>
          <w:sz w:val="22"/>
        </w:rPr>
        <w:t>降低专业门槛：</w:t>
      </w:r>
      <w:r>
        <w:rPr>
          <w:sz w:val="22"/>
        </w:rPr>
        <w:t>普通工程师借助 SmartUT 即可完成高质量单元测试，降低对少数高专业经验测试人员的依赖，有效应对团队规模扩张与任务增长的双重压力。</w:t>
      </w:r>
    </w:p>
    <w:p>
      <w:r>
        <w:br w:type="page"/>
      </w:r>
    </w:p>
    <w:p>
      <w:pPr/>
      <w:r>
        <w:rPr>
          <w:b/>
          <w:color w:val="1F4E79"/>
          <w:sz w:val="44"/>
        </w:rPr>
        <w:t xml:space="preserve">SmartST  </w:t>
      </w:r>
      <w:r>
        <w:rPr>
          <w:b/>
          <w:color w:val="1F4E79"/>
          <w:sz w:val="44"/>
        </w:rPr>
        <w:t>软件配置项测试用例生成智能体</w:t>
      </w:r>
    </w:p>
    <w:p>
      <w:pPr/>
      <w:r>
        <w:rPr>
          <w:color w:val="4472C4"/>
          <w:sz w:val="22"/>
        </w:rPr>
        <w:t>需求驱动 · 智能生成 · 标准符合</w:t>
      </w:r>
    </w:p>
    <w:p>
      <w:pPr>
        <w:pStyle w:val="12"/>
      </w:pPr>
    </w:p>
    <w:p>
      <w:pPr>
        <w:pStyle w:val="12"/>
      </w:pPr>
      <w:r>
        <w:rPr>
          <w:b/>
          <w:sz w:val="22"/>
        </w:rPr>
        <w:t>一、业务痛点</w:t>
      </w:r>
    </w:p>
    <w:p>
      <w:pPr>
        <w:pStyle w:val="12"/>
      </w:pPr>
      <w:r>
        <w:rPr>
          <w:sz w:val="22"/>
        </w:rPr>
        <w:t>软件配置项测试是装备软件质量保障的关键环节，测试用例的质量与充分性直接决定研制成败。然而传统人工编写方式难以持续做好配置项测试，面临多重挑战。主要痛点如下：</w:t>
      </w:r>
    </w:p>
    <w:p>
      <w:pPr>
        <w:pStyle w:val="12"/>
        <w:ind w:left="283"/>
      </w:pPr>
      <w:r>
        <w:rPr>
          <w:b/>
          <w:sz w:val="22"/>
        </w:rPr>
        <w:t>测试充分性难保障：</w:t>
      </w:r>
      <w:r>
        <w:rPr>
          <w:sz w:val="22"/>
        </w:rPr>
        <w:t>人工编写依赖个人经验，边界值、异常分支与时序组合场景易遗漏，跨批次质量波动明显，测试有效性难以稳定保证。</w:t>
      </w:r>
    </w:p>
    <w:p>
      <w:pPr>
        <w:pStyle w:val="12"/>
        <w:ind w:left="283"/>
      </w:pPr>
      <w:r>
        <w:rPr>
          <w:b/>
          <w:sz w:val="22"/>
        </w:rPr>
        <w:t>覆盖率长期承压：</w:t>
      </w:r>
      <w:r>
        <w:rPr>
          <w:sz w:val="22"/>
        </w:rPr>
        <w:t>需求迭代快、影响范围广，人工做变更分析与回归补测成本高，覆盖率难以稳定维持，漏测风险持续积累。</w:t>
      </w:r>
    </w:p>
    <w:p>
      <w:pPr>
        <w:pStyle w:val="12"/>
        <w:ind w:left="283"/>
      </w:pPr>
      <w:r>
        <w:rPr>
          <w:b/>
          <w:sz w:val="22"/>
        </w:rPr>
        <w:t>门槛高且人力紧缺：</w:t>
      </w:r>
      <w:r>
        <w:rPr>
          <w:sz w:val="22"/>
        </w:rPr>
        <w:t>测试用例编写需懂业务、懂接口、懂方法论，培养周期长，团队扩编速度跟不上任务增长，形成持续性人力瓶颈。</w:t>
      </w:r>
    </w:p>
    <w:p>
      <w:pPr>
        <w:pStyle w:val="12"/>
      </w:pPr>
    </w:p>
    <w:p>
      <w:pPr>
        <w:pStyle w:val="12"/>
      </w:pPr>
      <w:r>
        <w:rPr>
          <w:b/>
          <w:sz w:val="22"/>
        </w:rPr>
        <w:t>二、产品介绍</w:t>
      </w:r>
    </w:p>
    <w:p>
      <w:pPr>
        <w:pStyle w:val="12"/>
      </w:pPr>
      <w:r>
        <w:rPr>
          <w:sz w:val="22"/>
        </w:rPr>
        <w:t>SmartST 软件配置项测试用例生成智能体面向航空航天、军工装备等高安全等级软件研制场景，以需求文档为驱动，融合等价类/边界值/状态迁移/异常处理等测试方法论，自动生成可追溯、可执行、可度量的标准化测试用例，建立"可复用、可追溯、可执行、可度量"的用例生成机制，替代一次性人工堆砌。具备以下四项核心能力：</w:t>
      </w:r>
    </w:p>
    <w:p>
      <w:pPr>
        <w:pStyle w:val="12"/>
        <w:ind w:left="283"/>
      </w:pPr>
      <w:r>
        <w:rPr>
          <w:b/>
          <w:sz w:val="22"/>
        </w:rPr>
        <w:t>需求理解：</w:t>
      </w:r>
      <w:r>
        <w:rPr>
          <w:sz w:val="22"/>
        </w:rPr>
        <w:t>自动抽取需求条目、章节锚点与关键信息，形成结构化需求池并保留来源追溯，支持增量重解析，需求变更后快速定向更新。</w:t>
      </w:r>
    </w:p>
    <w:p>
      <w:pPr>
        <w:pStyle w:val="12"/>
        <w:ind w:left="283"/>
      </w:pPr>
      <w:r>
        <w:rPr>
          <w:b/>
          <w:sz w:val="22"/>
        </w:rPr>
        <w:t>用例生成：</w:t>
      </w:r>
      <w:r>
        <w:rPr>
          <w:sz w:val="22"/>
        </w:rPr>
        <w:t>基于方法论驱动（等价类/边界值/状态迁移/异常处理）和依赖关系注入（前置约束透传至下游），支持一键批量生成与单需求定向再生成，面向问题项持续修正，缩短迭代周期。</w:t>
      </w:r>
    </w:p>
    <w:p>
      <w:pPr>
        <w:pStyle w:val="12"/>
        <w:ind w:left="283"/>
      </w:pPr>
      <w:r>
        <w:rPr>
          <w:b/>
          <w:sz w:val="22"/>
        </w:rPr>
        <w:t>用例质量控制：</w:t>
      </w:r>
      <w:r>
        <w:rPr>
          <w:sz w:val="22"/>
        </w:rPr>
        <w:t>围绕"步骤、输入、预期、判定逻辑"四要素标准化输出，统一口径降低风格漂移，质量门禁保障步骤可操作、输入可执行、判定可复核，提升评审与执行一致性。</w:t>
      </w:r>
    </w:p>
    <w:p>
      <w:pPr>
        <w:pStyle w:val="12"/>
        <w:ind w:left="283"/>
      </w:pPr>
      <w:r>
        <w:rPr>
          <w:b/>
          <w:sz w:val="22"/>
        </w:rPr>
        <w:t>覆盖统计与执行回填：</w:t>
      </w:r>
      <w:r>
        <w:rPr>
          <w:sz w:val="22"/>
        </w:rPr>
        <w:t>按需求类型与测试维度展示覆盖状态，识别未覆盖与薄弱场景，支撑管理决策；支持测试执行结果回填，实现需求—用例—执行—缺陷全链路追溯。</w:t>
      </w:r>
    </w:p>
    <w:p>
      <w:pPr>
        <w:pStyle w:val="12"/>
      </w:pPr>
    </w:p>
    <w:p>
      <w:pPr>
        <w:pStyle w:val="12"/>
      </w:pPr>
      <w:r>
        <w:rPr>
          <w:b/>
          <w:sz w:val="22"/>
        </w:rPr>
        <w:t>三、应用效益</w:t>
      </w:r>
    </w:p>
    <w:p>
      <w:pPr>
        <w:pStyle w:val="12"/>
      </w:pPr>
      <w:r>
        <w:rPr>
          <w:sz w:val="22"/>
        </w:rPr>
        <w:t>通过 SmartST 的应用，软件配置项测试从人工密集型的一次性堆砌转向需求驱动的智能化生成，从质量波动的个人经验依赖转向标准化的可复用知识资产，使测试用例生成环节从研制瓶颈变为可持续的质量支撑。主要应用效益如下：</w:t>
      </w:r>
    </w:p>
    <w:p>
      <w:pPr>
        <w:pStyle w:val="12"/>
        <w:ind w:left="283"/>
      </w:pPr>
      <w:r>
        <w:rPr>
          <w:b/>
          <w:sz w:val="22"/>
        </w:rPr>
        <w:t>效率显著提升：</w:t>
      </w:r>
      <w:r>
        <w:rPr>
          <w:sz w:val="22"/>
        </w:rPr>
        <w:t>首版测试用例从约 3 天压缩至约 2 小时，并支持需求变更后快速迭代，大幅缩短测试准备周期。</w:t>
      </w:r>
    </w:p>
    <w:p>
      <w:pPr>
        <w:pStyle w:val="12"/>
        <w:ind w:left="283"/>
      </w:pPr>
      <w:r>
        <w:rPr>
          <w:b/>
          <w:sz w:val="22"/>
        </w:rPr>
        <w:t>质量覆盖全面提升：</w:t>
      </w:r>
      <w:r>
        <w:rPr>
          <w:sz w:val="22"/>
        </w:rPr>
        <w:t>需求完整、约束充分时正常场景覆盖率可达 100%；依赖识别+规约约束有效减少漏测、错测与判据冲突，测试充分性显著增强。</w:t>
      </w:r>
    </w:p>
    <w:p>
      <w:pPr>
        <w:pStyle w:val="12"/>
        <w:ind w:left="283"/>
      </w:pPr>
      <w:r>
        <w:rPr>
          <w:b/>
          <w:sz w:val="22"/>
        </w:rPr>
        <w:t>管理效能提升：</w:t>
      </w:r>
      <w:r>
        <w:rPr>
          <w:sz w:val="22"/>
        </w:rPr>
        <w:t>降低对资深测试人员的单点依赖，提升团队协作与交付稳定性；覆盖统计可视化支撑管理决策，过程可追溯、可度量。</w:t>
      </w:r>
    </w:p>
    <w:p>
      <w:pPr>
        <w:pStyle w:val="12"/>
        <w:ind w:left="283"/>
      </w:pPr>
      <w:r>
        <w:rPr>
          <w:b/>
          <w:sz w:val="22"/>
        </w:rPr>
        <w:t>标准符合性：</w:t>
      </w:r>
      <w:r>
        <w:rPr>
          <w:sz w:val="22"/>
        </w:rPr>
        <w:t>支撑 GJB 2434《军用软件测试与评估通用要求》、CMS-RW-04《载人航天工程软件测试细则》、QJ 3027《航天型号软件测试规范》等标准要求，满足需求追溯、测试充分性、覆盖统计、过程留痕、问题闭环的合规要求。</w:t>
      </w:r>
    </w:p>
    <w:p>
      <w:r>
        <w:br w:type="page"/>
      </w:r>
    </w:p>
    <w:p>
      <w:pPr/>
      <w:r>
        <w:rPr>
          <w:b/>
          <w:color w:val="1F4E79"/>
          <w:sz w:val="44"/>
        </w:rPr>
        <w:t xml:space="preserve">SafeWise  </w:t>
      </w:r>
      <w:r>
        <w:rPr>
          <w:b/>
          <w:color w:val="1F4E79"/>
          <w:sz w:val="44"/>
        </w:rPr>
        <w:t>航天复杂系统安全性分析智能体</w:t>
      </w:r>
    </w:p>
    <w:p>
      <w:pPr/>
      <w:r>
        <w:rPr>
          <w:color w:val="4472C4"/>
          <w:sz w:val="22"/>
        </w:rPr>
        <w:t>STPA 系统安全分析 · 全生命周期覆盖 · AI 驱动自动推演</w:t>
      </w:r>
    </w:p>
    <w:p>
      <w:pPr>
        <w:pStyle w:val="12"/>
      </w:pPr>
    </w:p>
    <w:p>
      <w:pPr>
        <w:pStyle w:val="12"/>
      </w:pPr>
      <w:r>
        <w:rPr>
          <w:b/>
          <w:sz w:val="22"/>
        </w:rPr>
        <w:t>一、业务痛点</w:t>
      </w:r>
    </w:p>
    <w:p>
      <w:pPr>
        <w:pStyle w:val="12"/>
      </w:pPr>
      <w:r>
        <w:rPr>
          <w:sz w:val="22"/>
        </w:rPr>
        <w:t>航天装备系统高度复杂、软硬件强耦合，安全性分析依赖少数顶级专家，面临效率与覆盖度的双重瓶颈，难以支撑快速迭代研制节奏。主要痛点如下：</w:t>
      </w:r>
    </w:p>
    <w:p>
      <w:pPr>
        <w:pStyle w:val="12"/>
        <w:ind w:left="283"/>
      </w:pPr>
      <w:r>
        <w:rPr>
          <w:b/>
          <w:sz w:val="22"/>
        </w:rPr>
        <w:t>风险覆盖不全：</w:t>
      </w:r>
      <w:r>
        <w:rPr>
          <w:sz w:val="22"/>
        </w:rPr>
        <w:t>人工分析存在盲区，复杂交互路径难以穷举，危险场景易遗漏，软件时序、人机交互等"软风险"尤为突出。</w:t>
      </w:r>
    </w:p>
    <w:p>
      <w:pPr>
        <w:pStyle w:val="12"/>
        <w:ind w:left="283"/>
      </w:pPr>
      <w:r>
        <w:rPr>
          <w:b/>
          <w:sz w:val="22"/>
        </w:rPr>
        <w:t>效率低、周期长：</w:t>
      </w:r>
      <w:r>
        <w:rPr>
          <w:sz w:val="22"/>
        </w:rPr>
        <w:t>人工推演数周才能完成，跟不上装备研制快速迭代节奏，型号总师被迫压缩安全分析深度，质量保障被动应付。</w:t>
      </w:r>
    </w:p>
    <w:p>
      <w:pPr>
        <w:pStyle w:val="12"/>
        <w:ind w:left="283"/>
      </w:pPr>
      <w:r>
        <w:rPr>
          <w:b/>
          <w:sz w:val="22"/>
        </w:rPr>
        <w:t>专家依赖过高：</w:t>
      </w:r>
      <w:r>
        <w:rPr>
          <w:sz w:val="22"/>
        </w:rPr>
        <w:t>安全专家资源稀缺，经验难以标准化传承，人员流动导致分析质量大幅波动，知识流失风险高。</w:t>
      </w:r>
    </w:p>
    <w:p>
      <w:pPr>
        <w:pStyle w:val="12"/>
        <w:ind w:left="283"/>
      </w:pPr>
      <w:r>
        <w:rPr>
          <w:b/>
          <w:sz w:val="22"/>
        </w:rPr>
        <w:t>传统方法失效：</w:t>
      </w:r>
      <w:r>
        <w:rPr>
          <w:sz w:val="22"/>
        </w:rPr>
        <w:t>FTA/FMEA 等传统方法聚焦单点失效，无法有效应对软件动态逻辑、人机交互、多系统强耦合等新型复杂风险。</w:t>
      </w:r>
    </w:p>
    <w:p>
      <w:pPr>
        <w:pStyle w:val="12"/>
      </w:pPr>
    </w:p>
    <w:p>
      <w:pPr>
        <w:pStyle w:val="12"/>
      </w:pPr>
      <w:r>
        <w:rPr>
          <w:b/>
          <w:sz w:val="22"/>
        </w:rPr>
        <w:t>二、产品介绍</w:t>
      </w:r>
    </w:p>
    <w:p>
      <w:pPr>
        <w:pStyle w:val="12"/>
      </w:pPr>
      <w:r>
        <w:rPr>
          <w:sz w:val="22"/>
        </w:rPr>
        <w:t>SafeWise 航天复杂系统安全性分析智能体基于 STPA（系统理论过程分析）方法论，面向载人航天、运载火箭、卫星系统、军工装备等高安全领域，以多 Agent 三阶段流水线自动推演系统安全性，专注于硬件、软件、人员操作、环境之间的复杂交互分析，突破传统 FTA/FMEA 的单点失效局限，有效识别软件动态特性、时序依赖、人机协同等隐性"软风险"，服务于从型号总师到运维工程师的全链条团队。具备以下五项核心能力（覆盖研制全生命周期）：</w:t>
      </w:r>
    </w:p>
    <w:p>
      <w:pPr>
        <w:pStyle w:val="12"/>
        <w:ind w:left="283"/>
      </w:pPr>
      <w:r>
        <w:rPr>
          <w:b/>
          <w:sz w:val="22"/>
        </w:rPr>
        <w:t>概念/初步设计——识别危害，生成安全需求：</w:t>
      </w:r>
      <w:r>
        <w:rPr>
          <w:sz w:val="22"/>
        </w:rPr>
        <w:t>输入设计说明，自动识别损失、危害场景与安全约束，生成安全需求，让总师/项目经理在方案阶段就心里有底。</w:t>
      </w:r>
    </w:p>
    <w:p>
      <w:pPr>
        <w:pStyle w:val="12"/>
        <w:ind w:left="283"/>
      </w:pPr>
      <w:r>
        <w:rPr>
          <w:b/>
          <w:sz w:val="22"/>
        </w:rPr>
        <w:t>详细设计——控制结构分析，给出安全约束：</w:t>
      </w:r>
      <w:r>
        <w:rPr>
          <w:sz w:val="22"/>
        </w:rPr>
        <w:t>自动梳理控制结构图与不安全控制行为（UCA），指出哪些指令在什么情况下会出错，直接给出接口设计、冗余配置、人机交互的安全要求。</w:t>
      </w:r>
    </w:p>
    <w:p>
      <w:pPr>
        <w:pStyle w:val="12"/>
        <w:ind w:left="283"/>
      </w:pPr>
      <w:r>
        <w:rPr>
          <w:b/>
          <w:sz w:val="22"/>
        </w:rPr>
        <w:t>测试验证——致因分析，自动生成安全测试用例：</w:t>
      </w:r>
      <w:r>
        <w:rPr>
          <w:sz w:val="22"/>
        </w:rPr>
        <w:t>从事故链反向推导故障注入点，自动生成带判定准则的安全测试用例，不再靠经验猜测测试点，测试针对性大幅提升。</w:t>
      </w:r>
    </w:p>
    <w:p>
      <w:pPr>
        <w:pStyle w:val="12"/>
        <w:ind w:left="283"/>
      </w:pPr>
      <w:r>
        <w:rPr>
          <w:b/>
          <w:sz w:val="22"/>
        </w:rPr>
        <w:t>交付审计——全链路追溯，生成合规报告：</w:t>
      </w:r>
      <w:r>
        <w:rPr>
          <w:sz w:val="22"/>
        </w:rPr>
        <w:t>一键生成可视化合规报告，损失→危险→约束→需求→UCA→测试用例全程可追溯，支撑 GJB 900A 等标准规范要求，评审专家问到哪条都能溯源到底。</w:t>
      </w:r>
    </w:p>
    <w:p>
      <w:pPr>
        <w:pStyle w:val="12"/>
        <w:ind w:left="283"/>
      </w:pPr>
      <w:r>
        <w:rPr>
          <w:b/>
          <w:sz w:val="22"/>
        </w:rPr>
        <w:t>运行维护——持续更新知识库，识别新风险：</w:t>
      </w:r>
      <w:r>
        <w:rPr>
          <w:sz w:val="22"/>
        </w:rPr>
        <w:t>结合运行数据持续更新 STPA 安全知识库，识别新出现的交互风险，每次维护决策都有安全依据支撑，知识资产持续积累。</w:t>
      </w:r>
    </w:p>
    <w:p>
      <w:pPr>
        <w:pStyle w:val="12"/>
      </w:pPr>
    </w:p>
    <w:p>
      <w:pPr>
        <w:pStyle w:val="12"/>
      </w:pPr>
      <w:r>
        <w:rPr>
          <w:b/>
          <w:sz w:val="22"/>
        </w:rPr>
        <w:t>三、应用效益</w:t>
      </w:r>
    </w:p>
    <w:p>
      <w:pPr>
        <w:pStyle w:val="12"/>
      </w:pPr>
      <w:r>
        <w:rPr>
          <w:sz w:val="22"/>
        </w:rPr>
        <w:t>通过 SafeWise 的应用，航天系统安全性分析从数周人工推演压缩至数小时自动交付，从少数专家垄断转向普通工程师可操作的标准化流程，从文档孤岛变为全链路可追溯的工程证据体系。主要应用效益如下：</w:t>
      </w:r>
    </w:p>
    <w:p>
      <w:pPr>
        <w:pStyle w:val="12"/>
        <w:ind w:left="283"/>
      </w:pPr>
      <w:r>
        <w:rPr>
          <w:b/>
          <w:sz w:val="22"/>
        </w:rPr>
        <w:t>分析效率大幅提升：</w:t>
      </w:r>
      <w:r>
        <w:rPr>
          <w:sz w:val="22"/>
        </w:rPr>
        <w:t>分析周期从数周压缩至数小时，效率提升 10 倍以上，型号节点不再因安全分析而拖期。</w:t>
      </w:r>
    </w:p>
    <w:p>
      <w:pPr>
        <w:pStyle w:val="12"/>
        <w:ind w:left="283"/>
      </w:pPr>
      <w:r>
        <w:rPr>
          <w:b/>
          <w:sz w:val="22"/>
        </w:rPr>
        <w:t>风险覆盖无盲区：</w:t>
      </w:r>
      <w:r>
        <w:rPr>
          <w:sz w:val="22"/>
        </w:rPr>
        <w:t>基于 STPA 方法自动遍历全路径，100% 覆盖人工容易忽视的软件时序、人机交互、多系统耦合等隐性风险，消除分析盲区。</w:t>
      </w:r>
    </w:p>
    <w:p>
      <w:pPr>
        <w:pStyle w:val="12"/>
        <w:ind w:left="283"/>
      </w:pPr>
      <w:r>
        <w:rPr>
          <w:b/>
          <w:sz w:val="22"/>
        </w:rPr>
        <w:t>降低专家依赖，知识持续沉淀：</w:t>
      </w:r>
      <w:r>
        <w:rPr>
          <w:sz w:val="22"/>
        </w:rPr>
        <w:t>专家投入减少 5 倍，普通工程师按流程即可完成高质量分析；STPA 模板库与历史分析结果持续沉淀，换人不断档、知识不流失。</w:t>
      </w:r>
    </w:p>
    <w:p>
      <w:pPr>
        <w:pStyle w:val="12"/>
        <w:ind w:left="283"/>
      </w:pPr>
      <w:r>
        <w:rPr>
          <w:b/>
          <w:sz w:val="22"/>
        </w:rPr>
        <w:t>标准符合性，广泛适用：</w:t>
      </w:r>
      <w:r>
        <w:rPr>
          <w:sz w:val="22"/>
        </w:rPr>
        <w:t>支撑 GJB 900A《装备安全性工作通用要求》等标准规范；适用于载人航天、运载火箭、卫星系统、航空装备、武器系统、核电、轨道交通等高安全领域。</w:t>
      </w:r>
    </w:p>
    <w:sectPr>
      <w:headerReference r:id="rId18" w:type="first"/>
      <w:footerReference r:id="rId21" w:type="first"/>
      <w:headerReference r:id="rId16" w:type="default"/>
      <w:footerReference r:id="rId19" w:type="default"/>
      <w:headerReference r:id="rId17" w:type="even"/>
      <w:footerReference r:id="rId20" w:type="even"/>
      <w:pgSz w:w="11906" w:h="16838"/>
      <w:pgMar w:top="720" w:right="1080" w:bottom="72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0"/>
      </w:pBdr>
      <w:snapToGrid/>
      <w:spacing w:before="40" w:after="0" w:line="240" w:lineRule="auto"/>
      <w:ind w:left="0" w:right="0"/>
      <w:jc w:val="right"/>
    </w:pPr>
    <w:r>
      <w:rPr>
        <w:rFonts w:ascii="微软雅黑" w:hAnsi="微软雅黑" w:eastAsia="微软雅黑" w:cs="微软雅黑"/>
        <w:i w:val="0"/>
        <w:strike w:val="0"/>
        <w:color w:val="808080"/>
        <w:sz w:val="16"/>
        <w:u w:val="none"/>
      </w:rPr>
      <w:t xml:space="preserve">  |  SafetyMatrix|  2026.04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BFBFBF" w:sz="4" w:space="4"/>
      </w:pBdr>
      <w:jc w:val="center"/>
    </w:pPr>
    <w:r>
      <w:rPr>
        <w:rFonts w:ascii="微软雅黑" w:hAnsi="微软雅黑" w:eastAsia="微软雅黑" w:cs="微软雅黑"/>
        <w:color w:val="808080"/>
        <w:sz w:val="14"/>
        <w:szCs w:val="14"/>
      </w:rPr>
      <w:t>AI 赋能软件质量  |  让每一行代码都有据可查  |  © 2026 SmartInsight Team</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0"/>
      </w:pBdr>
      <w:snapToGrid/>
      <w:spacing w:before="0" w:after="0" w:line="240" w:lineRule="auto"/>
      <w:ind w:left="0" w:right="0"/>
      <w:jc w:val="center"/>
    </w:pPr>
    <w:r>
      <w:rPr>
        <w:rFonts w:ascii="微软雅黑" w:hAnsi="微软雅黑" w:eastAsia="微软雅黑" w:cs="微软雅黑"/>
        <w:i w:val="0"/>
        <w:strike w:val="0"/>
        <w:color w:val="808080"/>
        <w:sz w:val="14"/>
        <w:u w:val="none"/>
      </w:rPr>
      <w:t>AI 赋能航天安全  |  让每一个危险都有效避免  |  © 2026 SafetyWise Team</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lef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lef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1F4E79" w:sz="8" w:space="4"/>
      </w:pBdr>
      <w:tabs>
        <w:tab w:val="right" w:pos="9026"/>
      </w:tabs>
      <w:rPr>
        <w:rFonts w:hint="eastAsia" w:eastAsia="微软雅黑"/>
        <w:lang w:val="en-US" w:eastAsia="zh-CN"/>
      </w:rPr>
    </w:pPr>
    <w:r>
      <w:rPr>
        <w:rFonts w:ascii="微软雅黑" w:hAnsi="微软雅黑" w:eastAsia="微软雅黑" w:cs="微软雅黑"/>
        <w:color w:val="808080"/>
        <w:sz w:val="16"/>
        <w:szCs w:val="16"/>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1F4E79" w:sz="8" w:space="4"/>
      </w:pBdr>
      <w:tabs>
        <w:tab w:val="right" w:pos="9026"/>
      </w:tabs>
      <w:rPr>
        <w:rFonts w:hint="eastAsia" w:eastAsia="微软雅黑"/>
        <w:lang w:val="en-US" w:eastAsia="zh-CN"/>
      </w:rPr>
    </w:pPr>
    <w:r>
      <w:rPr>
        <w:rFonts w:hint="eastAsia" w:cs="微软雅黑"/>
        <w:b/>
        <w:bCs/>
        <w:color w:val="1F4E79"/>
        <w:sz w:val="18"/>
        <w:szCs w:val="18"/>
        <w:lang w:val="en-US" w:eastAsia="zh-CN"/>
      </w:rPr>
      <w:t>SafetyMatrix</w:t>
    </w:r>
    <w:r>
      <w:rPr>
        <w:rFonts w:ascii="微软雅黑" w:hAnsi="微软雅黑" w:eastAsia="微软雅黑" w:cs="微软雅黑"/>
        <w:color w:val="808080"/>
        <w:sz w:val="16"/>
        <w:szCs w:val="16"/>
      </w:rPr>
      <w:tab/>
    </w:r>
    <w:r>
      <w:rPr>
        <w:rFonts w:hint="eastAsia" w:cs="微软雅黑"/>
        <w:color w:val="808080"/>
        <w:sz w:val="16"/>
        <w:szCs w:val="16"/>
        <w:lang w:val="en-US" w:eastAsia="zh-CN"/>
      </w:rPr>
      <w:t>软件安全分析</w:t>
    </w:r>
    <w:r>
      <w:rPr>
        <w:rFonts w:ascii="微软雅黑" w:hAnsi="微软雅黑" w:eastAsia="微软雅黑" w:cs="微软雅黑"/>
        <w:color w:val="808080"/>
        <w:sz w:val="16"/>
        <w:szCs w:val="16"/>
      </w:rPr>
      <w:t>智能</w:t>
    </w:r>
    <w:r>
      <w:rPr>
        <w:rFonts w:hint="eastAsia" w:cs="微软雅黑"/>
        <w:color w:val="808080"/>
        <w:sz w:val="16"/>
        <w:szCs w:val="16"/>
        <w:lang w:val="en-US" w:eastAsia="zh-CN"/>
      </w:rPr>
      <w:t>体</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1F4E79" w:sz="8" w:space="4"/>
      </w:pBdr>
      <w:tabs>
        <w:tab w:val="right" w:pos="9026"/>
      </w:tabs>
      <w:rPr>
        <w:rFonts w:hint="eastAsia" w:eastAsia="微软雅黑"/>
        <w:lang w:val="en-US" w:eastAsia="zh-CN"/>
      </w:rPr>
    </w:pPr>
    <w:r>
      <w:rPr>
        <w:rFonts w:hint="eastAsia" w:cs="微软雅黑"/>
        <w:b/>
        <w:bCs/>
        <w:color w:val="1F4E79"/>
        <w:sz w:val="18"/>
        <w:szCs w:val="18"/>
        <w:lang w:val="en-US" w:eastAsia="zh-CN"/>
      </w:rPr>
      <w:t>SmartInsight</w:t>
    </w:r>
    <w:r>
      <w:rPr>
        <w:rFonts w:ascii="微软雅黑" w:hAnsi="微软雅黑" w:eastAsia="微软雅黑" w:cs="微软雅黑"/>
        <w:color w:val="808080"/>
        <w:sz w:val="16"/>
        <w:szCs w:val="16"/>
      </w:rPr>
      <w:tab/>
    </w:r>
    <w:r>
      <w:rPr>
        <w:rFonts w:ascii="微软雅黑" w:hAnsi="微软雅黑" w:eastAsia="微软雅黑" w:cs="微软雅黑"/>
        <w:color w:val="808080"/>
        <w:sz w:val="16"/>
        <w:szCs w:val="16"/>
      </w:rPr>
      <w:t>代码</w:t>
    </w:r>
    <w:r>
      <w:rPr>
        <w:rFonts w:hint="eastAsia" w:ascii="微软雅黑" w:hAnsi="微软雅黑" w:eastAsia="微软雅黑" w:cs="微软雅黑"/>
        <w:color w:val="808080"/>
        <w:sz w:val="16"/>
        <w:szCs w:val="16"/>
      </w:rPr>
      <w:t>走</w:t>
    </w:r>
    <w:r>
      <w:rPr>
        <w:rFonts w:hint="eastAsia" w:cs="微软雅黑"/>
        <w:color w:val="808080"/>
        <w:sz w:val="16"/>
        <w:szCs w:val="16"/>
        <w:lang w:val="en-US" w:eastAsia="zh-CN"/>
      </w:rPr>
      <w:t>查</w:t>
    </w:r>
    <w:r>
      <w:rPr>
        <w:rFonts w:ascii="微软雅黑" w:hAnsi="微软雅黑" w:eastAsia="微软雅黑" w:cs="微软雅黑"/>
        <w:color w:val="808080"/>
        <w:sz w:val="16"/>
        <w:szCs w:val="16"/>
      </w:rPr>
      <w:t>智能</w:t>
    </w:r>
    <w:r>
      <w:rPr>
        <w:rFonts w:hint="eastAsia" w:cs="微软雅黑"/>
        <w:color w:val="808080"/>
        <w:sz w:val="16"/>
        <w:szCs w:val="16"/>
        <w:lang w:val="en-US" w:eastAsia="zh-CN"/>
      </w:rPr>
      <w:t>体</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1F4E79" w:sz="8" w:space="4"/>
      </w:pBdr>
      <w:tabs>
        <w:tab w:val="right" w:pos="9026"/>
      </w:tabs>
      <w:rPr>
        <w:rFonts w:ascii="微软雅黑" w:hAnsi="微软雅黑" w:eastAsia="微软雅黑" w:cs="微软雅黑"/>
        <w:color w:val="808080"/>
        <w:sz w:val="16"/>
        <w:szCs w:val="16"/>
      </w:rPr>
    </w:pPr>
    <w:r>
      <w:rPr>
        <w:rFonts w:hint="eastAsia" w:cs="微软雅黑"/>
        <w:b/>
        <w:bCs/>
        <w:color w:val="1F4E79"/>
        <w:sz w:val="18"/>
        <w:szCs w:val="18"/>
        <w:lang w:val="en-US" w:eastAsia="zh-CN"/>
      </w:rPr>
      <w:t>SmartUT</w:t>
    </w:r>
    <w:r>
      <w:rPr>
        <w:rFonts w:hint="eastAsia"/>
      </w:rPr>
      <w:t xml:space="preserve"> </w:t>
    </w:r>
    <w:r>
      <w:rPr>
        <w:rFonts w:hint="eastAsia"/>
      </w:rPr>
      <w:tab/>
    </w:r>
    <w:r>
      <w:rPr>
        <w:rFonts w:hint="eastAsia"/>
      </w:rPr>
      <w:t xml:space="preserve">         </w:t>
    </w:r>
    <w:r>
      <w:rPr>
        <w:rFonts w:ascii="微软雅黑" w:hAnsi="微软雅黑" w:eastAsia="微软雅黑" w:cs="微软雅黑"/>
        <w:color w:val="808080"/>
        <w:sz w:val="16"/>
        <w:szCs w:val="16"/>
      </w:rPr>
      <w:t>单元测试代码生成智能体</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lef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1F4E79" w:sz="8" w:space="4"/>
      </w:pBdr>
      <w:tabs>
        <w:tab w:val="right" w:pos="9026"/>
      </w:tabs>
      <w:rPr>
        <w:rFonts w:hint="eastAsia" w:eastAsia="微软雅黑"/>
        <w:lang w:val="en-US" w:eastAsia="zh-CN"/>
      </w:rPr>
    </w:pPr>
    <w:r>
      <w:rPr>
        <w:rFonts w:hint="eastAsia" w:cs="微软雅黑"/>
        <w:b/>
        <w:bCs/>
        <w:color w:val="1F4E79"/>
        <w:sz w:val="18"/>
        <w:szCs w:val="18"/>
        <w:lang w:val="en-US" w:eastAsia="zh-CN"/>
      </w:rPr>
      <w:t>SmartST</w:t>
    </w:r>
    <w:r>
      <w:rPr>
        <w:rFonts w:ascii="微软雅黑" w:hAnsi="微软雅黑" w:eastAsia="微软雅黑" w:cs="微软雅黑"/>
        <w:strike/>
        <w:color w:val="808080"/>
        <w:sz w:val="16"/>
        <w:szCs w:val="16"/>
      </w:rPr>
      <w:tab/>
    </w:r>
    <w:r>
      <w:rPr>
        <w:rFonts w:hint="eastAsia" w:cs="微软雅黑"/>
        <w:color w:val="808080"/>
        <w:sz w:val="16"/>
        <w:szCs w:val="16"/>
        <w:lang w:val="en-US" w:eastAsia="zh-CN"/>
      </w:rPr>
      <w:t>系统测试</w:t>
    </w:r>
    <w:r>
      <w:rPr>
        <w:rFonts w:ascii="微软雅黑" w:hAnsi="微软雅黑" w:eastAsia="微软雅黑" w:cs="微软雅黑"/>
        <w:color w:val="808080"/>
        <w:sz w:val="16"/>
        <w:szCs w:val="16"/>
      </w:rPr>
      <w:t>智能</w:t>
    </w:r>
    <w:r>
      <w:rPr>
        <w:rFonts w:hint="eastAsia" w:cs="微软雅黑"/>
        <w:color w:val="808080"/>
        <w:sz w:val="16"/>
        <w:szCs w:val="16"/>
        <w:lang w:val="en-US" w:eastAsia="zh-CN"/>
      </w:rPr>
      <w:t>体</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left"/>
    </w:pPr>
    <w:r>
      <w:rPr>
        <w:rFonts w:hint="eastAsia"/>
      </w:rPr>
      <w:t>SafetyWise                                                                                                                                      系统安全分析智能体</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rsids>
    <w:rsidRoot w:val="00000000"/>
    <w:rsid w:val="01572C99"/>
    <w:rsid w:val="04BA77B2"/>
    <w:rsid w:val="071F2E29"/>
    <w:rsid w:val="0C6F1FE5"/>
    <w:rsid w:val="10D4446D"/>
    <w:rsid w:val="14B62AB7"/>
    <w:rsid w:val="15027278"/>
    <w:rsid w:val="15A44410"/>
    <w:rsid w:val="163D479F"/>
    <w:rsid w:val="1D065ED7"/>
    <w:rsid w:val="1F7B1734"/>
    <w:rsid w:val="1FEC0C8F"/>
    <w:rsid w:val="21DB5D37"/>
    <w:rsid w:val="23277354"/>
    <w:rsid w:val="25BC1581"/>
    <w:rsid w:val="2C227E92"/>
    <w:rsid w:val="2DB216ED"/>
    <w:rsid w:val="2EE155E4"/>
    <w:rsid w:val="2F1156C3"/>
    <w:rsid w:val="30887719"/>
    <w:rsid w:val="30A14CB5"/>
    <w:rsid w:val="320A38B3"/>
    <w:rsid w:val="35567D64"/>
    <w:rsid w:val="378826AF"/>
    <w:rsid w:val="3D042809"/>
    <w:rsid w:val="42A706A9"/>
    <w:rsid w:val="451A3F70"/>
    <w:rsid w:val="481E1230"/>
    <w:rsid w:val="52950364"/>
    <w:rsid w:val="59AF6F50"/>
    <w:rsid w:val="5ABF5F70"/>
    <w:rsid w:val="635323E3"/>
    <w:rsid w:val="691079C5"/>
    <w:rsid w:val="6C54286F"/>
    <w:rsid w:val="6D1B668A"/>
    <w:rsid w:val="6D5063AB"/>
    <w:rsid w:val="71E05943"/>
    <w:rsid w:val="75A1344A"/>
    <w:rsid w:val="79573D7F"/>
    <w:rsid w:val="7D6C7B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color w:val="333333"/>
      <w:sz w:val="18"/>
      <w:szCs w:val="18"/>
    </w:rPr>
  </w:style>
  <w:style w:type="paragraph" w:styleId="2">
    <w:name w:val="heading 1"/>
    <w:next w:val="1"/>
    <w:qFormat/>
    <w:uiPriority w:val="0"/>
    <w:rPr>
      <w:rFonts w:ascii="微软雅黑" w:hAnsi="微软雅黑" w:eastAsia="微软雅黑" w:cs="微软雅黑"/>
      <w:color w:val="2E74B5"/>
      <w:sz w:val="32"/>
      <w:szCs w:val="32"/>
    </w:rPr>
  </w:style>
  <w:style w:type="paragraph" w:styleId="3">
    <w:name w:val="heading 2"/>
    <w:next w:val="1"/>
    <w:qFormat/>
    <w:uiPriority w:val="0"/>
    <w:rPr>
      <w:rFonts w:ascii="微软雅黑" w:hAnsi="微软雅黑" w:eastAsia="微软雅黑" w:cs="微软雅黑"/>
      <w:color w:val="2E74B5"/>
      <w:sz w:val="26"/>
      <w:szCs w:val="26"/>
    </w:rPr>
  </w:style>
  <w:style w:type="paragraph" w:styleId="4">
    <w:name w:val="heading 3"/>
    <w:next w:val="1"/>
    <w:qFormat/>
    <w:uiPriority w:val="0"/>
    <w:rPr>
      <w:rFonts w:ascii="微软雅黑" w:hAnsi="微软雅黑" w:eastAsia="微软雅黑" w:cs="微软雅黑"/>
      <w:color w:val="1F4D78"/>
      <w:sz w:val="24"/>
      <w:szCs w:val="24"/>
    </w:rPr>
  </w:style>
  <w:style w:type="paragraph" w:styleId="5">
    <w:name w:val="heading 4"/>
    <w:next w:val="1"/>
    <w:qFormat/>
    <w:uiPriority w:val="0"/>
    <w:rPr>
      <w:rFonts w:ascii="微软雅黑" w:hAnsi="微软雅黑" w:eastAsia="微软雅黑" w:cs="微软雅黑"/>
      <w:i/>
      <w:iCs/>
      <w:color w:val="2E74B5"/>
      <w:sz w:val="18"/>
      <w:szCs w:val="18"/>
    </w:rPr>
  </w:style>
  <w:style w:type="paragraph" w:styleId="6">
    <w:name w:val="heading 5"/>
    <w:next w:val="1"/>
    <w:qFormat/>
    <w:uiPriority w:val="0"/>
    <w:rPr>
      <w:rFonts w:ascii="微软雅黑" w:hAnsi="微软雅黑" w:eastAsia="微软雅黑" w:cs="微软雅黑"/>
      <w:color w:val="2E74B5"/>
      <w:sz w:val="18"/>
      <w:szCs w:val="18"/>
    </w:rPr>
  </w:style>
  <w:style w:type="paragraph" w:styleId="7">
    <w:name w:val="heading 6"/>
    <w:next w:val="1"/>
    <w:qFormat/>
    <w:uiPriority w:val="0"/>
    <w:rPr>
      <w:rFonts w:ascii="微软雅黑" w:hAnsi="微软雅黑" w:eastAsia="微软雅黑" w:cs="微软雅黑"/>
      <w:color w:val="1F4D78"/>
      <w:sz w:val="18"/>
      <w:szCs w:val="18"/>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8">
    <w:name w:val="endnote text"/>
    <w:link w:val="23"/>
    <w:semiHidden/>
    <w:unhideWhenUsed/>
    <w:qFormat/>
    <w:uiPriority w:val="99"/>
    <w:pPr>
      <w:spacing w:after="0" w:line="240" w:lineRule="auto"/>
    </w:pPr>
    <w:rPr>
      <w:rFonts w:ascii="微软雅黑" w:hAnsi="微软雅黑" w:eastAsia="微软雅黑" w:cs="微软雅黑"/>
      <w:color w:val="333333"/>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link w:val="22"/>
    <w:semiHidden/>
    <w:unhideWhenUsed/>
    <w:qFormat/>
    <w:uiPriority w:val="99"/>
    <w:pPr>
      <w:spacing w:after="0" w:line="240" w:lineRule="auto"/>
    </w:pPr>
    <w:rPr>
      <w:rFonts w:ascii="微软雅黑" w:hAnsi="微软雅黑" w:eastAsia="微软雅黑" w:cs="微软雅黑"/>
      <w:color w:val="333333"/>
      <w:sz w:val="20"/>
      <w:szCs w:val="20"/>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paragraph" w:styleId="13">
    <w:name w:val="Title"/>
    <w:qFormat/>
    <w:uiPriority w:val="0"/>
    <w:rPr>
      <w:rFonts w:ascii="微软雅黑" w:hAnsi="微软雅黑" w:eastAsia="微软雅黑" w:cs="微软雅黑"/>
      <w:color w:val="333333"/>
      <w:sz w:val="56"/>
      <w:szCs w:val="56"/>
    </w:rPr>
  </w:style>
  <w:style w:type="table" w:styleId="15">
    <w:name w:val="Table Grid"/>
    <w:basedOn w:val="14"/>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7">
    <w:name w:val="Strong"/>
    <w:basedOn w:val="16"/>
    <w:qFormat/>
    <w:uiPriority w:val="0"/>
    <w:rPr>
      <w:b/>
    </w:rPr>
  </w:style>
  <w:style w:type="character" w:styleId="18">
    <w:name w:val="endnote reference"/>
    <w:semiHidden/>
    <w:unhideWhenUsed/>
    <w:qFormat/>
    <w:uiPriority w:val="99"/>
    <w:rPr>
      <w:vertAlign w:val="superscript"/>
    </w:rPr>
  </w:style>
  <w:style w:type="character" w:styleId="19">
    <w:name w:val="Hyperlink"/>
    <w:unhideWhenUsed/>
    <w:qFormat/>
    <w:uiPriority w:val="99"/>
    <w:rPr>
      <w:color w:val="0563C1"/>
      <w:u w:val="single"/>
    </w:rPr>
  </w:style>
  <w:style w:type="character" w:styleId="20">
    <w:name w:val="footnote reference"/>
    <w:semiHidden/>
    <w:unhideWhenUsed/>
    <w:qFormat/>
    <w:uiPriority w:val="99"/>
    <w:rPr>
      <w:vertAlign w:val="superscript"/>
    </w:rPr>
  </w:style>
  <w:style w:type="paragraph" w:styleId="21">
    <w:name w:val="List Paragraph"/>
    <w:qFormat/>
    <w:uiPriority w:val="0"/>
    <w:rPr>
      <w:rFonts w:ascii="微软雅黑" w:hAnsi="微软雅黑" w:eastAsia="微软雅黑" w:cs="微软雅黑"/>
      <w:color w:val="333333"/>
      <w:sz w:val="18"/>
      <w:szCs w:val="18"/>
    </w:rPr>
  </w:style>
  <w:style w:type="character" w:customStyle="1" w:styleId="22">
    <w:name w:val="Footnote Text Char"/>
    <w:link w:val="11"/>
    <w:semiHidden/>
    <w:unhideWhenUsed/>
    <w:qFormat/>
    <w:uiPriority w:val="99"/>
    <w:rPr>
      <w:sz w:val="20"/>
      <w:szCs w:val="20"/>
    </w:rPr>
  </w:style>
  <w:style w:type="character" w:customStyle="1" w:styleId="23">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theme" Target="theme/theme1.xml"/><Relationship Id="rId21" Type="http://schemas.openxmlformats.org/officeDocument/2006/relationships/footer" Target="footer7.xml"/><Relationship Id="rId20" Type="http://schemas.openxmlformats.org/officeDocument/2006/relationships/footer" Target="footer6.xml"/><Relationship Id="rId2" Type="http://schemas.openxmlformats.org/officeDocument/2006/relationships/settings" Target="settings.xml"/><Relationship Id="rId19" Type="http://schemas.openxmlformats.org/officeDocument/2006/relationships/footer" Target="footer5.xml"/><Relationship Id="rId18" Type="http://schemas.openxmlformats.org/officeDocument/2006/relationships/header" Target="header12.xml"/><Relationship Id="rId17" Type="http://schemas.openxmlformats.org/officeDocument/2006/relationships/header" Target="header11.xml"/><Relationship Id="rId16" Type="http://schemas.openxmlformats.org/officeDocument/2006/relationships/header" Target="header10.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1</TotalTime>
  <ScaleCrop>false</ScaleCrop>
  <LinksUpToDate>false</LinksUpToDate>
  <Application>WPS Office_11.8.0.16981_F1E327BC-269C-435d-A152-05C5408002CA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2026-04-30T10:31:00Z</dcterms:created>
  <dc:creator>DELL</dc:creator>
  <cp:lastModifiedBy>朱海涛</cp:lastModifiedBy>
  <dcterms:modified xsi:type="dcterms:W3CDTF">2026-04-30T02:34:46Z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2052-11.8.0.16981</vt:lpwstr>
  </property>
  <property fmtid="{D5CDD505-2E9C-101B-9397-08002B2CF9AE}" pid="3" name="ICV">
    <vt:lpwstr>B788C48994B14616A43A5930954ED989</vt:lpwstr>
  </property>
</Properties>
</file>