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t>SafetyMatrix 技术方案概要（公开）</w:t>
      </w:r>
    </w:p>
    <w:p>
      <w:r>
        <w:t>定位：面向软件需求与设计阶段的安全分析场景，帮助团队围绕风险链路开展更细致的软件层分析，覆盖四项核心环节：</w:t>
      </w:r>
    </w:p>
    <w:p>
      <w:r>
        <w:t>• 需求阶段故障树分析</w:t>
      </w:r>
    </w:p>
    <w:p>
      <w:r>
        <w:t>• 设计阶段故障树细化</w:t>
      </w:r>
    </w:p>
    <w:p>
      <w:r>
        <w:t>• 失效模式与影响分析</w:t>
      </w:r>
    </w:p>
    <w:p>
      <w:r>
        <w:t>• 风险评估与成果交付</w:t>
      </w:r>
    </w:p>
    <w:p>
      <w:r>
        <w:t>行业现状与发展趋势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2381"/>
            <w:vAlign w:val="center"/>
          </w:tcPr>
          <w:p>
            <w:r>
              <w:t>业务环节</w:t>
            </w:r>
          </w:p>
        </w:tc>
        <w:tc>
          <w:tcPr>
            <w:tcW w:type="dxa" w:w="6690"/>
            <w:vAlign w:val="center"/>
          </w:tcPr>
          <w:p>
            <w:r>
              <w:t>当前支撑重点</w:t>
            </w:r>
          </w:p>
        </w:tc>
      </w:tr>
      <w:tr>
        <w:tc>
          <w:tcPr>
            <w:tcW w:type="dxa" w:w="2381"/>
            <w:vAlign w:val="center"/>
          </w:tcPr>
          <w:p>
            <w:r>
              <w:t>平台形态</w:t>
            </w:r>
          </w:p>
        </w:tc>
        <w:tc>
          <w:tcPr>
            <w:tcW w:type="dxa" w:w="6690"/>
            <w:vAlign w:val="center"/>
          </w:tcPr>
          <w:p>
            <w:r>
              <w:t>围绕软件安全分析提供项目化作业、过程展示和结果复核能力。</w:t>
            </w:r>
          </w:p>
        </w:tc>
      </w:tr>
      <w:tr>
        <w:tc>
          <w:tcPr>
            <w:tcW w:type="dxa" w:w="2381"/>
            <w:vAlign w:val="center"/>
          </w:tcPr>
          <w:p>
            <w:r>
              <w:t>分析主线</w:t>
            </w:r>
          </w:p>
        </w:tc>
        <w:tc>
          <w:tcPr>
            <w:tcW w:type="dxa" w:w="6690"/>
            <w:vAlign w:val="center"/>
          </w:tcPr>
          <w:p>
            <w:r>
              <w:t>覆盖需求识别、设计细化、失效分析和风险排序四个环节。</w:t>
            </w:r>
          </w:p>
        </w:tc>
      </w:tr>
      <w:tr>
        <w:tc>
          <w:tcPr>
            <w:tcW w:type="dxa" w:w="2381"/>
            <w:vAlign w:val="center"/>
          </w:tcPr>
          <w:p>
            <w:r>
              <w:t>可视呈现</w:t>
            </w:r>
          </w:p>
        </w:tc>
        <w:tc>
          <w:tcPr>
            <w:tcW w:type="dxa" w:w="6690"/>
            <w:vAlign w:val="center"/>
          </w:tcPr>
          <w:p>
            <w:r>
              <w:t>突出风险链路、重点节点和结果对比，便于评审沟通。</w:t>
            </w:r>
          </w:p>
        </w:tc>
      </w:tr>
      <w:tr>
        <w:tc>
          <w:tcPr>
            <w:tcW w:type="dxa" w:w="2381"/>
            <w:vAlign w:val="center"/>
          </w:tcPr>
          <w:p>
            <w:r>
              <w:t>知识沉淀</w:t>
            </w:r>
          </w:p>
        </w:tc>
        <w:tc>
          <w:tcPr>
            <w:tcW w:type="dxa" w:w="6690"/>
            <w:vAlign w:val="center"/>
          </w:tcPr>
          <w:p>
            <w:r>
              <w:t>沉淀典型失效模式、评分规则和历史案例，支持复用。</w:t>
            </w:r>
          </w:p>
        </w:tc>
      </w:tr>
      <w:tr>
        <w:tc>
          <w:tcPr>
            <w:tcW w:type="dxa" w:w="2381"/>
            <w:vAlign w:val="center"/>
          </w:tcPr>
          <w:p>
            <w:r>
              <w:t>过程管控</w:t>
            </w:r>
          </w:p>
        </w:tc>
        <w:tc>
          <w:tcPr>
            <w:tcW w:type="dxa" w:w="6690"/>
            <w:vAlign w:val="center"/>
          </w:tcPr>
          <w:p>
            <w:r>
              <w:t>保留版本差异、评审意见和整改状态，形成闭环。</w:t>
            </w:r>
          </w:p>
        </w:tc>
      </w:tr>
      <w:tr>
        <w:tc>
          <w:tcPr>
            <w:tcW w:type="dxa" w:w="2381"/>
            <w:vAlign w:val="center"/>
          </w:tcPr>
          <w:p>
            <w:r>
              <w:t>部署方式</w:t>
            </w:r>
          </w:p>
        </w:tc>
        <w:tc>
          <w:tcPr>
            <w:tcW w:type="dxa" w:w="6690"/>
            <w:vAlign w:val="center"/>
          </w:tcPr>
          <w:p>
            <w:r>
              <w:t>支持本地化部署和受控环境运行，适配高安全业务。</w:t>
            </w:r>
          </w:p>
        </w:tc>
      </w:tr>
      <w:tr>
        <w:tc>
          <w:tcPr>
            <w:tcW w:type="dxa" w:w="2381"/>
            <w:vAlign w:val="center"/>
          </w:tcPr>
          <w:p>
            <w:r>
              <w:t>演进重点</w:t>
            </w:r>
          </w:p>
        </w:tc>
        <w:tc>
          <w:tcPr>
            <w:tcW w:type="dxa" w:w="6690"/>
            <w:vAlign w:val="center"/>
          </w:tcPr>
          <w:p>
            <w:r>
              <w:t>增强增量分析、风险复盘和跨项目对照能力。</w:t>
            </w:r>
          </w:p>
        </w:tc>
      </w:tr>
    </w:tbl>
    <w:p>
      <w:r>
        <w:t>四项核心环节的重点与演进方向</w:t>
      </w:r>
    </w:p>
    <w:p>
      <w:r>
        <w:t>需求阶段故障树分析</w:t>
      </w:r>
    </w:p>
    <w:p>
      <w:r>
        <w:t>当前做法：围绕软件需求先识别高风险事件和主要风险链路，在设计展开前形成第一版分析骨架，帮助团队尽早看见重点风险。</w:t>
      </w:r>
    </w:p>
    <w:p>
      <w:r>
        <w:t>业务现状：</w:t>
      </w:r>
    </w:p>
    <w:p>
      <w:r>
        <w:t>• 软件功能越来越复杂，需求阶段就需要尽早识别关键风险。</w:t>
      </w:r>
    </w:p>
    <w:p>
      <w:r>
        <w:t>• 需求文档常偏业务表达，转成可分析的风险语言并不容易。</w:t>
      </w:r>
    </w:p>
    <w:p>
      <w:r>
        <w:t>• 越早发现高风险项，后续设计和整改成本越低。</w:t>
      </w:r>
    </w:p>
    <w:p>
      <w:r>
        <w:t>发展趋势：</w:t>
      </w:r>
    </w:p>
    <w:p>
      <w:r>
        <w:t>• 风险识别将持续前移，成为需求评审的重要组成部分。</w:t>
      </w:r>
    </w:p>
    <w:p>
      <w:r>
        <w:t>• 顶层风险模板和行业经验复用会越来越重要。</w:t>
      </w:r>
    </w:p>
    <w:p>
      <w:r>
        <w:t>设计阶段故障树细化</w:t>
      </w:r>
    </w:p>
    <w:p>
      <w:r>
        <w:t>当前做法：在设计资料逐步明确后，对风险链路继续细化，把模块关系、接口影响和控制逻辑进一步落实到设计层面。</w:t>
      </w:r>
    </w:p>
    <w:p>
      <w:r>
        <w:t>业务现状：</w:t>
      </w:r>
    </w:p>
    <w:p>
      <w:r>
        <w:t>• 设计资料颗粒度不一，分析深度难统一。</w:t>
      </w:r>
    </w:p>
    <w:p>
      <w:r>
        <w:t>• 模块和接口关系复杂，手工展开容易遗漏或重复。</w:t>
      </w:r>
    </w:p>
    <w:p>
      <w:r>
        <w:t>• 设计频繁调整后，已有分析结果往往难以快速跟进。</w:t>
      </w:r>
    </w:p>
    <w:p>
      <w:r>
        <w:t>发展趋势：</w:t>
      </w:r>
    </w:p>
    <w:p>
      <w:r>
        <w:t>• 增量分析和版本对比会成为日常能力。</w:t>
      </w:r>
    </w:p>
    <w:p>
      <w:r>
        <w:t>• 图形展示会更强调与设计结构的联动表达。</w:t>
      </w:r>
    </w:p>
    <w:p>
      <w:r>
        <w:t>失效模式与影响分析</w:t>
      </w:r>
    </w:p>
    <w:p>
      <w:r>
        <w:t>当前做法：结合风险链路和历史经验，从模块、功能和接口多个角度梳理失效模式、影响范围和改进建议，帮助团队聚焦真正高风险的问题。</w:t>
      </w:r>
    </w:p>
    <w:p>
      <w:r>
        <w:t>业务现状：</w:t>
      </w:r>
    </w:p>
    <w:p>
      <w:r>
        <w:t>• 失效模式描述和风险评分口径容易不统一。</w:t>
      </w:r>
    </w:p>
    <w:p>
      <w:r>
        <w:t>• 高风险项筛选仍较依赖资深人员经验判断。</w:t>
      </w:r>
    </w:p>
    <w:p>
      <w:r>
        <w:t>• 历史案例复用不足，跨项目对照效率不高。</w:t>
      </w:r>
    </w:p>
    <w:p>
      <w:r>
        <w:t>发展趋势：</w:t>
      </w:r>
    </w:p>
    <w:p>
      <w:r>
        <w:t>• 经验库和规则库会逐步成为评分一致性的基础。</w:t>
      </w:r>
    </w:p>
    <w:p>
      <w:r>
        <w:t>• 风险排序将更多服务于设计整改和评审决策。</w:t>
      </w:r>
    </w:p>
    <w:p>
      <w:r>
        <w:t>风险评估与成果交付</w:t>
      </w:r>
    </w:p>
    <w:p>
      <w:r>
        <w:t>当前做法：把故障树、失效模式、风险等级和关键建议集中呈现，形成便于汇报、复盘和交付的分析成果。</w:t>
      </w:r>
    </w:p>
    <w:p>
      <w:r>
        <w:t>业务现状：</w:t>
      </w:r>
    </w:p>
    <w:p>
      <w:r>
        <w:t>• 风险图形、分析结论和整改建议常分散在多个材料中。</w:t>
      </w:r>
    </w:p>
    <w:p>
      <w:r>
        <w:t>• 评审既关注重点风险，也关注处理状态和版本变化。</w:t>
      </w:r>
    </w:p>
    <w:p>
      <w:r>
        <w:t>• 项目管理越来越重视复盘依据和持续更新能力。</w:t>
      </w:r>
    </w:p>
    <w:p>
      <w:r>
        <w:t>发展趋势：</w:t>
      </w:r>
    </w:p>
    <w:p>
      <w:r>
        <w:t>• 统一看板、版本差异和报告联动会更受重视。</w:t>
      </w:r>
    </w:p>
    <w:p>
      <w:r>
        <w:t>• 交付会从“交一份报告”转向“交一套可持续更新的风险台账”。</w:t>
      </w:r>
    </w:p>
    <w:sectPr w:rsidR="00FC693F" w:rsidRPr="0006063C" w:rsidSect="00034616">
      <w:pgSz w:w="12240" w:h="15840"/>
      <w:pgMar w:top="1417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