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SmartUT 技术方案概要（公开）</w:t>
      </w:r>
    </w:p>
    <w:p>
      <w:r>
        <w:t>定位：面向软件单元测试场景，帮助团队围绕函数和模块快速形成可执行的单元测试成果，覆盖四项核心环节：</w:t>
      </w:r>
    </w:p>
    <w:p>
      <w:r>
        <w:t>• 测试说明生成</w:t>
      </w:r>
    </w:p>
    <w:p>
      <w:r>
        <w:t>• 测试用例代码生成</w:t>
      </w:r>
    </w:p>
    <w:p>
      <w:r>
        <w:t>• 编译执行与结果回收</w:t>
      </w:r>
    </w:p>
    <w:p>
      <w:r>
        <w:t>• 测试审查与完善</w:t>
      </w:r>
    </w:p>
    <w:p>
      <w:r>
        <w:t>行业现状与发展趋势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81"/>
            <w:vAlign w:val="center"/>
          </w:tcPr>
          <w:p>
            <w:r>
              <w:t>业务环节</w:t>
            </w:r>
          </w:p>
        </w:tc>
        <w:tc>
          <w:tcPr>
            <w:tcW w:type="dxa" w:w="6690"/>
            <w:vAlign w:val="center"/>
          </w:tcPr>
          <w:p>
            <w:r>
              <w:t>当前支撑重点</w:t>
            </w:r>
          </w:p>
        </w:tc>
      </w:tr>
      <w:tr>
        <w:tc>
          <w:tcPr>
            <w:tcW w:type="dxa" w:w="2381"/>
            <w:vAlign w:val="center"/>
          </w:tcPr>
          <w:p>
            <w:r>
              <w:t>平台形态</w:t>
            </w:r>
          </w:p>
        </w:tc>
        <w:tc>
          <w:tcPr>
            <w:tcW w:type="dxa" w:w="6690"/>
            <w:vAlign w:val="center"/>
          </w:tcPr>
          <w:p>
            <w:r>
              <w:t>围绕函数级测试任务提供说明生成、代码生成和结果查看能力。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生成主线</w:t>
            </w:r>
          </w:p>
        </w:tc>
        <w:tc>
          <w:tcPr>
            <w:tcW w:type="dxa" w:w="6690"/>
            <w:vAlign w:val="center"/>
          </w:tcPr>
          <w:p>
            <w:r>
              <w:t>坚持“先说明、后生成、再执行、再复核”的单元测试闭环。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过程管控</w:t>
            </w:r>
          </w:p>
        </w:tc>
        <w:tc>
          <w:tcPr>
            <w:tcW w:type="dxa" w:w="6690"/>
            <w:vAlign w:val="center"/>
          </w:tcPr>
          <w:p>
            <w:r>
              <w:t>保留生成结果、执行反馈和审查意见，便于持续改进。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结果输出</w:t>
            </w:r>
          </w:p>
        </w:tc>
        <w:tc>
          <w:tcPr>
            <w:tcW w:type="dxa" w:w="6690"/>
            <w:vAlign w:val="center"/>
          </w:tcPr>
          <w:p>
            <w:r>
              <w:t>支持形成测试说明、测试代码和阶段性分析结论。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部署方式</w:t>
            </w:r>
          </w:p>
        </w:tc>
        <w:tc>
          <w:tcPr>
            <w:tcW w:type="dxa" w:w="6690"/>
            <w:vAlign w:val="center"/>
          </w:tcPr>
          <w:p>
            <w:r>
              <w:t>适合在受控工程环境中本地运行和逐步试点。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演进重点</w:t>
            </w:r>
          </w:p>
        </w:tc>
        <w:tc>
          <w:tcPr>
            <w:tcW w:type="dxa" w:w="6690"/>
            <w:vAlign w:val="center"/>
          </w:tcPr>
          <w:p>
            <w:r>
              <w:t>增强工程适配、自动调试和覆盖率联动分析能力。</w:t>
            </w:r>
          </w:p>
        </w:tc>
      </w:tr>
    </w:tbl>
    <w:p>
      <w:r>
        <w:t>四项核心环节的重点与演进方向</w:t>
      </w:r>
    </w:p>
    <w:p>
      <w:r>
        <w:t>测试说明生成</w:t>
      </w:r>
    </w:p>
    <w:p>
      <w:r>
        <w:t>当前做法：根据设计文档和源代码整理待测函数的输入、输出、外部依赖和边界情况，先形成测试说明，再进入后续用例编写。</w:t>
      </w:r>
    </w:p>
    <w:p>
      <w:r>
        <w:t>业务现状：</w:t>
      </w:r>
    </w:p>
    <w:p>
      <w:r>
        <w:t>• 嵌入式函数数量多，人工逐个梳理成本高。</w:t>
      </w:r>
    </w:p>
    <w:p>
      <w:r>
        <w:t>• 设计文档、代码和接口依赖经常存在理解落差。</w:t>
      </w:r>
    </w:p>
    <w:p>
      <w:r>
        <w:t>• 高覆盖率目标让边界和异常场景设计更具挑战。</w:t>
      </w:r>
    </w:p>
    <w:p>
      <w:r>
        <w:t>发展趋势：</w:t>
      </w:r>
    </w:p>
    <w:p>
      <w:r>
        <w:t>• 测试说明前置化会成为单元测试提效的关键抓手。</w:t>
      </w:r>
    </w:p>
    <w:p>
      <w:r>
        <w:t>• 设计、代码和历史缺陷联合理解能力会越来越受重视。</w:t>
      </w:r>
    </w:p>
    <w:p>
      <w:r>
        <w:t>测试用例代码生成</w:t>
      </w:r>
    </w:p>
    <w:p>
      <w:r>
        <w:t>当前做法：在测试说明基础上自动补齐输入值、预期输出和依赖处理方式，形成更接近可执行状态的测试代码草稿。</w:t>
      </w:r>
    </w:p>
    <w:p>
      <w:r>
        <w:t>业务现状：</w:t>
      </w:r>
    </w:p>
    <w:p>
      <w:r>
        <w:t>• 单元测试编写仍是大量重复劳动，人工投入高。</w:t>
      </w:r>
    </w:p>
    <w:p>
      <w:r>
        <w:t>• 外部依赖、桩替换和异常路径处理复杂，容易卡住。</w:t>
      </w:r>
    </w:p>
    <w:p>
      <w:r>
        <w:t>• 不同工程规范和测试框架差异大，通用生成难度高。</w:t>
      </w:r>
    </w:p>
    <w:p>
      <w:r>
        <w:t>发展趋势：</w:t>
      </w:r>
    </w:p>
    <w:p>
      <w:r>
        <w:t>• 从“生成草稿”走向“生成即可运行”的要求会越来越高。</w:t>
      </w:r>
    </w:p>
    <w:p>
      <w:r>
        <w:t>• 与现有工程规范自动对齐将成为落地重点。</w:t>
      </w:r>
    </w:p>
    <w:p>
      <w:r>
        <w:t>编译执行与结果回收</w:t>
      </w:r>
    </w:p>
    <w:p>
      <w:r>
        <w:t>当前做法：把生成的测试代码放回工程环境中编译和执行，回收报错、失败原因和覆盖情况，为后续修订提供依据。</w:t>
      </w:r>
    </w:p>
    <w:p>
      <w:r>
        <w:t>业务现状：</w:t>
      </w:r>
    </w:p>
    <w:p>
      <w:r>
        <w:t>• 真正耗时的不只是写用例，还有调通环境和定位失败原因。</w:t>
      </w:r>
    </w:p>
    <w:p>
      <w:r>
        <w:t>• 覆盖率要求持续提高，团队更关注真实有效覆盖。</w:t>
      </w:r>
    </w:p>
    <w:p>
      <w:r>
        <w:t>• 工程环境差异使跨项目推广难度较大。</w:t>
      </w:r>
    </w:p>
    <w:p>
      <w:r>
        <w:t>发展趋势：</w:t>
      </w:r>
    </w:p>
    <w:p>
      <w:r>
        <w:t>• 自动编译、自动回收问题和自动辅助定位会更受欢迎。</w:t>
      </w:r>
    </w:p>
    <w:p>
      <w:r>
        <w:t>• 覆盖率分析会更多与高风险函数识别联动。</w:t>
      </w:r>
    </w:p>
    <w:p>
      <w:r>
        <w:t>测试审查与完善</w:t>
      </w:r>
    </w:p>
    <w:p>
      <w:r>
        <w:t>当前做法：对生成结果进行二次审查，提醒遗漏检查项和潜在问题，帮助团队形成更稳妥的单元测试交付物。</w:t>
      </w:r>
    </w:p>
    <w:p>
      <w:r>
        <w:t>业务现状：</w:t>
      </w:r>
    </w:p>
    <w:p>
      <w:r>
        <w:t>• 用例跑通不等于测试充分，仍需要重点复核。</w:t>
      </w:r>
    </w:p>
    <w:p>
      <w:r>
        <w:t>• 专家审查资源有限，需要把精力放在高风险项。</w:t>
      </w:r>
    </w:p>
    <w:p>
      <w:r>
        <w:t>• 历史优秀用例和审查意见复用还不够充分。</w:t>
      </w:r>
    </w:p>
    <w:p>
      <w:r>
        <w:t>发展趋势：</w:t>
      </w:r>
    </w:p>
    <w:p>
      <w:r>
        <w:t>• 审查规则、经验库和生成闭环会持续融合。</w:t>
      </w:r>
    </w:p>
    <w:p>
      <w:r>
        <w:t>• 单元测试成果会逐步纳入更完整的质量追溯体系。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