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SafetyMatrix 技术方案概要（公开）</w:t>
      </w:r>
    </w:p>
    <w:p>
      <w:r>
        <w:rPr>
          <w:rFonts w:ascii="宋体" w:hAnsi="宋体" w:eastAsia="宋体"/>
          <w:b w:val="0"/>
          <w:sz w:val="22"/>
        </w:rPr>
        <w:t>定位：面向软件需求与设计阶段的安全分析场景，帮助团队围绕风险链路开展更细致的软件层分析，覆盖四项核心功能：</w:t>
      </w:r>
    </w:p>
    <w:p>
      <w:r>
        <w:rPr>
          <w:rFonts w:ascii="宋体" w:hAnsi="宋体" w:eastAsia="宋体"/>
          <w:b w:val="0"/>
          <w:sz w:val="22"/>
        </w:rPr>
        <w:t>• 需求阶段故障树分析</w:t>
      </w:r>
    </w:p>
    <w:p>
      <w:r>
        <w:rPr>
          <w:rFonts w:ascii="宋体" w:hAnsi="宋体" w:eastAsia="宋体"/>
          <w:b w:val="0"/>
          <w:sz w:val="22"/>
        </w:rPr>
        <w:t>• 设计阶段故障树分析</w:t>
      </w:r>
    </w:p>
    <w:p>
      <w:r>
        <w:rPr>
          <w:rFonts w:ascii="宋体" w:hAnsi="宋体" w:eastAsia="宋体"/>
          <w:b w:val="0"/>
          <w:sz w:val="22"/>
        </w:rPr>
        <w:t>• 软件失效模式与影响分析</w:t>
      </w:r>
    </w:p>
    <w:p>
      <w:r>
        <w:rPr>
          <w:rFonts w:ascii="宋体" w:hAnsi="宋体" w:eastAsia="宋体"/>
          <w:b w:val="0"/>
          <w:sz w:val="22"/>
        </w:rPr>
        <w:t>• 风险评估与分析报告输出</w:t>
      </w:r>
    </w:p>
    <w:p>
      <w:r>
        <w:rPr>
          <w:rFonts w:ascii="宋体" w:hAnsi="宋体" w:eastAsia="宋体"/>
          <w:b/>
          <w:sz w:val="26"/>
        </w:rPr>
        <w:t>整体技术栈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技术选型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软件前端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React + Vite，突出分析过程、树形结构和结果对比展示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软件后端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Node.js + Express，负责接口服务、项目数据管理和结果落库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分析引擎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以前后端协同的多智能体流程完成故障树和失效模式分析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大模型接入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 Claude 与兼容 OpenAI 的模型接口，按项目配置调用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知识与文档处理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文档解析、经验库检索与报告导出工具组合使用，支撑分析闭环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数据存储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PostgreSQL，保存项目、分析结果和版本对比信息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部署方式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 Docker Compose 方式部署，便于演示和项目交付</w:t>
            </w:r>
          </w:p>
        </w:tc>
      </w:tr>
    </w:tbl>
    <w:p>
      <w:r>
        <w:rPr>
          <w:rFonts w:ascii="宋体" w:hAnsi="宋体" w:eastAsia="宋体"/>
          <w:b/>
          <w:sz w:val="26"/>
        </w:rPr>
        <w:t>四大功能的核心难点与解决方案</w:t>
      </w:r>
    </w:p>
    <w:p>
      <w:r>
        <w:rPr>
          <w:rFonts w:ascii="宋体" w:hAnsi="宋体" w:eastAsia="宋体"/>
          <w:b/>
          <w:sz w:val="24"/>
        </w:rPr>
        <w:t>需求阶段故障树分析</w:t>
      </w:r>
    </w:p>
    <w:p>
      <w:r>
        <w:rPr>
          <w:rFonts w:ascii="宋体" w:hAnsi="宋体" w:eastAsia="宋体"/>
          <w:b/>
          <w:sz w:val="22"/>
        </w:rPr>
        <w:t>方案：</w:t>
      </w:r>
      <w:r>
        <w:rPr>
          <w:rFonts w:ascii="宋体" w:hAnsi="宋体" w:eastAsia="宋体"/>
          <w:b w:val="0"/>
          <w:sz w:val="22"/>
        </w:rPr>
        <w:t>从需求资料中提炼关键功能和高风险事件，先形成第一版故障树，让团队在设计展开前就能看到主要风险链路。</w:t>
      </w:r>
    </w:p>
    <w:p>
      <w:r>
        <w:rPr>
          <w:rFonts w:ascii="宋体" w:hAnsi="宋体" w:eastAsia="宋体"/>
          <w:b/>
          <w:sz w:val="22"/>
        </w:rPr>
        <w:t>难点：</w:t>
      </w:r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• 需求条目常常偏业务化，需要补足到可分析的风险表达。</w:t>
      </w:r>
    </w:p>
    <w:p>
      <w:r>
        <w:rPr>
          <w:rFonts w:ascii="宋体" w:hAnsi="宋体" w:eastAsia="宋体"/>
          <w:b w:val="0"/>
          <w:sz w:val="22"/>
        </w:rPr>
        <w:t>• 不同文档之间可能存在重复、冲突或表述不完整。</w:t>
      </w:r>
    </w:p>
    <w:p>
      <w:r>
        <w:rPr>
          <w:rFonts w:ascii="宋体" w:hAnsi="宋体" w:eastAsia="宋体"/>
          <w:b w:val="0"/>
          <w:sz w:val="22"/>
        </w:rPr>
        <w:t>• 故障树起点选得不准，会影响后续整棵树的质量。</w:t>
      </w:r>
    </w:p>
    <w:p>
      <w:r>
        <w:rPr>
          <w:rFonts w:ascii="宋体" w:hAnsi="宋体" w:eastAsia="宋体"/>
          <w:b/>
          <w:sz w:val="22"/>
        </w:rPr>
        <w:t>待攻关：</w:t>
      </w:r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• 提升需求条目去重和冲突识别能力。</w:t>
      </w:r>
    </w:p>
    <w:p>
      <w:r>
        <w:rPr>
          <w:rFonts w:ascii="宋体" w:hAnsi="宋体" w:eastAsia="宋体"/>
          <w:b w:val="0"/>
          <w:sz w:val="22"/>
        </w:rPr>
        <w:t>• 沉淀更多行业场景的顶事件模板。</w:t>
      </w:r>
    </w:p>
    <w:p>
      <w:r>
        <w:rPr>
          <w:rFonts w:ascii="宋体" w:hAnsi="宋体" w:eastAsia="宋体"/>
          <w:b/>
          <w:sz w:val="24"/>
        </w:rPr>
        <w:t>设计阶段故障树分析</w:t>
      </w:r>
    </w:p>
    <w:p>
      <w:r>
        <w:rPr>
          <w:rFonts w:ascii="宋体" w:hAnsi="宋体" w:eastAsia="宋体"/>
          <w:b/>
          <w:sz w:val="22"/>
        </w:rPr>
        <w:t>方案：</w:t>
      </w:r>
      <w:r>
        <w:rPr>
          <w:rFonts w:ascii="宋体" w:hAnsi="宋体" w:eastAsia="宋体"/>
          <w:b w:val="0"/>
          <w:sz w:val="22"/>
        </w:rPr>
        <w:t>在设计资料逐步明确后，对故障树进行细化和补全，把模块间关系、接口影响和控制逻辑进一步落到具体设计层面。</w:t>
      </w:r>
    </w:p>
    <w:p>
      <w:r>
        <w:rPr>
          <w:rFonts w:ascii="宋体" w:hAnsi="宋体" w:eastAsia="宋体"/>
          <w:b/>
          <w:sz w:val="22"/>
        </w:rPr>
        <w:t>难点：</w:t>
      </w:r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• 设计资料颗粒度不一，细化深度难统一。</w:t>
      </w:r>
    </w:p>
    <w:p>
      <w:r>
        <w:rPr>
          <w:rFonts w:ascii="宋体" w:hAnsi="宋体" w:eastAsia="宋体"/>
          <w:b w:val="0"/>
          <w:sz w:val="22"/>
        </w:rPr>
        <w:t>• 模块之间关联复杂，容易出现遗漏或重复展开。</w:t>
      </w:r>
    </w:p>
    <w:p>
      <w:r>
        <w:rPr>
          <w:rFonts w:ascii="宋体" w:hAnsi="宋体" w:eastAsia="宋体"/>
          <w:b w:val="0"/>
          <w:sz w:val="22"/>
        </w:rPr>
        <w:t>• 设计频繁调整时，已有分析结果需要高效跟进。</w:t>
      </w:r>
    </w:p>
    <w:p>
      <w:r>
        <w:rPr>
          <w:rFonts w:ascii="宋体" w:hAnsi="宋体" w:eastAsia="宋体"/>
          <w:b/>
          <w:sz w:val="22"/>
        </w:rPr>
        <w:t>待攻关：</w:t>
      </w:r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• 增强设计变更后的增量分析能力。</w:t>
      </w:r>
    </w:p>
    <w:p>
      <w:r>
        <w:rPr>
          <w:rFonts w:ascii="宋体" w:hAnsi="宋体" w:eastAsia="宋体"/>
          <w:b w:val="0"/>
          <w:sz w:val="22"/>
        </w:rPr>
        <w:t>• 让树结构展示和设计结构展示更加联动。</w:t>
      </w:r>
    </w:p>
    <w:p>
      <w:r>
        <w:rPr>
          <w:rFonts w:ascii="宋体" w:hAnsi="宋体" w:eastAsia="宋体"/>
          <w:b/>
          <w:sz w:val="24"/>
        </w:rPr>
        <w:t>软件失效模式与影响分析</w:t>
      </w:r>
    </w:p>
    <w:p>
      <w:r>
        <w:rPr>
          <w:rFonts w:ascii="宋体" w:hAnsi="宋体" w:eastAsia="宋体"/>
          <w:b/>
          <w:sz w:val="22"/>
        </w:rPr>
        <w:t>方案：</w:t>
      </w:r>
      <w:r>
        <w:rPr>
          <w:rFonts w:ascii="宋体" w:hAnsi="宋体" w:eastAsia="宋体"/>
          <w:b w:val="0"/>
          <w:sz w:val="22"/>
        </w:rPr>
        <w:t>结合故障树和经验库，从模块、功能和接口多个角度梳理失效模式、影响与改进建议，帮助团队聚焦真正高风险的问题。</w:t>
      </w:r>
    </w:p>
    <w:p>
      <w:r>
        <w:rPr>
          <w:rFonts w:ascii="宋体" w:hAnsi="宋体" w:eastAsia="宋体"/>
          <w:b/>
          <w:sz w:val="22"/>
        </w:rPr>
        <w:t>难点：</w:t>
      </w:r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• 失效模式描述如果不统一，结果难以横向比较。</w:t>
      </w:r>
    </w:p>
    <w:p>
      <w:r>
        <w:rPr>
          <w:rFonts w:ascii="宋体" w:hAnsi="宋体" w:eastAsia="宋体"/>
          <w:b w:val="0"/>
          <w:sz w:val="22"/>
        </w:rPr>
        <w:t>• 风险等级判断受项目背景影响较大，需要兼顾一致性与灵活性。</w:t>
      </w:r>
    </w:p>
    <w:p>
      <w:r>
        <w:rPr>
          <w:rFonts w:ascii="宋体" w:hAnsi="宋体" w:eastAsia="宋体"/>
          <w:b w:val="0"/>
          <w:sz w:val="22"/>
        </w:rPr>
        <w:t>• 人工经验很关键，但沉淀和复用往往不足。</w:t>
      </w:r>
    </w:p>
    <w:p>
      <w:r>
        <w:rPr>
          <w:rFonts w:ascii="宋体" w:hAnsi="宋体" w:eastAsia="宋体"/>
          <w:b/>
          <w:sz w:val="22"/>
        </w:rPr>
        <w:t>待攻关：</w:t>
      </w:r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• 完善失效模式经验库和评分规则。</w:t>
      </w:r>
    </w:p>
    <w:p>
      <w:r>
        <w:rPr>
          <w:rFonts w:ascii="宋体" w:hAnsi="宋体" w:eastAsia="宋体"/>
          <w:b w:val="0"/>
          <w:sz w:val="22"/>
        </w:rPr>
        <w:t>• 增强对历史项目结果的复用与对照。</w:t>
      </w:r>
    </w:p>
    <w:p>
      <w:r>
        <w:rPr>
          <w:rFonts w:ascii="宋体" w:hAnsi="宋体" w:eastAsia="宋体"/>
          <w:b/>
          <w:sz w:val="24"/>
        </w:rPr>
        <w:t>风险评估与分析报告输出</w:t>
      </w:r>
    </w:p>
    <w:p>
      <w:r>
        <w:rPr>
          <w:rFonts w:ascii="宋体" w:hAnsi="宋体" w:eastAsia="宋体"/>
          <w:b/>
          <w:sz w:val="22"/>
        </w:rPr>
        <w:t>方案：</w:t>
      </w:r>
      <w:r>
        <w:rPr>
          <w:rFonts w:ascii="宋体" w:hAnsi="宋体" w:eastAsia="宋体"/>
          <w:b w:val="0"/>
          <w:sz w:val="22"/>
        </w:rPr>
        <w:t>把故障树、失效模式、风险等级和关键建议集中呈现，形成便于汇报、复盘和交付的分析材料。</w:t>
      </w:r>
    </w:p>
    <w:p>
      <w:r>
        <w:rPr>
          <w:rFonts w:ascii="宋体" w:hAnsi="宋体" w:eastAsia="宋体"/>
          <w:b/>
          <w:sz w:val="22"/>
        </w:rPr>
        <w:t>难点：</w:t>
      </w:r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• 图形、矩阵和文字说明需要保持一致。</w:t>
      </w:r>
    </w:p>
    <w:p>
      <w:r>
        <w:rPr>
          <w:rFonts w:ascii="宋体" w:hAnsi="宋体" w:eastAsia="宋体"/>
          <w:b w:val="0"/>
          <w:sz w:val="22"/>
        </w:rPr>
        <w:t>• 版本对比和审查意见往往分散，整合成本高。</w:t>
      </w:r>
    </w:p>
    <w:p>
      <w:r>
        <w:rPr>
          <w:rFonts w:ascii="宋体" w:hAnsi="宋体" w:eastAsia="宋体"/>
          <w:b w:val="0"/>
          <w:sz w:val="22"/>
        </w:rPr>
        <w:t>• 不同项目对报告颗粒度和侧重点要求不同。</w:t>
      </w:r>
    </w:p>
    <w:p>
      <w:r>
        <w:rPr>
          <w:rFonts w:ascii="宋体" w:hAnsi="宋体" w:eastAsia="宋体"/>
          <w:b/>
          <w:sz w:val="22"/>
        </w:rPr>
        <w:t>待攻关：</w:t>
      </w:r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• 提升报告模板的灵活配置能力。</w:t>
      </w:r>
    </w:p>
    <w:p>
      <w:r>
        <w:rPr>
          <w:rFonts w:ascii="宋体" w:hAnsi="宋体" w:eastAsia="宋体"/>
          <w:b w:val="0"/>
          <w:sz w:val="22"/>
        </w:rPr>
        <w:t>• 加强版本差异和审查意见的自动整理。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