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/>
          <w:sz w:val="56"/>
          <w:szCs w:val="40"/>
          <w:lang w:val="en-US" w:eastAsia="zh-CN"/>
        </w:rPr>
      </w:pP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/>
          <w:sz w:val="56"/>
          <w:szCs w:val="40"/>
          <w:lang w:val="en-US" w:eastAsia="zh-CN"/>
        </w:rPr>
      </w:pP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/>
          <w:sz w:val="56"/>
          <w:szCs w:val="40"/>
          <w:lang w:val="en-US" w:eastAsia="zh-CN"/>
        </w:rPr>
      </w:pP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/>
          <w:sz w:val="56"/>
          <w:szCs w:val="40"/>
          <w:lang w:val="en-US" w:eastAsia="zh-CN"/>
        </w:rPr>
      </w:pP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default"/>
          <w:sz w:val="96"/>
          <w:szCs w:val="48"/>
          <w:lang w:val="en-US" w:eastAsia="zh-CN"/>
        </w:rPr>
      </w:pPr>
      <w:r>
        <w:rPr>
          <w:rFonts w:hint="eastAsia"/>
          <w:sz w:val="96"/>
          <w:szCs w:val="48"/>
          <w:lang w:val="en-US" w:eastAsia="zh-CN"/>
        </w:rPr>
        <w:t>软件研制智能体介绍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/>
          <w:sz w:val="56"/>
          <w:szCs w:val="40"/>
          <w:lang w:val="en-US" w:eastAsia="zh-CN"/>
        </w:rPr>
      </w:pP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/>
          <w:sz w:val="56"/>
          <w:szCs w:val="40"/>
          <w:lang w:val="en-US" w:eastAsia="zh-CN"/>
        </w:rPr>
      </w:pP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/>
          <w:sz w:val="56"/>
          <w:szCs w:val="40"/>
          <w:lang w:val="en-US" w:eastAsia="zh-CN"/>
        </w:rPr>
      </w:pP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/>
          <w:sz w:val="56"/>
          <w:szCs w:val="40"/>
          <w:lang w:val="en-US" w:eastAsia="zh-CN"/>
        </w:rPr>
      </w:pP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default"/>
          <w:sz w:val="56"/>
          <w:szCs w:val="40"/>
          <w:lang w:val="en-US" w:eastAsia="zh-CN"/>
        </w:rPr>
      </w:pP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/>
          <w:sz w:val="36"/>
          <w:szCs w:val="22"/>
          <w:lang w:val="en-US" w:eastAsia="zh-CN"/>
        </w:rPr>
      </w:pPr>
      <w:r>
        <w:rPr>
          <w:rFonts w:hint="eastAsia"/>
          <w:sz w:val="36"/>
          <w:szCs w:val="22"/>
          <w:lang w:val="en-US" w:eastAsia="zh-CN"/>
        </w:rPr>
        <w:t>XXX中心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/>
          <w:sz w:val="36"/>
          <w:szCs w:val="22"/>
          <w:lang w:val="en-US" w:eastAsia="zh-CN"/>
        </w:rPr>
      </w:pP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default"/>
          <w:sz w:val="36"/>
          <w:szCs w:val="22"/>
          <w:lang w:val="en-US" w:eastAsia="zh-CN"/>
        </w:rPr>
        <w:sectPr>
          <w:headerReference r:id="rId5" w:type="first"/>
          <w:footerReference r:id="rId7" w:type="first"/>
          <w:headerReference r:id="rId3" w:type="default"/>
          <w:headerReference r:id="rId4" w:type="even"/>
          <w:footerReference r:id="rId6" w:type="even"/>
          <w:pgSz w:w="11906" w:h="16838"/>
          <w:pgMar w:top="720" w:right="1080" w:bottom="720" w:left="1080" w:header="708" w:footer="708" w:gutter="0"/>
          <w:cols w:space="720" w:num="1"/>
          <w:docGrid w:linePitch="360" w:charSpace="0"/>
        </w:sectPr>
      </w:pPr>
      <w:r>
        <w:rPr>
          <w:rFonts w:hint="eastAsia"/>
          <w:sz w:val="36"/>
          <w:szCs w:val="22"/>
          <w:lang w:val="en-US" w:eastAsia="zh-CN"/>
        </w:rPr>
        <w:t>2026-4-30</w:t>
      </w:r>
    </w:p>
    <w:p>
      <w:pPr>
        <w:snapToGrid/>
        <w:spacing w:before="0" w:after="0" w:line="240" w:lineRule="auto"/>
        <w:ind w:left="0" w:right="0"/>
      </w:pPr>
      <w:r>
        <w:rPr>
          <w:rFonts w:ascii="微软雅黑" w:hAnsi="微软雅黑" w:eastAsia="微软雅黑" w:cs="微软雅黑"/>
          <w:b/>
          <w:i w:val="0"/>
          <w:strike w:val="0"/>
          <w:color w:val="8B1A1A"/>
          <w:sz w:val="36"/>
          <w:u w:val="none"/>
        </w:rPr>
        <w:t xml:space="preserve">SafetyMatrix </w:t>
      </w:r>
      <w:r>
        <w:rPr>
          <w:rFonts w:ascii="微软雅黑" w:hAnsi="微软雅黑" w:eastAsia="微软雅黑" w:cs="微软雅黑"/>
          <w:b/>
          <w:i w:val="0"/>
          <w:strike w:val="0"/>
          <w:color w:val="262626"/>
          <w:sz w:val="32"/>
          <w:u w:val="none"/>
        </w:rPr>
        <w:t>软件安全性分析智能体</w:t>
      </w:r>
    </w:p>
    <w:p>
      <w:pPr>
        <w:snapToGrid/>
        <w:spacing w:before="0" w:after="80" w:line="240" w:lineRule="auto"/>
        <w:ind w:left="0" w:right="0"/>
      </w:pPr>
      <w:r>
        <w:rPr>
          <w:rFonts w:ascii="微软雅黑" w:hAnsi="微软雅黑" w:eastAsia="微软雅黑" w:cs="微软雅黑"/>
          <w:i w:val="0"/>
          <w:strike w:val="0"/>
          <w:color w:val="595959"/>
          <w:sz w:val="18"/>
          <w:u w:val="none"/>
        </w:rPr>
        <w:t xml:space="preserve">源自高安全软件工程实践 · AI 驱动 </w:t>
      </w:r>
    </w:p>
    <w:p>
      <w:pPr>
        <w:pBdr>
          <w:bottom w:val="single" w:color="8B1A1A" w:sz="8" w:space="0"/>
        </w:pBdr>
        <w:snapToGrid/>
        <w:spacing w:before="0" w:after="80" w:line="240" w:lineRule="auto"/>
        <w:ind w:left="0" w:right="0"/>
      </w:pPr>
      <w:r>
        <w:rPr>
          <w:rFonts w:ascii="微软雅黑" w:hAnsi="微软雅黑" w:eastAsia="微软雅黑" w:cs="微软雅黑"/>
          <w:i w:val="0"/>
          <w:strike w:val="0"/>
          <w:color w:val="000000"/>
          <w:sz w:val="20"/>
          <w:u w:val="none"/>
        </w:rPr>
        <w:t> </w:t>
      </w:r>
    </w:p>
    <w:tbl>
      <w:tblPr>
        <w:tblStyle w:val="15"/>
        <w:tblW w:w="0" w:type="auto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"/>
        <w:gridCol w:w="1905"/>
        <w:gridCol w:w="2520"/>
        <w:gridCol w:w="2520"/>
        <w:gridCol w:w="262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rHeight w:val="440" w:hRule="atLeast"/>
          <w:jc w:val="center"/>
        </w:trPr>
        <w:tc>
          <w:tcPr>
            <w:tcW w:w="615" w:type="dxa"/>
            <w:tcBorders>
              <w:top w:val="single" w:color="8B1A1A" w:sz="8" w:space="0"/>
              <w:left w:val="single" w:color="8B1A1A" w:sz="8" w:space="0"/>
              <w:bottom w:val="single" w:color="8B1A1A" w:sz="8" w:space="0"/>
              <w:right w:val="single" w:color="8B1A1A" w:sz="8" w:space="0"/>
            </w:tcBorders>
            <w:shd w:val="clear" w:color="auto" w:fill="8B1A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28"/>
                <w:u w:val="none"/>
              </w:rPr>
              <w:t>01</w:t>
            </w:r>
          </w:p>
        </w:tc>
        <w:tc>
          <w:tcPr>
            <w:tcW w:w="9570" w:type="dxa"/>
            <w:gridSpan w:val="4"/>
            <w:tcBorders>
              <w:top w:val="single" w:color="FBE9E9" w:sz="8" w:space="0"/>
              <w:left w:val="single" w:color="8B1A1A" w:sz="0" w:space="0"/>
              <w:bottom w:val="single" w:color="FBE9E9" w:sz="8" w:space="0"/>
              <w:right w:val="single" w:color="FBE9E9" w:sz="8" w:space="0"/>
            </w:tcBorders>
            <w:shd w:val="clear" w:color="auto" w:fill="FBE9E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8B1A1A"/>
                <w:spacing w:val="0"/>
                <w:sz w:val="24"/>
                <w:u w:val="none"/>
              </w:rPr>
              <w:t xml:space="preserve">  用户痛点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8"/>
                <w:u w:val="none"/>
              </w:rPr>
              <w:t xml:space="preserve">   |  软件规模上来了，安全性分析却跟不上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gridSpan w:val="2"/>
            <w:tcBorders>
              <w:top w:val="single" w:color="000000" w:sz="0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64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8B1A1A"/>
                <w:spacing w:val="0"/>
                <w:sz w:val="19"/>
                <w:u w:val="none"/>
              </w:rPr>
              <w:t xml:space="preserve">● </w:t>
            </w: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262626"/>
                <w:spacing w:val="0"/>
                <w:sz w:val="19"/>
                <w:u w:val="none"/>
              </w:rPr>
              <w:t>软件规模大，分析工作量爆炸</w:t>
            </w:r>
          </w:p>
          <w:p>
            <w:pPr>
              <w:snapToGrid/>
              <w:spacing w:before="2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代码量从千/万行走向十万行级，SRS/SDD 动辄上百页；故障树/FMEA 单型号常需数人月起步。</w:t>
            </w:r>
          </w:p>
        </w:tc>
        <w:tc>
          <w:tcPr>
            <w:tcW w:w="2520" w:type="dxa"/>
            <w:tcBorders>
              <w:top w:val="single" w:color="000000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64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8B1A1A"/>
                <w:spacing w:val="0"/>
                <w:sz w:val="19"/>
                <w:u w:val="none"/>
              </w:rPr>
              <w:t xml:space="preserve">● </w:t>
            </w: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262626"/>
                <w:spacing w:val="0"/>
                <w:sz w:val="19"/>
                <w:u w:val="none"/>
              </w:rPr>
              <w:t>方法门槛高，复合人才稀缺</w:t>
            </w:r>
          </w:p>
          <w:p>
            <w:pPr>
              <w:snapToGrid/>
              <w:spacing w:before="2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HAZOP/SFTA/SFMEA/CCA/WCA   等方法门槛高，既懂软件又懂安全的人才稀缺，靠师徒制难规模化。</w:t>
            </w:r>
          </w:p>
        </w:tc>
        <w:tc>
          <w:tcPr>
            <w:tcW w:w="2520" w:type="dxa"/>
            <w:tcBorders>
              <w:top w:val="single" w:color="000000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64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8B1A1A"/>
                <w:spacing w:val="0"/>
                <w:sz w:val="19"/>
                <w:u w:val="none"/>
              </w:rPr>
              <w:t xml:space="preserve">● </w:t>
            </w: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262626"/>
                <w:spacing w:val="0"/>
                <w:sz w:val="19"/>
                <w:u w:val="none"/>
              </w:rPr>
              <w:t>缺少软件级专用工具</w:t>
            </w:r>
          </w:p>
          <w:p>
            <w:pPr>
              <w:snapToGrid/>
              <w:spacing w:before="2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 </w:t>
            </w:r>
          </w:p>
          <w:p>
            <w:pPr>
              <w:snapToGrid/>
              <w:spacing w:before="2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现有工具多面向硬件/系统级，软件失效模式库、传播规则、概率数据空白；画图填表全靠人工。</w:t>
            </w:r>
          </w:p>
        </w:tc>
        <w:tc>
          <w:tcPr>
            <w:tcW w:w="2625" w:type="dxa"/>
            <w:tcBorders>
              <w:top w:val="single" w:color="000000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64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8B1A1A"/>
                <w:spacing w:val="0"/>
                <w:sz w:val="19"/>
                <w:u w:val="none"/>
              </w:rPr>
              <w:t xml:space="preserve">● </w:t>
            </w: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262626"/>
                <w:spacing w:val="0"/>
                <w:sz w:val="19"/>
                <w:u w:val="none"/>
              </w:rPr>
              <w:t>与研制过程脱节，标准落地难</w:t>
            </w:r>
          </w:p>
          <w:p>
            <w:pPr>
              <w:snapToGrid/>
              <w:spacing w:before="2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GJB 5000B / GJB 8114 /CMS-RW-08都要求开展软件安全性分析，但常流于交差文档、缺乏工程证据。</w:t>
            </w:r>
          </w:p>
        </w:tc>
      </w:tr>
    </w:tbl>
    <w:p>
      <w:pPr>
        <w:snapToGrid/>
        <w:spacing w:before="0" w:after="200" w:line="276" w:lineRule="auto"/>
        <w:ind w:left="0" w:right="0"/>
      </w:pPr>
      <w:r>
        <w:rPr>
          <w:rFonts w:ascii="微软雅黑" w:hAnsi="微软雅黑" w:eastAsia="微软雅黑" w:cs="微软雅黑"/>
          <w:i w:val="0"/>
          <w:strike w:val="0"/>
          <w:color w:val="000000"/>
          <w:sz w:val="20"/>
          <w:u w:val="none"/>
        </w:rPr>
        <w:t> </w:t>
      </w:r>
    </w:p>
    <w:tbl>
      <w:tblPr>
        <w:tblStyle w:val="15"/>
        <w:tblW w:w="0" w:type="auto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"/>
        <w:gridCol w:w="1905"/>
        <w:gridCol w:w="2520"/>
        <w:gridCol w:w="2520"/>
        <w:gridCol w:w="262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615" w:type="dxa"/>
            <w:tcBorders>
              <w:top w:val="single" w:color="8B1A1A" w:sz="8" w:space="0"/>
              <w:left w:val="single" w:color="8B1A1A" w:sz="8" w:space="0"/>
              <w:bottom w:val="single" w:color="8B1A1A" w:sz="8" w:space="0"/>
              <w:right w:val="single" w:color="8B1A1A" w:sz="8" w:space="0"/>
            </w:tcBorders>
            <w:shd w:val="clear" w:color="auto" w:fill="8B1A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 w:lineRule="auto"/>
            </w:pPr>
          </w:p>
          <w:p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28"/>
                <w:u w:val="none"/>
              </w:rPr>
              <w:t>02</w:t>
            </w:r>
          </w:p>
        </w:tc>
        <w:tc>
          <w:tcPr>
            <w:tcW w:w="9570" w:type="dxa"/>
            <w:gridSpan w:val="4"/>
            <w:tcBorders>
              <w:top w:val="single" w:color="FBE9E9" w:sz="8" w:space="0"/>
              <w:left w:val="single" w:color="8B1A1A" w:sz="0" w:space="0"/>
              <w:bottom w:val="single" w:color="FBE9E9" w:sz="8" w:space="0"/>
              <w:right w:val="single" w:color="FBE9E9" w:sz="8" w:space="0"/>
            </w:tcBorders>
            <w:shd w:val="clear" w:color="auto" w:fill="FBE9E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8B1A1A"/>
                <w:spacing w:val="0"/>
                <w:sz w:val="24"/>
                <w:u w:val="none"/>
              </w:rPr>
              <w:t xml:space="preserve">  解决方案（核心功能）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8"/>
                <w:u w:val="none"/>
              </w:rPr>
              <w:t xml:space="preserve">   |  三阶段流水线 · 9+1 多智能体协作 · 可追溯工程化闭环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gridSpan w:val="2"/>
            <w:tcBorders>
              <w:top w:val="single" w:color="000000" w:sz="0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64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8B1A1A"/>
                <w:spacing w:val="0"/>
                <w:sz w:val="19"/>
                <w:u w:val="none"/>
              </w:rPr>
              <w:t xml:space="preserve">● </w:t>
            </w: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262626"/>
                <w:spacing w:val="0"/>
                <w:sz w:val="19"/>
                <w:u w:val="none"/>
              </w:rPr>
              <w:t>端到端自动化</w:t>
            </w:r>
          </w:p>
          <w:p>
            <w:pPr>
              <w:snapToGrid/>
              <w:spacing w:before="2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SRS/SDD 一键输入 → 9 智能体协同 → 自动产出需求/设计阶段故障树与 FMEA 表。</w:t>
            </w:r>
          </w:p>
        </w:tc>
        <w:tc>
          <w:tcPr>
            <w:tcW w:w="2520" w:type="dxa"/>
            <w:tcBorders>
              <w:top w:val="single" w:color="000000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64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8B1A1A"/>
                <w:spacing w:val="0"/>
                <w:sz w:val="19"/>
                <w:u w:val="none"/>
              </w:rPr>
              <w:t xml:space="preserve">● </w:t>
            </w: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262626"/>
                <w:spacing w:val="0"/>
                <w:sz w:val="19"/>
                <w:u w:val="none"/>
              </w:rPr>
              <w:t>多智能体协作架构</w:t>
            </w:r>
          </w:p>
          <w:p>
            <w:pPr>
              <w:snapToGrid/>
              <w:spacing w:before="2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需求分析师/FTA 工程师/审查员等专职 Agent 协同；结构化摘要+原文片段流转，避免上下文爆炸。</w:t>
            </w:r>
          </w:p>
        </w:tc>
        <w:tc>
          <w:tcPr>
            <w:tcW w:w="2520" w:type="dxa"/>
            <w:tcBorders>
              <w:top w:val="single" w:color="000000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64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8B1A1A"/>
                <w:spacing w:val="0"/>
                <w:sz w:val="19"/>
                <w:u w:val="none"/>
              </w:rPr>
              <w:t xml:space="preserve">● </w:t>
            </w: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262626"/>
                <w:spacing w:val="0"/>
                <w:sz w:val="19"/>
                <w:u w:val="none"/>
              </w:rPr>
              <w:t>分析-审查-改进闭环</w:t>
            </w:r>
          </w:p>
          <w:p>
            <w:pPr>
              <w:snapToGrid/>
              <w:spacing w:before="2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双 Agent 互查 + 人工审查面板 + 改进 Diff 分组接受，把   LLM 不可靠性变成可控工程动作。</w:t>
            </w:r>
          </w:p>
        </w:tc>
        <w:tc>
          <w:tcPr>
            <w:tcW w:w="2625" w:type="dxa"/>
            <w:tcBorders>
              <w:top w:val="single" w:color="000000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64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8B1A1A"/>
                <w:spacing w:val="0"/>
                <w:sz w:val="19"/>
                <w:u w:val="none"/>
              </w:rPr>
              <w:t xml:space="preserve">● </w:t>
            </w: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262626"/>
                <w:spacing w:val="0"/>
                <w:sz w:val="19"/>
                <w:u w:val="none"/>
              </w:rPr>
              <w:t>全链路追溯</w:t>
            </w:r>
          </w:p>
          <w:p>
            <w:pPr>
              <w:snapToGrid/>
              <w:spacing w:before="2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原文逐字溯源、P1↔P2 版本协同、FTA↔FMEA 交叉审查、全程版本快照可审计回放。</w:t>
            </w:r>
          </w:p>
        </w:tc>
      </w:tr>
    </w:tbl>
    <w:p>
      <w:pPr>
        <w:snapToGrid/>
        <w:spacing w:before="40" w:after="40" w:line="264" w:lineRule="auto"/>
        <w:ind w:left="0" w:right="0"/>
      </w:pPr>
      <w:r>
        <w:rPr>
          <w:rFonts w:ascii="微软雅黑" w:hAnsi="微软雅黑" w:eastAsia="微软雅黑" w:cs="微软雅黑"/>
          <w:b/>
          <w:i w:val="0"/>
          <w:strike w:val="0"/>
          <w:color w:val="8B1A1A"/>
          <w:sz w:val="18"/>
          <w:u w:val="none"/>
        </w:rPr>
        <w:t>贯穿流程：</w:t>
      </w:r>
      <w:r>
        <w:rPr>
          <w:rFonts w:ascii="微软雅黑" w:hAnsi="微软雅黑" w:eastAsia="微软雅黑" w:cs="微软雅黑"/>
          <w:i w:val="0"/>
          <w:strike w:val="0"/>
          <w:color w:val="404040"/>
          <w:sz w:val="18"/>
          <w:u w:val="none"/>
        </w:rPr>
        <w:t>需求分析（条目化提取+生成需求级故障树） → 设计实现（SDD/源码扩展模块级故障树+FMEA 评分） → 交叉审查（FTA 叶节点 ↔ FMEA 条目，识别覆盖缺口） → 交付归档（一键导出 Word 报告）。</w:t>
      </w:r>
    </w:p>
    <w:p>
      <w:pPr>
        <w:snapToGrid/>
        <w:spacing w:before="0" w:after="40" w:line="264" w:lineRule="auto"/>
        <w:ind w:left="0" w:right="0"/>
      </w:pPr>
      <w:r>
        <w:rPr>
          <w:rFonts w:ascii="微软雅黑" w:hAnsi="微软雅黑" w:eastAsia="微软雅黑" w:cs="微软雅黑"/>
          <w:b/>
          <w:i w:val="0"/>
          <w:strike w:val="0"/>
          <w:color w:val="8B1A1A"/>
          <w:sz w:val="18"/>
          <w:u w:val="none"/>
        </w:rPr>
        <w:t>适用角色：</w:t>
      </w:r>
      <w:r>
        <w:rPr>
          <w:rFonts w:ascii="微软雅黑" w:hAnsi="微软雅黑" w:eastAsia="微软雅黑" w:cs="微软雅黑"/>
          <w:i w:val="0"/>
          <w:strike w:val="0"/>
          <w:color w:val="404040"/>
          <w:sz w:val="18"/>
          <w:u w:val="none"/>
        </w:rPr>
        <w:t>安全性分析工程师（主用）/ 软件研制工程师（协作）/ 软件检查与评审专家（审查）/ 项目质量管理人员（门禁）。</w:t>
      </w:r>
    </w:p>
    <w:p>
      <w:pPr>
        <w:snapToGrid/>
        <w:spacing w:before="0" w:after="40" w:line="264" w:lineRule="auto"/>
        <w:ind w:left="0" w:right="0"/>
      </w:pPr>
      <w:r>
        <w:rPr>
          <w:rFonts w:ascii="微软雅黑" w:hAnsi="微软雅黑" w:eastAsia="微软雅黑" w:cs="微软雅黑"/>
          <w:i w:val="0"/>
          <w:strike w:val="0"/>
          <w:color w:val="000000"/>
          <w:sz w:val="20"/>
          <w:u w:val="none"/>
        </w:rPr>
        <w:t> </w:t>
      </w:r>
    </w:p>
    <w:tbl>
      <w:tblPr>
        <w:tblStyle w:val="15"/>
        <w:tblW w:w="0" w:type="auto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"/>
        <w:gridCol w:w="1905"/>
        <w:gridCol w:w="2520"/>
        <w:gridCol w:w="2520"/>
        <w:gridCol w:w="262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615" w:type="dxa"/>
            <w:tcBorders>
              <w:top w:val="single" w:color="8B1A1A" w:sz="8" w:space="0"/>
              <w:left w:val="single" w:color="8B1A1A" w:sz="8" w:space="0"/>
              <w:bottom w:val="single" w:color="8B1A1A" w:sz="8" w:space="0"/>
              <w:right w:val="single" w:color="8B1A1A" w:sz="8" w:space="0"/>
            </w:tcBorders>
            <w:shd w:val="clear" w:color="auto" w:fill="8B1A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28"/>
                <w:u w:val="none"/>
              </w:rPr>
              <w:t>03</w:t>
            </w:r>
          </w:p>
        </w:tc>
        <w:tc>
          <w:tcPr>
            <w:tcW w:w="9570" w:type="dxa"/>
            <w:gridSpan w:val="4"/>
            <w:tcBorders>
              <w:top w:val="single" w:color="FBE9E9" w:sz="8" w:space="0"/>
              <w:left w:val="single" w:color="8B1A1A" w:sz="0" w:space="0"/>
              <w:bottom w:val="single" w:color="FBE9E9" w:sz="8" w:space="0"/>
              <w:right w:val="single" w:color="FBE9E9" w:sz="8" w:space="0"/>
            </w:tcBorders>
            <w:shd w:val="clear" w:color="auto" w:fill="FBE9E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8B1A1A"/>
                <w:spacing w:val="0"/>
                <w:sz w:val="24"/>
                <w:u w:val="none"/>
              </w:rPr>
              <w:t xml:space="preserve">  应用效益（量化指标 + 工程价值）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8"/>
                <w:u w:val="none"/>
              </w:rPr>
              <w:t xml:space="preserve">   |  数人月→数人天 · 三个 100% 关键指标 · 一体机本地交付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gridSpan w:val="2"/>
            <w:tcBorders>
              <w:top w:val="single" w:color="000000" w:sz="0" w:space="0"/>
              <w:left w:val="single" w:color="8B1A1A" w:sz="8" w:space="0"/>
              <w:bottom w:val="single" w:color="000000" w:sz="8" w:space="0"/>
              <w:right w:val="single" w:color="8B1A1A" w:sz="8" w:space="0"/>
            </w:tcBorders>
            <w:shd w:val="clear" w:color="auto" w:fill="8B1A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40" w:after="4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28"/>
                <w:u w:val="none"/>
              </w:rPr>
              <w:t>数人月 → 数人天</w:t>
            </w:r>
          </w:p>
          <w:p>
            <w:pPr>
              <w:snapToGrid/>
              <w:spacing w:before="0" w:after="4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18"/>
                <w:u w:val="none"/>
              </w:rPr>
              <w:t>提效收益</w:t>
            </w:r>
          </w:p>
        </w:tc>
        <w:tc>
          <w:tcPr>
            <w:tcW w:w="2520" w:type="dxa"/>
            <w:tcBorders>
              <w:top w:val="single" w:color="000000" w:sz="0" w:space="0"/>
              <w:left w:val="single" w:color="8B1A1A" w:sz="0" w:space="0"/>
              <w:bottom w:val="single" w:color="000000" w:sz="8" w:space="0"/>
              <w:right w:val="single" w:color="8B1A1A" w:sz="8" w:space="0"/>
            </w:tcBorders>
            <w:shd w:val="clear" w:color="auto" w:fill="8B1A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40" w:after="4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28"/>
                <w:u w:val="none"/>
              </w:rPr>
              <w:t>100%</w:t>
            </w:r>
          </w:p>
          <w:p>
            <w:pPr>
              <w:snapToGrid/>
              <w:spacing w:before="0" w:after="4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18"/>
                <w:u w:val="none"/>
              </w:rPr>
              <w:t>故障树生成完整率</w:t>
            </w:r>
          </w:p>
        </w:tc>
        <w:tc>
          <w:tcPr>
            <w:tcW w:w="2520" w:type="dxa"/>
            <w:tcBorders>
              <w:top w:val="single" w:color="000000" w:sz="0" w:space="0"/>
              <w:left w:val="single" w:color="8B1A1A" w:sz="0" w:space="0"/>
              <w:bottom w:val="single" w:color="000000" w:sz="8" w:space="0"/>
              <w:right w:val="single" w:color="8B1A1A" w:sz="8" w:space="0"/>
            </w:tcBorders>
            <w:shd w:val="clear" w:color="auto" w:fill="8B1A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40" w:after="4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28"/>
                <w:u w:val="none"/>
              </w:rPr>
              <w:t>100%</w:t>
            </w:r>
          </w:p>
          <w:p>
            <w:pPr>
              <w:snapToGrid/>
              <w:spacing w:before="0" w:after="4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18"/>
                <w:u w:val="none"/>
              </w:rPr>
              <w:t>故障树生成有效率</w:t>
            </w:r>
          </w:p>
        </w:tc>
        <w:tc>
          <w:tcPr>
            <w:tcW w:w="2625" w:type="dxa"/>
            <w:tcBorders>
              <w:top w:val="single" w:color="000000" w:sz="0" w:space="0"/>
              <w:left w:val="single" w:color="8B1A1A" w:sz="0" w:space="0"/>
              <w:bottom w:val="single" w:color="000000" w:sz="8" w:space="0"/>
              <w:right w:val="single" w:color="8B1A1A" w:sz="8" w:space="0"/>
            </w:tcBorders>
            <w:shd w:val="clear" w:color="auto" w:fill="8B1A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40" w:after="4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28"/>
                <w:u w:val="none"/>
              </w:rPr>
              <w:t>100%</w:t>
            </w:r>
          </w:p>
          <w:p>
            <w:pPr>
              <w:snapToGrid/>
              <w:spacing w:before="0" w:after="4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18"/>
                <w:u w:val="none"/>
              </w:rPr>
              <w:t>FMEA 高风险识别率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gridSpan w:val="2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SRS/SDD 一次录入自动驱动需求→设计→FMEA 三阶段，从数人月起步压缩到数人天交付。</w:t>
            </w:r>
          </w:p>
        </w:tc>
        <w:tc>
          <w:tcPr>
            <w:tcW w:w="25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自动生成的故障树覆盖全部输入安全性需求 / 危险事件的比例。</w:t>
            </w:r>
          </w:p>
        </w:tc>
        <w:tc>
          <w:tcPr>
            <w:tcW w:w="25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FTA 叶节点被 FMEA 条目覆盖的比例，确保下游可执行落地。</w:t>
            </w:r>
          </w:p>
        </w:tc>
        <w:tc>
          <w:tcPr>
            <w:tcW w:w="262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高 RPN（≥200）条目被 FTA 路径覆盖的比例，关键风险不漏。</w:t>
            </w:r>
          </w:p>
        </w:tc>
      </w:tr>
    </w:tbl>
    <w:p>
      <w:pPr>
        <w:snapToGrid/>
        <w:spacing w:before="80" w:after="40" w:line="264" w:lineRule="auto"/>
        <w:ind w:left="0" w:right="0"/>
      </w:pPr>
      <w:r>
        <w:rPr>
          <w:rFonts w:ascii="微软雅黑" w:hAnsi="微软雅黑" w:eastAsia="微软雅黑" w:cs="微软雅黑"/>
          <w:b/>
          <w:i w:val="0"/>
          <w:strike w:val="0"/>
          <w:color w:val="8B1A1A"/>
          <w:sz w:val="18"/>
          <w:u w:val="none"/>
        </w:rPr>
        <w:t>客户价值：</w:t>
      </w:r>
      <w:r>
        <w:rPr>
          <w:rFonts w:ascii="微软雅黑" w:hAnsi="微软雅黑" w:eastAsia="微软雅黑" w:cs="微软雅黑"/>
          <w:i w:val="0"/>
          <w:strike w:val="0"/>
          <w:color w:val="404040"/>
          <w:sz w:val="18"/>
          <w:u w:val="none"/>
        </w:rPr>
        <w:t>①提效——应对工作量爆炸；②降门槛——工程师无需是安全专家也能上手；③工具化——专为软件级 FTA/FMEA 打造，告别人工拼装；④可闭环——可对接软件检查与配置管理，输出标准评审证据链。</w:t>
      </w:r>
    </w:p>
    <w:p>
      <w:pPr>
        <w:snapToGrid/>
        <w:spacing w:before="0" w:after="40" w:line="264" w:lineRule="auto"/>
        <w:ind w:left="0" w:right="0"/>
      </w:pPr>
      <w:r>
        <w:rPr>
          <w:rFonts w:ascii="微软雅黑" w:hAnsi="微软雅黑" w:eastAsia="微软雅黑" w:cs="微软雅黑"/>
          <w:b/>
          <w:i w:val="0"/>
          <w:strike w:val="0"/>
          <w:color w:val="8B1A1A"/>
          <w:sz w:val="18"/>
          <w:u w:val="none"/>
        </w:rPr>
        <w:t>交付方式：</w:t>
      </w:r>
      <w:r>
        <w:rPr>
          <w:rFonts w:ascii="微软雅黑" w:hAnsi="微软雅黑" w:eastAsia="微软雅黑" w:cs="微软雅黑"/>
          <w:i w:val="0"/>
          <w:strike w:val="0"/>
          <w:color w:val="404040"/>
          <w:sz w:val="18"/>
          <w:u w:val="none"/>
        </w:rPr>
        <w:t>SafetyMatrix 一体机——前后端/数据库/LLM 推理底座一体集成，本地运行、数据不出域、兼容国产服务器与国产 LLM；实施路径：试点（1-3 月）→ 规范化（3-6 月）→ 推广。</w:t>
      </w:r>
    </w:p>
    <w:p>
      <w:pPr>
        <w:snapToGrid/>
        <w:spacing w:before="40" w:after="0" w:line="240" w:lineRule="auto"/>
        <w:ind w:left="0" w:right="0"/>
        <w:jc w:val="right"/>
      </w:pP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539" w:firstLineChars="245"/>
        <w:jc w:val="left"/>
        <w:textAlignment w:val="auto"/>
        <w:rPr>
          <w:sz w:val="22"/>
          <w:szCs w:val="16"/>
        </w:rPr>
        <w:sectPr>
          <w:headerReference r:id="rId8" w:type="default"/>
          <w:footerReference r:id="rId9" w:type="default"/>
          <w:pgSz w:w="11906" w:h="16838"/>
          <w:pgMar w:top="720" w:right="1080" w:bottom="720" w:left="1080" w:header="708" w:footer="708" w:gutter="0"/>
          <w:cols w:space="720" w:num="1"/>
          <w:docGrid w:linePitch="360" w:charSpace="0"/>
        </w:sectPr>
      </w:pPr>
    </w:p>
    <w:p>
      <w:pPr>
        <w:spacing w:before="0" w:after="0" w:line="240" w:lineRule="auto"/>
        <w:jc w:val="center"/>
        <w:rPr>
          <w:rFonts w:hint="eastAsia" w:cs="微软雅黑"/>
          <w:b/>
          <w:bCs/>
          <w:color w:val="1F4E79"/>
          <w:sz w:val="44"/>
          <w:szCs w:val="44"/>
          <w:lang w:val="en-US" w:eastAsia="zh-CN"/>
        </w:rPr>
      </w:pPr>
      <w:r>
        <w:rPr>
          <w:rFonts w:hint="eastAsia" w:cs="微软雅黑"/>
          <w:b/>
          <w:bCs/>
          <w:color w:val="1F4E79"/>
          <w:sz w:val="44"/>
          <w:szCs w:val="44"/>
          <w:lang w:val="en-US" w:eastAsia="zh-CN"/>
        </w:rPr>
        <w:t>代码走查智能体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22"/>
          <w:szCs w:val="16"/>
        </w:rPr>
      </w:pPr>
      <w:r>
        <w:rPr>
          <w:rStyle w:val="17"/>
          <w:rFonts w:hint="eastAsia" w:ascii="微软雅黑" w:hAnsi="微软雅黑" w:eastAsia="微软雅黑" w:cs="微软雅黑"/>
          <w:sz w:val="22"/>
          <w:szCs w:val="16"/>
        </w:rPr>
        <w:t>一、业务痛点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539" w:firstLineChars="245"/>
        <w:textAlignment w:val="auto"/>
        <w:rPr>
          <w:sz w:val="22"/>
          <w:szCs w:val="16"/>
        </w:rPr>
      </w:pPr>
      <w:r>
        <w:rPr>
          <w:sz w:val="22"/>
          <w:szCs w:val="16"/>
        </w:rPr>
        <w:t>当前高安全高可靠软件代码走查虽已具备一定规范与工具支撑，但仍面临工作量与专家供给之间的突出矛盾，经验沉淀与传承机制缺失，工具结果可用性低等问题，难以支撑全过程质量管控。主要痛点如下：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539" w:firstLineChars="245"/>
        <w:jc w:val="left"/>
        <w:textAlignment w:val="auto"/>
        <w:rPr>
          <w:sz w:val="22"/>
          <w:szCs w:val="16"/>
        </w:rPr>
      </w:pPr>
      <w:r>
        <w:rPr>
          <w:sz w:val="22"/>
          <w:szCs w:val="16"/>
        </w:rPr>
        <w:t>管理与决策：走查过程质量状态不透明，整改闭环与风险难以管控，决策依据滞后且不完整。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539" w:firstLineChars="245"/>
        <w:jc w:val="left"/>
        <w:textAlignment w:val="auto"/>
        <w:rPr>
          <w:sz w:val="22"/>
          <w:szCs w:val="16"/>
        </w:rPr>
      </w:pPr>
      <w:r>
        <w:rPr>
          <w:sz w:val="22"/>
          <w:szCs w:val="16"/>
        </w:rPr>
        <w:t>成本与能力：软件配置项多、</w:t>
      </w:r>
      <w:r>
        <w:rPr>
          <w:rFonts w:hint="eastAsia"/>
          <w:sz w:val="22"/>
          <w:szCs w:val="16"/>
          <w:lang w:val="en-US" w:eastAsia="zh-CN"/>
        </w:rPr>
        <w:t>文档</w:t>
      </w:r>
      <w:r>
        <w:rPr>
          <w:sz w:val="22"/>
          <w:szCs w:val="16"/>
        </w:rPr>
        <w:t>代码量大，效率低；专家短缺，难以实现100%全量覆盖。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539" w:firstLineChars="245"/>
        <w:jc w:val="left"/>
        <w:textAlignment w:val="auto"/>
        <w:rPr>
          <w:sz w:val="22"/>
          <w:szCs w:val="16"/>
        </w:rPr>
      </w:pPr>
      <w:r>
        <w:rPr>
          <w:sz w:val="22"/>
          <w:szCs w:val="16"/>
        </w:rPr>
        <w:t>方法与工具：人工走查一致性差、易疏漏；现有工具误报率高，成为质量保障的效率瓶颈。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/>
        <w:ind w:left="0" w:right="0"/>
        <w:textAlignment w:val="auto"/>
        <w:rPr>
          <w:sz w:val="22"/>
          <w:szCs w:val="16"/>
        </w:rPr>
      </w:pPr>
      <w:r>
        <w:rPr>
          <w:rStyle w:val="17"/>
          <w:sz w:val="22"/>
          <w:szCs w:val="16"/>
        </w:rPr>
        <w:t>二、产品介绍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539" w:firstLineChars="245"/>
        <w:jc w:val="left"/>
        <w:textAlignment w:val="auto"/>
        <w:rPr>
          <w:sz w:val="22"/>
          <w:szCs w:val="16"/>
        </w:rPr>
      </w:pPr>
      <w:r>
        <w:rPr>
          <w:sz w:val="22"/>
          <w:szCs w:val="16"/>
        </w:rPr>
        <w:t>SmartInsight 代码走查智能体面向航空航天、军工装备等高安全等级嵌入式软件研制场景，以大模型语义理解为核心，融合多Agent协同、型号经验知识库与多工具结果归一等技术，将分散、重复、依赖经验的工作转变为可追溯、可复核、可沉淀的质量闭环，让"专家级走查能力"沉淀为可复用、可量产的智能体服务。具备以下四项核心能力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539" w:firstLineChars="245"/>
        <w:jc w:val="left"/>
        <w:textAlignment w:val="auto"/>
        <w:rPr>
          <w:sz w:val="22"/>
          <w:szCs w:val="16"/>
        </w:rPr>
      </w:pPr>
      <w:r>
        <w:rPr>
          <w:sz w:val="22"/>
          <w:szCs w:val="16"/>
        </w:rPr>
        <w:t>需求确认：基于多 Agent 协同将需求条款逐项映射至代码实现，自动识别遗漏、偏差与冗余，生成附定位证据的可追溯符合性报告，支持增量分析加速回归走查；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539" w:firstLineChars="245"/>
        <w:jc w:val="left"/>
        <w:textAlignment w:val="auto"/>
        <w:rPr>
          <w:sz w:val="22"/>
          <w:szCs w:val="16"/>
        </w:rPr>
      </w:pPr>
      <w:r>
        <w:rPr>
          <w:sz w:val="22"/>
          <w:szCs w:val="16"/>
        </w:rPr>
        <w:t>设计验证：从架构、接口、逻辑、算法、约束</w:t>
      </w:r>
      <w:r>
        <w:rPr>
          <w:rFonts w:hint="eastAsia"/>
          <w:sz w:val="22"/>
          <w:szCs w:val="16"/>
          <w:lang w:val="en-US" w:eastAsia="zh-CN"/>
        </w:rPr>
        <w:t>等</w:t>
      </w:r>
      <w:r>
        <w:rPr>
          <w:sz w:val="22"/>
          <w:szCs w:val="16"/>
        </w:rPr>
        <w:t>维度全面比对设计文档与代码实现，自动识别设计偏差</w:t>
      </w:r>
      <w:r>
        <w:rPr>
          <w:rFonts w:hint="eastAsia"/>
          <w:sz w:val="22"/>
          <w:szCs w:val="16"/>
          <w:lang w:eastAsia="zh-CN"/>
        </w:rPr>
        <w:t>，</w:t>
      </w:r>
      <w:r>
        <w:rPr>
          <w:sz w:val="22"/>
          <w:szCs w:val="16"/>
        </w:rPr>
        <w:t>输出风险等级与改进建议；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539" w:firstLineChars="245"/>
        <w:jc w:val="left"/>
        <w:textAlignment w:val="auto"/>
        <w:rPr>
          <w:sz w:val="22"/>
          <w:szCs w:val="16"/>
        </w:rPr>
      </w:pPr>
      <w:r>
        <w:rPr>
          <w:sz w:val="22"/>
          <w:szCs w:val="16"/>
        </w:rPr>
        <w:t>故障校验：基于型号研发多年沉淀</w:t>
      </w:r>
      <w:r>
        <w:rPr>
          <w:rFonts w:hint="eastAsia"/>
          <w:sz w:val="22"/>
          <w:szCs w:val="16"/>
          <w:lang w:val="en-US" w:eastAsia="zh-CN"/>
        </w:rPr>
        <w:t>形成</w:t>
      </w:r>
      <w:r>
        <w:rPr>
          <w:sz w:val="22"/>
          <w:szCs w:val="16"/>
        </w:rPr>
        <w:t>中断冲突、共享变量并发、三模冗余保护、参数有效性等安全可靠性故障模式库</w:t>
      </w:r>
      <w:r>
        <w:rPr>
          <w:rFonts w:hint="eastAsia"/>
          <w:sz w:val="22"/>
          <w:szCs w:val="16"/>
          <w:lang w:eastAsia="zh-CN"/>
        </w:rPr>
        <w:t>。</w:t>
      </w:r>
      <w:r>
        <w:rPr>
          <w:rFonts w:hint="eastAsia"/>
          <w:sz w:val="22"/>
          <w:szCs w:val="16"/>
          <w:lang w:val="en-US" w:eastAsia="zh-CN"/>
        </w:rPr>
        <w:t>支持故障模式扩展并进行</w:t>
      </w:r>
      <w:r>
        <w:rPr>
          <w:sz w:val="22"/>
          <w:szCs w:val="16"/>
        </w:rPr>
        <w:t>专项扫描，将专家经验转化为可自动执行的检查能力；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539" w:firstLineChars="245"/>
        <w:jc w:val="left"/>
        <w:textAlignment w:val="auto"/>
        <w:rPr>
          <w:sz w:val="22"/>
          <w:szCs w:val="16"/>
        </w:rPr>
      </w:pPr>
      <w:r>
        <w:rPr>
          <w:sz w:val="22"/>
          <w:szCs w:val="16"/>
        </w:rPr>
        <w:t>扫描智判</w:t>
      </w:r>
      <w:r>
        <w:rPr>
          <w:rFonts w:hint="eastAsia"/>
          <w:sz w:val="22"/>
          <w:szCs w:val="16"/>
          <w:lang w:eastAsia="zh-CN"/>
        </w:rPr>
        <w:t>：</w:t>
      </w:r>
      <w:r>
        <w:rPr>
          <w:rFonts w:hint="eastAsia"/>
          <w:sz w:val="22"/>
          <w:szCs w:val="16"/>
          <w:lang w:val="en-US" w:eastAsia="zh-CN"/>
        </w:rPr>
        <w:t>支持</w:t>
      </w:r>
      <w:r>
        <w:rPr>
          <w:sz w:val="22"/>
          <w:szCs w:val="16"/>
        </w:rPr>
        <w:t>主流静态分析工具</w:t>
      </w:r>
      <w:r>
        <w:rPr>
          <w:rFonts w:hint="eastAsia"/>
          <w:sz w:val="22"/>
          <w:szCs w:val="16"/>
          <w:lang w:eastAsia="zh-CN"/>
        </w:rPr>
        <w:t>（</w:t>
      </w:r>
      <w:r>
        <w:rPr>
          <w:sz w:val="22"/>
          <w:szCs w:val="16"/>
        </w:rPr>
        <w:t xml:space="preserve">Coverity、CodeSonar、Fortify、SonarQube、C++Test、PolySpace、CppCheck、Clang-Tidy </w:t>
      </w:r>
      <w:r>
        <w:rPr>
          <w:rFonts w:hint="eastAsia"/>
          <w:sz w:val="22"/>
          <w:szCs w:val="16"/>
          <w:lang w:val="en-US" w:eastAsia="zh-CN"/>
        </w:rPr>
        <w:t>等</w:t>
      </w:r>
      <w:r>
        <w:rPr>
          <w:rFonts w:hint="eastAsia"/>
          <w:sz w:val="22"/>
          <w:szCs w:val="16"/>
          <w:lang w:eastAsia="zh-CN"/>
        </w:rPr>
        <w:t>）</w:t>
      </w:r>
      <w:r>
        <w:rPr>
          <w:rFonts w:hint="eastAsia"/>
          <w:sz w:val="22"/>
          <w:szCs w:val="16"/>
          <w:lang w:val="en-US" w:eastAsia="zh-CN"/>
        </w:rPr>
        <w:t>代码扫描结果的导入和集成，</w:t>
      </w:r>
      <w:r>
        <w:rPr>
          <w:sz w:val="22"/>
          <w:szCs w:val="16"/>
        </w:rPr>
        <w:t xml:space="preserve"> </w:t>
      </w:r>
      <w:r>
        <w:rPr>
          <w:rFonts w:hint="eastAsia"/>
          <w:sz w:val="22"/>
          <w:szCs w:val="16"/>
          <w:lang w:val="en-US" w:eastAsia="zh-CN"/>
        </w:rPr>
        <w:t>建立问题</w:t>
      </w:r>
      <w:r>
        <w:rPr>
          <w:sz w:val="22"/>
          <w:szCs w:val="16"/>
        </w:rPr>
        <w:t>归一化模型，智能识别误报、聚焦真实问题，并为每条真问题生成可落地的修复建议。</w:t>
      </w:r>
    </w:p>
    <w:p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16"/>
        </w:rPr>
      </w:pPr>
      <w:r>
        <w:rPr>
          <w:rStyle w:val="17"/>
          <w:sz w:val="22"/>
          <w:szCs w:val="16"/>
        </w:rPr>
        <w:t>三、应用效益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539" w:firstLineChars="245"/>
        <w:jc w:val="left"/>
        <w:textAlignment w:val="auto"/>
        <w:rPr>
          <w:sz w:val="22"/>
          <w:szCs w:val="16"/>
        </w:rPr>
      </w:pPr>
      <w:r>
        <w:rPr>
          <w:rFonts w:hint="eastAsia"/>
          <w:sz w:val="22"/>
          <w:szCs w:val="16"/>
          <w:lang w:val="en-US" w:eastAsia="zh-CN"/>
        </w:rPr>
        <w:t>通过软件走查智能体的应用，</w:t>
      </w:r>
      <w:r>
        <w:rPr>
          <w:sz w:val="22"/>
          <w:szCs w:val="16"/>
        </w:rPr>
        <w:t>软件代码走查从人工密集型活动转向</w:t>
      </w:r>
      <w:r>
        <w:rPr>
          <w:rFonts w:hint="eastAsia"/>
          <w:sz w:val="22"/>
          <w:szCs w:val="16"/>
          <w:lang w:val="en-US" w:eastAsia="zh-CN"/>
        </w:rPr>
        <w:t>智能</w:t>
      </w:r>
      <w:r>
        <w:rPr>
          <w:sz w:val="22"/>
          <w:szCs w:val="16"/>
        </w:rPr>
        <w:t>服务，从专家单点经验依赖转向团队共享的可执行知识资产，从工具结果割裂转向多源统一研判，使走查环节从研发瓶颈变为近实时质量门。主要应用效益如下：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539" w:firstLineChars="245"/>
        <w:jc w:val="left"/>
        <w:textAlignment w:val="auto"/>
        <w:rPr>
          <w:sz w:val="22"/>
          <w:szCs w:val="16"/>
        </w:rPr>
      </w:pPr>
      <w:r>
        <w:rPr>
          <w:rFonts w:hint="eastAsia"/>
          <w:sz w:val="22"/>
          <w:szCs w:val="16"/>
          <w:lang w:val="en-US" w:eastAsia="zh-CN"/>
        </w:rPr>
        <w:t>走查</w:t>
      </w:r>
      <w:r>
        <w:rPr>
          <w:sz w:val="22"/>
          <w:szCs w:val="16"/>
        </w:rPr>
        <w:t>效率大幅跃升：</w:t>
      </w:r>
      <w:r>
        <w:rPr>
          <w:rFonts w:hint="eastAsia"/>
          <w:sz w:val="22"/>
          <w:szCs w:val="16"/>
          <w:lang w:val="en-US" w:eastAsia="zh-CN"/>
        </w:rPr>
        <w:t>走查</w:t>
      </w:r>
      <w:r>
        <w:rPr>
          <w:sz w:val="22"/>
          <w:szCs w:val="16"/>
        </w:rPr>
        <w:t>整体效率提升20～80倍</w:t>
      </w:r>
      <w:r>
        <w:rPr>
          <w:rFonts w:hint="eastAsia"/>
          <w:sz w:val="22"/>
          <w:szCs w:val="16"/>
          <w:lang w:eastAsia="zh-CN"/>
        </w:rPr>
        <w:t>，</w:t>
      </w:r>
      <w:r>
        <w:rPr>
          <w:sz w:val="22"/>
          <w:szCs w:val="16"/>
        </w:rPr>
        <w:t>单条需求</w:t>
      </w:r>
      <w:r>
        <w:rPr>
          <w:rFonts w:hint="eastAsia"/>
          <w:sz w:val="22"/>
          <w:szCs w:val="16"/>
          <w:lang w:val="en-US" w:eastAsia="zh-CN"/>
        </w:rPr>
        <w:t>涉及</w:t>
      </w:r>
      <w:r>
        <w:rPr>
          <w:sz w:val="22"/>
          <w:szCs w:val="16"/>
        </w:rPr>
        <w:t>条款确认由人工</w:t>
      </w:r>
      <w:r>
        <w:rPr>
          <w:rFonts w:hint="eastAsia"/>
          <w:sz w:val="22"/>
          <w:szCs w:val="16"/>
          <w:lang w:val="en-US" w:eastAsia="zh-CN"/>
        </w:rPr>
        <w:t>数十</w:t>
      </w:r>
      <w:r>
        <w:rPr>
          <w:sz w:val="22"/>
          <w:szCs w:val="16"/>
        </w:rPr>
        <w:t>分钟压缩至</w:t>
      </w:r>
      <w:r>
        <w:rPr>
          <w:rFonts w:hint="eastAsia"/>
          <w:sz w:val="22"/>
          <w:szCs w:val="16"/>
          <w:lang w:val="en-US" w:eastAsia="zh-CN"/>
        </w:rPr>
        <w:t>数十</w:t>
      </w:r>
      <w:r>
        <w:rPr>
          <w:sz w:val="22"/>
          <w:szCs w:val="16"/>
        </w:rPr>
        <w:t>秒，</w:t>
      </w:r>
      <w:r>
        <w:rPr>
          <w:rFonts w:hint="eastAsia"/>
          <w:sz w:val="22"/>
          <w:szCs w:val="16"/>
          <w:lang w:val="en-US" w:eastAsia="zh-CN"/>
        </w:rPr>
        <w:t>单</w:t>
      </w:r>
      <w:r>
        <w:rPr>
          <w:sz w:val="22"/>
          <w:szCs w:val="16"/>
        </w:rPr>
        <w:t>条扫描问题研判由</w:t>
      </w:r>
      <w:r>
        <w:rPr>
          <w:rFonts w:hint="eastAsia"/>
          <w:sz w:val="22"/>
          <w:szCs w:val="16"/>
          <w:lang w:val="en-US" w:eastAsia="zh-CN"/>
        </w:rPr>
        <w:t>人工数分钟</w:t>
      </w:r>
      <w:r>
        <w:rPr>
          <w:sz w:val="22"/>
          <w:szCs w:val="16"/>
        </w:rPr>
        <w:t>缩短至</w:t>
      </w:r>
      <w:r>
        <w:rPr>
          <w:rFonts w:hint="eastAsia"/>
          <w:sz w:val="22"/>
          <w:szCs w:val="16"/>
          <w:lang w:val="en-US" w:eastAsia="zh-CN"/>
        </w:rPr>
        <w:t>几秒自动执行</w:t>
      </w:r>
      <w:r>
        <w:rPr>
          <w:sz w:val="22"/>
          <w:szCs w:val="16"/>
        </w:rPr>
        <w:t>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539" w:firstLineChars="245"/>
        <w:jc w:val="left"/>
        <w:textAlignment w:val="auto"/>
        <w:rPr>
          <w:sz w:val="22"/>
          <w:szCs w:val="16"/>
        </w:rPr>
      </w:pPr>
      <w:r>
        <w:rPr>
          <w:sz w:val="22"/>
          <w:szCs w:val="16"/>
        </w:rPr>
        <w:t>质量覆盖全面提升：需求条款、设计要点、故障模式实现全量覆盖，覆盖率可达 95% 以上，结论稳定可复现，彻底消除人为疏漏与标准不一的问题。人工需复核的问题条目大幅减少，提升审查决策效率。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539" w:firstLineChars="245"/>
        <w:jc w:val="left"/>
        <w:textAlignment w:val="auto"/>
        <w:rPr>
          <w:sz w:val="22"/>
          <w:szCs w:val="16"/>
        </w:rPr>
      </w:pPr>
      <w:r>
        <w:rPr>
          <w:sz w:val="22"/>
          <w:szCs w:val="16"/>
        </w:rPr>
        <w:t>经验持续沉淀复用：型号历史故障模式沉淀为团队共享经验库，新项目自动复用，不依赖个人经验传承，同一平台可跨多个型号项目统一赋能，走查能力持续迭代升级。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588" w:firstLineChars="245"/>
        <w:jc w:val="left"/>
        <w:textAlignment w:val="auto"/>
        <w:sectPr>
          <w:headerReference r:id="rId10" w:type="default"/>
          <w:footerReference r:id="rId11" w:type="default"/>
          <w:pgSz w:w="11906" w:h="16838"/>
          <w:pgMar w:top="720" w:right="1080" w:bottom="720" w:left="1080" w:header="708" w:footer="708" w:gutter="0"/>
          <w:cols w:space="720" w:num="1"/>
          <w:docGrid w:linePitch="360" w:charSpace="0"/>
        </w:sectPr>
      </w:pPr>
    </w:p>
    <w:p>
      <w:pPr>
        <w:pStyle w:val="1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 w:line="240" w:lineRule="auto"/>
        <w:ind w:left="0" w:leftChars="0" w:right="0" w:firstLineChars="0"/>
        <w:jc w:val="center"/>
        <w:textAlignment w:val="auto"/>
      </w:pPr>
      <w:r>
        <w:rPr>
          <w:rFonts w:hint="eastAsia" w:ascii="微软雅黑" w:hAnsi="微软雅黑" w:eastAsia="微软雅黑" w:cs="微软雅黑"/>
          <w:b/>
          <w:i w:val="0"/>
          <w:strike w:val="0"/>
          <w:color w:val="1F4E79"/>
          <w:sz w:val="44"/>
          <w:u w:val="none"/>
        </w:rPr>
        <w:t>SmartUT</w:t>
      </w:r>
      <w:r>
        <w:rPr>
          <w:rFonts w:ascii="微软雅黑" w:hAnsi="微软雅黑" w:eastAsia="微软雅黑" w:cs="微软雅黑"/>
          <w:b/>
          <w:i w:val="0"/>
          <w:strike w:val="0"/>
          <w:color w:val="1F4E79"/>
          <w:sz w:val="44"/>
          <w:u w:val="none"/>
        </w:rPr>
        <w:t>单元测试</w:t>
      </w:r>
      <w:r>
        <w:rPr>
          <w:rFonts w:hint="eastAsia" w:ascii="微软雅黑" w:hAnsi="微软雅黑" w:eastAsia="微软雅黑" w:cs="微软雅黑"/>
          <w:b/>
          <w:i w:val="0"/>
          <w:strike w:val="0"/>
          <w:color w:val="1F4E79"/>
          <w:sz w:val="44"/>
          <w:u w:val="none"/>
        </w:rPr>
        <w:t>代码生成</w:t>
      </w:r>
      <w:r>
        <w:rPr>
          <w:rFonts w:ascii="微软雅黑" w:hAnsi="微软雅黑" w:eastAsia="微软雅黑" w:cs="微软雅黑"/>
          <w:b/>
          <w:i w:val="0"/>
          <w:strike w:val="0"/>
          <w:color w:val="1F4E79"/>
          <w:sz w:val="44"/>
          <w:u w:val="none"/>
        </w:rPr>
        <w:t>智能体</w:t>
      </w:r>
    </w:p>
    <w:tbl>
      <w:tblPr>
        <w:tblStyle w:val="15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735" w:type="dxa"/>
            <w:tcBorders>
              <w:top w:val="single" w:color="000000" w:sz="0" w:space="0"/>
              <w:left w:val="single" w:color="C00000" w:sz="32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90" w:type="dxa"/>
              <w:left w:w="200" w:type="dxa"/>
              <w:bottom w:w="90" w:type="dxa"/>
              <w:right w:w="120" w:type="dxa"/>
            </w:tcMar>
            <w:vAlign w:val="top"/>
          </w:tcPr>
          <w:p>
            <w:pPr>
              <w:snapToGrid/>
              <w:spacing w:before="0" w:after="0" w:line="240" w:lineRule="auto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C00000"/>
                <w:spacing w:val="0"/>
                <w:sz w:val="24"/>
                <w:u w:val="none"/>
              </w:rPr>
              <w:t>一、业务痛点</w:t>
            </w:r>
          </w:p>
        </w:tc>
      </w:tr>
    </w:tbl>
    <w:p>
      <w:pPr>
        <w:snapToGrid/>
        <w:spacing w:before="0" w:after="0" w:line="240" w:lineRule="auto"/>
        <w:ind w:left="0" w:leftChars="0" w:right="0" w:firstLineChars="200"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当前型号软件规模持续增长，单元测试面临日益突出的效率与质量矛盾。典型的大型软件代码量超过 10 万行，假设平均每个函数 200 行，则待测函数多达 500 个，测试工作繁重且重复。具体痛点如下：</w:t>
      </w:r>
    </w:p>
    <w:p>
      <w:pPr>
        <w:snapToGrid/>
        <w:spacing w:before="0" w:after="0" w:line="240" w:lineRule="auto"/>
        <w:ind w:left="0"/>
        <w:jc w:val="left"/>
      </w:pPr>
      <w:r>
        <w:rPr>
          <w:rFonts w:ascii="微软雅黑" w:hAnsi="微软雅黑" w:eastAsia="微软雅黑" w:cs="微软雅黑"/>
          <w:b/>
          <w:i w:val="0"/>
          <w:strike w:val="0"/>
          <w:color w:val="C00000"/>
          <w:sz w:val="18"/>
          <w:u w:val="none"/>
        </w:rPr>
        <w:t xml:space="preserve">■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22"/>
          <w:u w:val="none"/>
        </w:rPr>
        <w:t>测试工作量大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：待测单元数量庞大，导致测试用例编写、执行与维护的工作总量极为繁重。</w:t>
      </w:r>
    </w:p>
    <w:p>
      <w:pPr>
        <w:snapToGrid/>
        <w:spacing w:before="0" w:after="0" w:line="240" w:lineRule="auto"/>
        <w:ind w:left="0"/>
        <w:jc w:val="left"/>
      </w:pPr>
      <w:r>
        <w:rPr>
          <w:rFonts w:ascii="微软雅黑" w:hAnsi="微软雅黑" w:eastAsia="微软雅黑" w:cs="微软雅黑"/>
          <w:b/>
          <w:i w:val="0"/>
          <w:strike w:val="0"/>
          <w:color w:val="C00000"/>
          <w:sz w:val="18"/>
          <w:u w:val="none"/>
        </w:rPr>
        <w:t xml:space="preserve">■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22"/>
          <w:u w:val="none"/>
        </w:rPr>
        <w:t>人力投入需求高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：单元测试需全面覆盖设计文档的功能与性能要求，且须保证测试代码自身正确。以每人每小时2个函数的编写速度估算，每人每天约完成 4 个函数，完成 500 个函数需要 125 人天，人力投入极大。</w:t>
      </w:r>
    </w:p>
    <w:p>
      <w:pPr>
        <w:snapToGrid/>
        <w:spacing w:before="0" w:after="0" w:line="240" w:lineRule="auto"/>
        <w:ind w:left="0"/>
        <w:jc w:val="left"/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b/>
          <w:i w:val="0"/>
          <w:strike w:val="0"/>
          <w:color w:val="C00000"/>
          <w:sz w:val="18"/>
          <w:u w:val="none"/>
        </w:rPr>
        <w:t xml:space="preserve">■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22"/>
          <w:u w:val="none"/>
        </w:rPr>
        <w:t>专业性要求高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：测试需满足语句、分支、MC/DC 等覆盖率要求，要求测试人员深入理解功能逻辑并精准设计用例，专业门槛高。</w:t>
      </w:r>
    </w:p>
    <w:p>
      <w:pPr>
        <w:pBdr>
          <w:bottom w:val="none" w:color="auto" w:sz="0" w:space="0"/>
        </w:pBdr>
        <w:snapToGrid/>
        <w:spacing w:before="0" w:after="0" w:line="240" w:lineRule="auto"/>
        <w:ind w:left="0"/>
        <w:jc w:val="left"/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</w:pPr>
    </w:p>
    <w:tbl>
      <w:tblPr>
        <w:tblStyle w:val="15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735" w:type="dxa"/>
            <w:tcBorders>
              <w:top w:val="single" w:color="000000" w:sz="0" w:space="0"/>
              <w:left w:val="single" w:color="2E75B6" w:sz="32" w:space="0"/>
              <w:bottom w:val="single" w:color="000000" w:sz="0" w:space="0"/>
              <w:right w:val="single" w:color="000000" w:sz="0" w:space="0"/>
            </w:tcBorders>
            <w:shd w:val="clear" w:color="auto" w:fill="EBF3FB"/>
            <w:tcMar>
              <w:top w:w="90" w:type="dxa"/>
              <w:left w:w="200" w:type="dxa"/>
              <w:bottom w:w="90" w:type="dxa"/>
              <w:right w:w="120" w:type="dxa"/>
            </w:tcMar>
            <w:vAlign w:val="top"/>
          </w:tcPr>
          <w:p>
            <w:pPr>
              <w:snapToGrid/>
              <w:spacing w:before="0" w:after="0" w:line="240" w:lineRule="auto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2E75B6"/>
                <w:spacing w:val="0"/>
                <w:sz w:val="24"/>
                <w:u w:val="none"/>
              </w:rPr>
              <w:t>二、产品</w:t>
            </w: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2E75B6"/>
                <w:spacing w:val="0"/>
                <w:sz w:val="24"/>
                <w:u w:val="none"/>
              </w:rPr>
              <w:t>介绍</w:t>
            </w:r>
          </w:p>
        </w:tc>
      </w:tr>
    </w:tbl>
    <w:p>
      <w:pPr>
        <w:snapToGrid/>
        <w:spacing w:before="0" w:after="0" w:line="240" w:lineRule="auto"/>
        <w:ind w:left="0" w:leftChars="0" w:right="0" w:firstLine="539" w:firstLineChars="245"/>
        <w:jc w:val="left"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SmartUT 是一款面向单元测试的智能体工具，以被测代码的设计文档和源代码为输入，自动生成高覆盖度、高正确性的单元测试代码，大幅降低人工编写与审查的工作量。工具由三个核心智能体及形式化规约驱动的测试生成方法组成。</w:t>
      </w:r>
    </w:p>
    <w:p>
      <w:pPr>
        <w:snapToGrid/>
        <w:spacing w:before="0" w:after="0" w:line="240" w:lineRule="auto"/>
        <w:ind w:left="0"/>
        <w:jc w:val="left"/>
      </w:pPr>
      <w:r>
        <w:rPr>
          <w:rFonts w:ascii="微软雅黑" w:hAnsi="微软雅黑" w:eastAsia="微软雅黑" w:cs="微软雅黑"/>
          <w:b/>
          <w:i w:val="0"/>
          <w:strike w:val="0"/>
          <w:color w:val="2E75B6"/>
          <w:sz w:val="18"/>
          <w:u w:val="none"/>
        </w:rPr>
        <w:t xml:space="preserve">■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22"/>
          <w:u w:val="none"/>
        </w:rPr>
        <w:t>测试说明文档生成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：自动识别函数输入、输出、外部依赖及功能关系，进而划分等价类并设计测试用例的输入和预期输出，生成结构化的测试说明文档；</w:t>
      </w:r>
    </w:p>
    <w:p>
      <w:pPr>
        <w:snapToGrid/>
        <w:spacing w:before="0" w:after="0" w:line="240" w:lineRule="auto"/>
        <w:ind w:left="0"/>
        <w:jc w:val="left"/>
      </w:pPr>
      <w:r>
        <w:rPr>
          <w:rFonts w:ascii="微软雅黑" w:hAnsi="微软雅黑" w:eastAsia="微软雅黑" w:cs="微软雅黑"/>
          <w:b/>
          <w:i w:val="0"/>
          <w:strike w:val="0"/>
          <w:color w:val="2E75B6"/>
          <w:sz w:val="18"/>
          <w:u w:val="none"/>
        </w:rPr>
        <w:t xml:space="preserve">■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22"/>
          <w:u w:val="none"/>
        </w:rPr>
        <w:t>测试用例代码生成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：依据测试说明文档确定具体输入输出值，编写可执行测试代码及必要的 mock/wrap 代码，通过编译执行反馈持续修正，由智能体自主规划代码的编写、执行、完善；</w:t>
      </w:r>
    </w:p>
    <w:p>
      <w:pPr>
        <w:snapToGrid/>
        <w:spacing w:before="0" w:after="0" w:line="240" w:lineRule="auto"/>
        <w:ind w:left="0"/>
        <w:jc w:val="left"/>
      </w:pPr>
      <w:r>
        <w:rPr>
          <w:rFonts w:ascii="微软雅黑" w:hAnsi="微软雅黑" w:eastAsia="微软雅黑" w:cs="微软雅黑"/>
          <w:b/>
          <w:i w:val="0"/>
          <w:strike w:val="0"/>
          <w:color w:val="2E75B6"/>
          <w:sz w:val="18"/>
          <w:u w:val="none"/>
        </w:rPr>
        <w:t xml:space="preserve">■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22"/>
          <w:u w:val="none"/>
        </w:rPr>
        <w:t>测试代码审查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：检查测试用例是否完整覆盖功能条目及输出行为，生成审查意见反馈生成智能体进行迭代修改，确保用例的正确性和完备性；</w:t>
      </w:r>
    </w:p>
    <w:p>
      <w:pPr>
        <w:snapToGrid/>
        <w:spacing w:before="0" w:after="0" w:line="240" w:lineRule="auto"/>
        <w:ind w:left="0"/>
        <w:jc w:val="left"/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b/>
          <w:i w:val="0"/>
          <w:strike w:val="0"/>
          <w:color w:val="2E75B6"/>
          <w:sz w:val="18"/>
          <w:u w:val="none"/>
        </w:rPr>
        <w:t xml:space="preserve">■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22"/>
          <w:u w:val="none"/>
        </w:rPr>
        <w:t>基于形式化规约的测试用例生成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先从设计文档提取形式化规约，精确描述输入约束与输出映射关系；再以规约为唯一依据，通过等价类和边界值分析自动产生测试用例。该方法确保测试用例与设计预期严格对齐，从根本上保证正确性和完整性。</w:t>
      </w:r>
    </w:p>
    <w:p>
      <w:pPr>
        <w:pBdr>
          <w:bottom w:val="none" w:color="auto" w:sz="0" w:space="0"/>
        </w:pBdr>
        <w:snapToGrid/>
        <w:spacing w:before="0" w:after="0" w:line="240" w:lineRule="auto"/>
        <w:ind w:left="0"/>
        <w:jc w:val="left"/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</w:pPr>
    </w:p>
    <w:tbl>
      <w:tblPr>
        <w:tblStyle w:val="15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735" w:type="dxa"/>
            <w:tcBorders>
              <w:top w:val="single" w:color="000000" w:sz="0" w:space="0"/>
              <w:left w:val="single" w:color="ED7D31" w:sz="32" w:space="0"/>
              <w:bottom w:val="single" w:color="000000" w:sz="0" w:space="0"/>
              <w:right w:val="single" w:color="000000" w:sz="0" w:space="0"/>
            </w:tcBorders>
            <w:shd w:val="clear" w:color="auto" w:fill="FFF2E6"/>
            <w:tcMar>
              <w:top w:w="90" w:type="dxa"/>
              <w:left w:w="200" w:type="dxa"/>
              <w:bottom w:w="90" w:type="dxa"/>
              <w:right w:w="120" w:type="dxa"/>
            </w:tcMar>
            <w:vAlign w:val="top"/>
          </w:tcPr>
          <w:p>
            <w:pPr>
              <w:snapToGrid/>
              <w:spacing w:before="0" w:after="0" w:line="240" w:lineRule="auto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ED7D31"/>
                <w:spacing w:val="0"/>
                <w:sz w:val="24"/>
                <w:u w:val="none"/>
              </w:rPr>
              <w:t>三、</w:t>
            </w: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ED7D31"/>
                <w:spacing w:val="0"/>
                <w:sz w:val="24"/>
                <w:u w:val="none"/>
              </w:rPr>
              <w:t>应用</w:t>
            </w: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ED7D31"/>
                <w:spacing w:val="0"/>
                <w:sz w:val="24"/>
                <w:u w:val="none"/>
              </w:rPr>
              <w:t>效益</w:t>
            </w:r>
          </w:p>
        </w:tc>
      </w:tr>
    </w:tbl>
    <w:p>
      <w:pPr>
        <w:snapToGrid/>
        <w:spacing w:before="0" w:after="0" w:line="240" w:lineRule="auto"/>
        <w:ind w:left="0" w:leftChars="0" w:right="0" w:firstLine="539" w:firstLineChars="245"/>
        <w:jc w:val="left"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在试验验证任务中，SmartUT智能体生成测试用例数量较多，测试说明文档的等价类划分比人工更全面，生成的测试用例能够准确发现被测函数的缺陷，且大部分工作由智能体自主调度完成，显著减少人工工作量。与传统人工方式相比，SmartUT 能有效缓解单元测试的主要痛点：</w:t>
      </w:r>
    </w:p>
    <w:p>
      <w:pPr>
        <w:snapToGrid/>
        <w:spacing w:before="0" w:after="0" w:line="240" w:lineRule="auto"/>
        <w:ind w:left="0"/>
        <w:jc w:val="left"/>
      </w:pPr>
      <w:r>
        <w:rPr>
          <w:rFonts w:ascii="微软雅黑" w:hAnsi="微软雅黑" w:eastAsia="微软雅黑" w:cs="微软雅黑"/>
          <w:b/>
          <w:i w:val="0"/>
          <w:strike w:val="0"/>
          <w:color w:val="ED7D31"/>
          <w:sz w:val="18"/>
          <w:u w:val="none"/>
        </w:rPr>
        <w:t>■</w:t>
      </w:r>
      <w:r>
        <w:rPr>
          <w:rFonts w:hint="eastAsia" w:ascii="微软雅黑" w:hAnsi="微软雅黑" w:eastAsia="微软雅黑" w:cs="微软雅黑"/>
          <w:b/>
          <w:i w:val="0"/>
          <w:strike w:val="0"/>
          <w:color w:val="ED7D31"/>
          <w:sz w:val="18"/>
          <w:u w:val="none"/>
        </w:rPr>
        <w:t xml:space="preserve">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22"/>
          <w:u w:val="none"/>
        </w:rPr>
        <w:t>显著减少人力投入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：单函数人工介入查验时间约 10 分钟，相比传统 2 小时/函数，效率提升 10 倍以上。500 个函数的工作量可由 125 人天降至约 10 人天。</w:t>
      </w:r>
    </w:p>
    <w:p>
      <w:pPr>
        <w:pBdr>
          <w:bottom w:val="none" w:color="auto" w:sz="0" w:space="0"/>
        </w:pBdr>
        <w:snapToGrid/>
        <w:spacing w:before="0" w:after="0" w:line="240" w:lineRule="auto"/>
        <w:ind w:left="0"/>
        <w:jc w:val="left"/>
      </w:pPr>
      <w:r>
        <w:rPr>
          <w:rFonts w:ascii="微软雅黑" w:hAnsi="微软雅黑" w:eastAsia="微软雅黑" w:cs="微软雅黑"/>
          <w:b/>
          <w:i w:val="0"/>
          <w:strike w:val="0"/>
          <w:color w:val="ED7D31"/>
          <w:sz w:val="18"/>
          <w:u w:val="none"/>
        </w:rPr>
        <w:t>■</w:t>
      </w:r>
      <w:r>
        <w:rPr>
          <w:rFonts w:hint="eastAsia" w:ascii="微软雅黑" w:hAnsi="微软雅黑" w:eastAsia="微软雅黑" w:cs="微软雅黑"/>
          <w:b/>
          <w:i w:val="0"/>
          <w:strike w:val="0"/>
          <w:color w:val="ED7D31"/>
          <w:sz w:val="18"/>
          <w:u w:val="none"/>
        </w:rPr>
        <w:t xml:space="preserve">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22"/>
          <w:u w:val="none"/>
        </w:rPr>
        <w:t>提升测试质量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：大模型生成的用例能覆盖人工易忽略的边界条件和异常场景，且形式化规约驱动与自动审查机制保障了用例的严格性和全面性，降低了对高专业经验测试人员的依赖，助力团队高效达成高覆盖率要求。 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539" w:firstLineChars="245"/>
        <w:jc w:val="left"/>
        <w:textAlignment w:val="auto"/>
        <w:rPr>
          <w:sz w:val="22"/>
          <w:szCs w:val="16"/>
        </w:rPr>
        <w:sectPr>
          <w:headerReference r:id="rId14" w:type="first"/>
          <w:headerReference r:id="rId12" w:type="default"/>
          <w:headerReference r:id="rId13" w:type="even"/>
          <w:pgSz w:w="11906" w:h="16838"/>
          <w:pgMar w:top="720" w:right="1080" w:bottom="720" w:left="1080" w:header="708" w:footer="708" w:gutter="0"/>
          <w:cols w:space="720" w:num="1"/>
          <w:docGrid w:linePitch="360" w:charSpace="0"/>
        </w:sectPr>
      </w:pPr>
    </w:p>
    <w:p>
      <w:pPr>
        <w:snapToGrid/>
        <w:spacing w:before="0" w:after="0" w:line="240" w:lineRule="auto"/>
        <w:ind w:left="0" w:right="0"/>
        <w:jc w:val="center"/>
      </w:pPr>
      <w:r>
        <w:rPr>
          <w:rFonts w:ascii="微软雅黑" w:hAnsi="微软雅黑" w:eastAsia="微软雅黑" w:cs="微软雅黑"/>
          <w:b/>
          <w:i w:val="0"/>
          <w:strike w:val="0"/>
          <w:color w:val="1F4E79"/>
          <w:sz w:val="36"/>
          <w:u w:val="none"/>
        </w:rPr>
        <w:t xml:space="preserve">SmartST </w:t>
      </w:r>
      <w:r>
        <w:rPr>
          <w:rFonts w:ascii="微软雅黑" w:hAnsi="微软雅黑" w:eastAsia="微软雅黑" w:cs="微软雅黑"/>
          <w:b/>
          <w:i w:val="0"/>
          <w:strike w:val="0"/>
          <w:color w:val="262626"/>
          <w:sz w:val="32"/>
          <w:u w:val="none"/>
        </w:rPr>
        <w:t xml:space="preserve">软件配置项测试用例生成智能体            </w:t>
      </w:r>
    </w:p>
    <w:p>
      <w:pPr>
        <w:snapToGrid/>
        <w:spacing w:before="0" w:after="80" w:line="240" w:lineRule="auto"/>
        <w:ind w:left="0" w:right="0"/>
      </w:pPr>
      <w:r>
        <w:rPr>
          <w:rFonts w:ascii="微软雅黑" w:hAnsi="微软雅黑" w:eastAsia="微软雅黑" w:cs="微软雅黑"/>
          <w:i w:val="0"/>
          <w:strike w:val="0"/>
          <w:color w:val="595959"/>
          <w:sz w:val="18"/>
          <w:u w:val="none"/>
        </w:rPr>
        <w:t>产品介绍</w:t>
      </w:r>
    </w:p>
    <w:p>
      <w:pPr>
        <w:pBdr>
          <w:bottom w:val="single" w:color="1F4E79" w:sz="8" w:space="0"/>
        </w:pBdr>
        <w:snapToGrid/>
        <w:spacing w:before="0" w:after="80" w:line="240" w:lineRule="auto"/>
        <w:ind w:left="0" w:right="0"/>
      </w:pPr>
      <w:r>
        <w:rPr>
          <w:rFonts w:ascii="微软雅黑" w:hAnsi="微软雅黑" w:eastAsia="微软雅黑" w:cs="微软雅黑"/>
          <w:i w:val="0"/>
          <w:strike w:val="0"/>
          <w:color w:val="000000"/>
          <w:sz w:val="20"/>
          <w:u w:val="none"/>
        </w:rPr>
        <w:t> </w:t>
      </w:r>
    </w:p>
    <w:tbl>
      <w:tblPr>
        <w:tblStyle w:val="15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"/>
        <w:gridCol w:w="946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15" w:type="dxa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28"/>
                <w:u w:val="none"/>
              </w:rPr>
              <w:t>01</w:t>
            </w:r>
          </w:p>
        </w:tc>
        <w:tc>
          <w:tcPr>
            <w:tcW w:w="9465" w:type="dxa"/>
            <w:tcBorders>
              <w:top w:val="single" w:color="DEEBF7" w:sz="8" w:space="0"/>
              <w:left w:val="single" w:color="1F4E79" w:sz="0" w:space="0"/>
              <w:bottom w:val="single" w:color="DEEBF7" w:sz="8" w:space="0"/>
              <w:right w:val="single" w:color="DEEBF7" w:sz="8" w:space="0"/>
            </w:tcBorders>
            <w:shd w:val="clear" w:color="auto" w:fill="DE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1F4E79"/>
                <w:spacing w:val="0"/>
                <w:sz w:val="24"/>
                <w:u w:val="none"/>
              </w:rPr>
              <w:t xml:space="preserve">  用户痛点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8"/>
                <w:u w:val="none"/>
              </w:rPr>
              <w:t xml:space="preserve">   |  传统人工方式难以持续做好配置项测试</w:t>
            </w:r>
          </w:p>
        </w:tc>
      </w:tr>
    </w:tbl>
    <w:p>
      <w:pPr>
        <w:snapToGrid/>
        <w:spacing w:before="0" w:after="0" w:line="240" w:lineRule="auto"/>
        <w:ind w:left="0" w:right="0"/>
      </w:pPr>
      <w:r>
        <w:rPr>
          <w:rFonts w:ascii="微软雅黑" w:hAnsi="微软雅黑" w:eastAsia="微软雅黑" w:cs="微软雅黑"/>
          <w:i w:val="0"/>
          <w:strike w:val="0"/>
          <w:color w:val="000000"/>
          <w:sz w:val="20"/>
          <w:u w:val="none"/>
        </w:rPr>
        <w:t> </w:t>
      </w:r>
    </w:p>
    <w:tbl>
      <w:tblPr>
        <w:tblStyle w:val="15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64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1F4E79"/>
                <w:spacing w:val="0"/>
                <w:sz w:val="20"/>
                <w:u w:val="none"/>
              </w:rPr>
              <w:t xml:space="preserve">■ </w:t>
            </w: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262626"/>
                <w:spacing w:val="0"/>
                <w:sz w:val="20"/>
                <w:u w:val="none"/>
              </w:rPr>
              <w:t>测试充分性难保障</w:t>
            </w:r>
          </w:p>
          <w:p>
            <w:pPr>
              <w:snapToGrid/>
              <w:spacing w:before="2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8"/>
                <w:u w:val="none"/>
              </w:rPr>
              <w:t>人工编写依赖个人经验，边界值、异常分支与时序组合场景易遗漏，跨批次质量波动明显。</w:t>
            </w:r>
          </w:p>
        </w:tc>
        <w:tc>
          <w:tcPr>
            <w:tcW w:w="3360" w:type="dxa"/>
            <w:tcBorders>
              <w:top w:val="single" w:color="D9D9D9" w:sz="8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64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1F4E79"/>
                <w:spacing w:val="0"/>
                <w:sz w:val="20"/>
                <w:u w:val="none"/>
              </w:rPr>
              <w:t xml:space="preserve">■ </w:t>
            </w: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262626"/>
                <w:spacing w:val="0"/>
                <w:sz w:val="20"/>
                <w:u w:val="none"/>
              </w:rPr>
              <w:t>覆盖率长期承压</w:t>
            </w:r>
          </w:p>
          <w:p>
            <w:pPr>
              <w:snapToGrid/>
              <w:spacing w:before="2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8"/>
                <w:u w:val="none"/>
              </w:rPr>
              <w:t>需求迭代快、影响范围广，人工做变更分析与回归补测成本高，覆盖率难以稳定维持。</w:t>
            </w:r>
          </w:p>
        </w:tc>
        <w:tc>
          <w:tcPr>
            <w:tcW w:w="3360" w:type="dxa"/>
            <w:tcBorders>
              <w:top w:val="single" w:color="D9D9D9" w:sz="8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64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1F4E79"/>
                <w:spacing w:val="0"/>
                <w:sz w:val="20"/>
                <w:u w:val="none"/>
              </w:rPr>
              <w:t xml:space="preserve">■ </w:t>
            </w: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262626"/>
                <w:spacing w:val="0"/>
                <w:sz w:val="20"/>
                <w:u w:val="none"/>
              </w:rPr>
              <w:t>门槛高且人力紧缺</w:t>
            </w:r>
          </w:p>
          <w:p>
            <w:pPr>
              <w:snapToGrid/>
              <w:spacing w:before="2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8"/>
                <w:u w:val="none"/>
              </w:rPr>
              <w:t>需懂业务、懂接口、懂方法论，培养周期长，团队扩编速度跟不上任务增长。</w:t>
            </w:r>
          </w:p>
        </w:tc>
      </w:tr>
    </w:tbl>
    <w:p>
      <w:pPr>
        <w:snapToGrid/>
        <w:spacing w:before="40" w:after="80" w:line="264" w:lineRule="auto"/>
        <w:ind w:left="0" w:right="0"/>
      </w:pPr>
      <w:r>
        <w:rPr>
          <w:rFonts w:ascii="微软雅黑" w:hAnsi="微软雅黑" w:eastAsia="微软雅黑" w:cs="微软雅黑"/>
          <w:b/>
          <w:i w:val="0"/>
          <w:strike w:val="0"/>
          <w:color w:val="C00000"/>
          <w:sz w:val="18"/>
          <w:u w:val="none"/>
        </w:rPr>
        <w:t> </w:t>
      </w:r>
    </w:p>
    <w:p>
      <w:pPr>
        <w:snapToGrid/>
        <w:spacing w:before="40" w:after="80" w:line="264" w:lineRule="auto"/>
        <w:ind w:left="0" w:right="0"/>
      </w:pPr>
      <w:r>
        <w:rPr>
          <w:rFonts w:ascii="微软雅黑" w:hAnsi="微软雅黑" w:eastAsia="微软雅黑" w:cs="微软雅黑"/>
          <w:b/>
          <w:i w:val="0"/>
          <w:strike w:val="0"/>
          <w:color w:val="C00000"/>
          <w:sz w:val="18"/>
          <w:u w:val="none"/>
        </w:rPr>
        <w:t>→ 核心诉求：</w:t>
      </w:r>
      <w:r>
        <w:rPr>
          <w:rFonts w:ascii="微软雅黑" w:hAnsi="微软雅黑" w:eastAsia="微软雅黑" w:cs="微软雅黑"/>
          <w:i w:val="0"/>
          <w:strike w:val="0"/>
          <w:color w:val="404040"/>
          <w:sz w:val="18"/>
          <w:u w:val="none"/>
        </w:rPr>
        <w:t>建立 “可复用、可追溯、可执行、可度量” 的用例生成机制，替代一次性人工堆砌。</w:t>
      </w:r>
    </w:p>
    <w:p>
      <w:pPr>
        <w:snapToGrid/>
        <w:spacing w:before="40" w:after="80" w:line="264" w:lineRule="auto"/>
        <w:ind w:left="0" w:right="0"/>
      </w:pPr>
      <w:r>
        <w:rPr>
          <w:rFonts w:ascii="微软雅黑" w:hAnsi="微软雅黑" w:eastAsia="微软雅黑" w:cs="微软雅黑"/>
          <w:i w:val="0"/>
          <w:strike w:val="0"/>
          <w:color w:val="000000"/>
          <w:sz w:val="20"/>
          <w:u w:val="none"/>
        </w:rPr>
        <w:t> </w:t>
      </w:r>
    </w:p>
    <w:p>
      <w:pPr>
        <w:snapToGrid/>
        <w:spacing w:before="40" w:after="80" w:line="264" w:lineRule="auto"/>
        <w:ind w:left="0" w:right="0"/>
      </w:pPr>
      <w:r>
        <w:rPr>
          <w:rFonts w:ascii="微软雅黑" w:hAnsi="微软雅黑" w:eastAsia="微软雅黑" w:cs="微软雅黑"/>
          <w:i w:val="0"/>
          <w:strike w:val="0"/>
          <w:color w:val="000000"/>
          <w:sz w:val="20"/>
          <w:u w:val="none"/>
        </w:rPr>
        <w:t> </w:t>
      </w:r>
    </w:p>
    <w:tbl>
      <w:tblPr>
        <w:tblStyle w:val="15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"/>
        <w:gridCol w:w="946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15" w:type="dxa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28"/>
                <w:u w:val="none"/>
              </w:rPr>
              <w:t>02</w:t>
            </w:r>
          </w:p>
        </w:tc>
        <w:tc>
          <w:tcPr>
            <w:tcW w:w="9465" w:type="dxa"/>
            <w:tcBorders>
              <w:top w:val="single" w:color="DEEBF7" w:sz="8" w:space="0"/>
              <w:left w:val="single" w:color="1F4E79" w:sz="0" w:space="0"/>
              <w:bottom w:val="single" w:color="DEEBF7" w:sz="8" w:space="0"/>
              <w:right w:val="single" w:color="DEEBF7" w:sz="8" w:space="0"/>
            </w:tcBorders>
            <w:shd w:val="clear" w:color="auto" w:fill="DE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1F4E79"/>
                <w:spacing w:val="0"/>
                <w:sz w:val="24"/>
                <w:u w:val="none"/>
              </w:rPr>
              <w:t xml:space="preserve">  解决方案（核心功能）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8"/>
                <w:u w:val="none"/>
              </w:rPr>
              <w:t xml:space="preserve">   |  面向配置项测试一体化工具：聚焦充分性、可执行性、可追溯性</w:t>
            </w:r>
          </w:p>
        </w:tc>
      </w:tr>
    </w:tbl>
    <w:p>
      <w:pPr>
        <w:snapToGrid/>
        <w:spacing w:before="0" w:after="0" w:line="240" w:lineRule="auto"/>
        <w:ind w:left="0" w:right="0"/>
      </w:pPr>
      <w:r>
        <w:rPr>
          <w:rFonts w:ascii="微软雅黑" w:hAnsi="微软雅黑" w:eastAsia="微软雅黑" w:cs="微软雅黑"/>
          <w:i w:val="0"/>
          <w:strike w:val="0"/>
          <w:color w:val="000000"/>
          <w:sz w:val="20"/>
          <w:u w:val="none"/>
        </w:rPr>
        <w:t> </w:t>
      </w:r>
    </w:p>
    <w:tbl>
      <w:tblPr>
        <w:tblStyle w:val="15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64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1F4E79"/>
                <w:spacing w:val="0"/>
                <w:sz w:val="18"/>
                <w:u w:val="none"/>
              </w:rPr>
              <w:t xml:space="preserve">● </w:t>
            </w: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262626"/>
                <w:spacing w:val="0"/>
                <w:sz w:val="19"/>
                <w:u w:val="none"/>
              </w:rPr>
              <w:t>需求理解</w:t>
            </w:r>
          </w:p>
          <w:p>
            <w:pPr>
              <w:snapToGrid/>
              <w:spacing w:before="2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自动抽取需求条目、章节锚点与关键信息，形成结构化需求池并保留来源追溯。</w:t>
            </w:r>
          </w:p>
        </w:tc>
        <w:tc>
          <w:tcPr>
            <w:tcW w:w="2520" w:type="dxa"/>
            <w:tcBorders>
              <w:top w:val="single" w:color="D9D9D9" w:sz="8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64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1F4E79"/>
                <w:spacing w:val="0"/>
                <w:sz w:val="18"/>
                <w:u w:val="none"/>
              </w:rPr>
              <w:t xml:space="preserve">● </w:t>
            </w: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262626"/>
                <w:spacing w:val="0"/>
                <w:sz w:val="19"/>
                <w:u w:val="none"/>
              </w:rPr>
              <w:t>用例生成</w:t>
            </w:r>
          </w:p>
          <w:p>
            <w:pPr>
              <w:snapToGrid/>
              <w:spacing w:before="2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支持一键批量生成与单需求定向再生成，面向问题项持续修正，缩短迭代周期。</w:t>
            </w:r>
          </w:p>
        </w:tc>
        <w:tc>
          <w:tcPr>
            <w:tcW w:w="2520" w:type="dxa"/>
            <w:tcBorders>
              <w:top w:val="single" w:color="D9D9D9" w:sz="8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64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1F4E79"/>
                <w:spacing w:val="0"/>
                <w:sz w:val="18"/>
                <w:u w:val="none"/>
              </w:rPr>
              <w:t xml:space="preserve">● </w:t>
            </w: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262626"/>
                <w:spacing w:val="0"/>
                <w:sz w:val="19"/>
                <w:u w:val="none"/>
              </w:rPr>
              <w:t>用例质量控制</w:t>
            </w:r>
          </w:p>
          <w:p>
            <w:pPr>
              <w:snapToGrid/>
              <w:spacing w:before="2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围绕“步骤、输入、预期、判定逻辑”四要素标准化输出，提升评审与执行一致性。</w:t>
            </w:r>
          </w:p>
        </w:tc>
        <w:tc>
          <w:tcPr>
            <w:tcW w:w="2520" w:type="dxa"/>
            <w:tcBorders>
              <w:top w:val="single" w:color="D9D9D9" w:sz="8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64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1F4E79"/>
                <w:spacing w:val="0"/>
                <w:sz w:val="18"/>
                <w:u w:val="none"/>
              </w:rPr>
              <w:t xml:space="preserve">● </w:t>
            </w: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262626"/>
                <w:spacing w:val="0"/>
                <w:sz w:val="19"/>
                <w:u w:val="none"/>
              </w:rPr>
              <w:t>覆盖统计</w:t>
            </w:r>
          </w:p>
          <w:p>
            <w:pPr>
              <w:snapToGrid/>
              <w:spacing w:before="2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按需求类型与测试维度展示覆盖状态，识别未覆盖与薄弱场景，支撑管理决策。</w:t>
            </w:r>
          </w:p>
        </w:tc>
      </w:tr>
    </w:tbl>
    <w:p>
      <w:pPr>
        <w:snapToGrid/>
        <w:spacing w:before="40" w:after="40" w:line="264" w:lineRule="auto"/>
        <w:ind w:left="0" w:right="0"/>
      </w:pPr>
      <w:r>
        <w:rPr>
          <w:rFonts w:ascii="微软雅黑" w:hAnsi="微软雅黑" w:eastAsia="微软雅黑" w:cs="微软雅黑"/>
          <w:b/>
          <w:i w:val="0"/>
          <w:strike w:val="0"/>
          <w:color w:val="1F4E79"/>
          <w:sz w:val="18"/>
          <w:u w:val="none"/>
        </w:rPr>
        <w:t> </w:t>
      </w:r>
    </w:p>
    <w:p>
      <w:pPr>
        <w:snapToGrid/>
        <w:spacing w:before="40" w:after="40" w:line="264" w:lineRule="auto"/>
        <w:ind w:left="0" w:right="0"/>
      </w:pPr>
      <w:r>
        <w:rPr>
          <w:rFonts w:ascii="微软雅黑" w:hAnsi="微软雅黑" w:eastAsia="微软雅黑" w:cs="微软雅黑"/>
          <w:b/>
          <w:i w:val="0"/>
          <w:strike w:val="0"/>
          <w:color w:val="1F4E79"/>
          <w:sz w:val="18"/>
          <w:u w:val="none"/>
        </w:rPr>
        <w:t>技术原理：</w:t>
      </w:r>
      <w:r>
        <w:rPr>
          <w:rFonts w:ascii="微软雅黑" w:hAnsi="微软雅黑" w:eastAsia="微软雅黑" w:cs="微软雅黑"/>
          <w:i w:val="0"/>
          <w:strike w:val="0"/>
          <w:color w:val="404040"/>
          <w:sz w:val="18"/>
          <w:u w:val="none"/>
        </w:rPr>
        <w:t>①方法论驱动（等价类/边界值/状态迁移/异常处理）  ②一致性约束（统一口径，降低风格漂移）  ③依赖关系注入（前置约束透传至下游）  ④质量门禁（步骤可操作·输入可执行·判定可复核）</w:t>
      </w:r>
    </w:p>
    <w:p>
      <w:pPr>
        <w:snapToGrid/>
        <w:spacing w:before="40" w:after="40" w:line="264" w:lineRule="auto"/>
        <w:ind w:left="0" w:right="0"/>
      </w:pPr>
      <w:r>
        <w:rPr>
          <w:rFonts w:ascii="微软雅黑" w:hAnsi="微软雅黑" w:eastAsia="微软雅黑" w:cs="微软雅黑"/>
          <w:i w:val="0"/>
          <w:strike w:val="0"/>
          <w:color w:val="000000"/>
          <w:sz w:val="20"/>
          <w:u w:val="none"/>
        </w:rPr>
        <w:t> </w:t>
      </w:r>
    </w:p>
    <w:p>
      <w:pPr>
        <w:snapToGrid/>
        <w:spacing w:before="40" w:after="40" w:line="264" w:lineRule="auto"/>
        <w:ind w:left="0" w:right="0"/>
      </w:pPr>
      <w:r>
        <w:rPr>
          <w:rFonts w:ascii="微软雅黑" w:hAnsi="微软雅黑" w:eastAsia="微软雅黑" w:cs="微软雅黑"/>
          <w:i w:val="0"/>
          <w:strike w:val="0"/>
          <w:color w:val="000000"/>
          <w:sz w:val="20"/>
          <w:u w:val="none"/>
        </w:rPr>
        <w:t> </w:t>
      </w:r>
    </w:p>
    <w:tbl>
      <w:tblPr>
        <w:tblStyle w:val="15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"/>
        <w:gridCol w:w="946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15" w:type="dxa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28"/>
                <w:u w:val="none"/>
              </w:rPr>
              <w:t>03</w:t>
            </w:r>
          </w:p>
        </w:tc>
        <w:tc>
          <w:tcPr>
            <w:tcW w:w="9465" w:type="dxa"/>
            <w:tcBorders>
              <w:top w:val="single" w:color="DEEBF7" w:sz="8" w:space="0"/>
              <w:left w:val="single" w:color="1F4E79" w:sz="0" w:space="0"/>
              <w:bottom w:val="single" w:color="DEEBF7" w:sz="8" w:space="0"/>
              <w:right w:val="single" w:color="DEEBF7" w:sz="8" w:space="0"/>
            </w:tcBorders>
            <w:shd w:val="clear" w:color="auto" w:fill="DE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 w:lineRule="auto"/>
              <w:ind w:left="0" w:right="0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1F4E79"/>
                <w:spacing w:val="0"/>
                <w:sz w:val="24"/>
                <w:u w:val="none"/>
              </w:rPr>
              <w:t xml:space="preserve">  产生价值（量化效益）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8"/>
                <w:u w:val="none"/>
              </w:rPr>
              <w:t xml:space="preserve">   |  效率·覆盖·质量·管理 四维收益，并支撑标准符合性</w:t>
            </w:r>
          </w:p>
        </w:tc>
      </w:tr>
    </w:tbl>
    <w:p>
      <w:pPr>
        <w:snapToGrid/>
        <w:spacing w:before="0" w:after="0" w:line="240" w:lineRule="auto"/>
        <w:ind w:left="0" w:right="0"/>
      </w:pPr>
      <w:r>
        <w:rPr>
          <w:rFonts w:ascii="微软雅黑" w:hAnsi="微软雅黑" w:eastAsia="微软雅黑" w:cs="微软雅黑"/>
          <w:i w:val="0"/>
          <w:strike w:val="0"/>
          <w:color w:val="000000"/>
          <w:sz w:val="20"/>
          <w:u w:val="none"/>
        </w:rPr>
        <w:t> </w:t>
      </w:r>
    </w:p>
    <w:tbl>
      <w:tblPr>
        <w:tblStyle w:val="15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40" w:after="4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28"/>
                <w:u w:val="none"/>
              </w:rPr>
              <w:t>3天 → 2小时</w:t>
            </w:r>
          </w:p>
          <w:p>
            <w:pPr>
              <w:snapToGrid/>
              <w:spacing w:before="0" w:after="4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18"/>
                <w:u w:val="none"/>
              </w:rPr>
              <w:t>效率收益</w:t>
            </w:r>
          </w:p>
        </w:tc>
        <w:tc>
          <w:tcPr>
            <w:tcW w:w="2520" w:type="dxa"/>
            <w:tcBorders>
              <w:top w:val="single" w:color="1F4E79" w:sz="8" w:space="0"/>
              <w:left w:val="single" w:color="1F4E79" w:sz="0" w:space="0"/>
              <w:bottom w:val="single" w:color="1F4E79" w:sz="8" w:space="0"/>
              <w:right w:val="single" w:color="1F4E79" w:sz="8" w:space="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40" w:after="4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28"/>
                <w:u w:val="none"/>
              </w:rPr>
              <w:t>100%</w:t>
            </w:r>
          </w:p>
          <w:p>
            <w:pPr>
              <w:snapToGrid/>
              <w:spacing w:before="0" w:after="4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18"/>
                <w:u w:val="none"/>
              </w:rPr>
              <w:t>覆盖收益</w:t>
            </w:r>
          </w:p>
        </w:tc>
        <w:tc>
          <w:tcPr>
            <w:tcW w:w="2520" w:type="dxa"/>
            <w:tcBorders>
              <w:top w:val="single" w:color="1F4E79" w:sz="8" w:space="0"/>
              <w:left w:val="single" w:color="1F4E79" w:sz="0" w:space="0"/>
              <w:bottom w:val="single" w:color="1F4E79" w:sz="8" w:space="0"/>
              <w:right w:val="single" w:color="1F4E79" w:sz="8" w:space="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40" w:after="4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28"/>
                <w:u w:val="none"/>
              </w:rPr>
              <w:t>漏测 ↓</w:t>
            </w:r>
          </w:p>
          <w:p>
            <w:pPr>
              <w:snapToGrid/>
              <w:spacing w:before="0" w:after="4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18"/>
                <w:u w:val="none"/>
              </w:rPr>
              <w:t>质量收益</w:t>
            </w:r>
          </w:p>
        </w:tc>
        <w:tc>
          <w:tcPr>
            <w:tcW w:w="2520" w:type="dxa"/>
            <w:tcBorders>
              <w:top w:val="single" w:color="1F4E79" w:sz="8" w:space="0"/>
              <w:left w:val="single" w:color="1F4E79" w:sz="0" w:space="0"/>
              <w:bottom w:val="single" w:color="1F4E79" w:sz="8" w:space="0"/>
              <w:right w:val="single" w:color="1F4E79" w:sz="8" w:space="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40" w:after="4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28"/>
                <w:u w:val="none"/>
              </w:rPr>
              <w:t>交付 ↑</w:t>
            </w:r>
          </w:p>
          <w:p>
            <w:pPr>
              <w:snapToGrid/>
              <w:spacing w:before="0" w:after="40" w:line="240" w:lineRule="auto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FFFFFF"/>
                <w:spacing w:val="0"/>
                <w:sz w:val="18"/>
                <w:u w:val="none"/>
              </w:rPr>
              <w:t>管理收益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Borders>
              <w:top w:val="single" w:color="1F4E79" w:sz="0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首版用例从约3天压缩至约2小时，并支持快速迭代。</w:t>
            </w:r>
          </w:p>
        </w:tc>
        <w:tc>
          <w:tcPr>
            <w:tcW w:w="2520" w:type="dxa"/>
            <w:tcBorders>
              <w:top w:val="single" w:color="1F4E7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需求完整、约束充分时，正常场景覆盖率可达 100%。</w:t>
            </w:r>
          </w:p>
        </w:tc>
        <w:tc>
          <w:tcPr>
            <w:tcW w:w="2520" w:type="dxa"/>
            <w:tcBorders>
              <w:top w:val="single" w:color="1F4E7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依赖识别+规约约束，减少漏测、错测与判据冲突。</w:t>
            </w:r>
          </w:p>
        </w:tc>
        <w:tc>
          <w:tcPr>
            <w:tcW w:w="2520" w:type="dxa"/>
            <w:tcBorders>
              <w:top w:val="single" w:color="1F4E7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40" w:after="40" w:line="276" w:lineRule="auto"/>
              <w:ind w:left="0" w:right="0"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04040"/>
                <w:spacing w:val="0"/>
                <w:sz w:val="17"/>
                <w:u w:val="none"/>
              </w:rPr>
              <w:t>降低对资深人员的单点依赖，提升团队协作与交付稳定性。</w:t>
            </w:r>
          </w:p>
        </w:tc>
      </w:tr>
    </w:tbl>
    <w:p>
      <w:pPr>
        <w:snapToGrid/>
        <w:spacing w:before="80" w:after="40" w:line="264" w:lineRule="auto"/>
        <w:ind w:left="0" w:right="0"/>
      </w:pPr>
      <w:r>
        <w:rPr>
          <w:rFonts w:ascii="微软雅黑" w:hAnsi="微软雅黑" w:eastAsia="微软雅黑" w:cs="微软雅黑"/>
          <w:b/>
          <w:i w:val="0"/>
          <w:strike w:val="0"/>
          <w:color w:val="1F4E79"/>
          <w:sz w:val="18"/>
          <w:u w:val="none"/>
        </w:rPr>
        <w:t> </w:t>
      </w:r>
    </w:p>
    <w:p>
      <w:pPr>
        <w:snapToGrid/>
        <w:spacing w:before="80" w:after="40" w:line="264" w:lineRule="auto"/>
        <w:ind w:left="0" w:right="0"/>
      </w:pPr>
      <w:r>
        <w:rPr>
          <w:rFonts w:ascii="微软雅黑" w:hAnsi="微软雅黑" w:eastAsia="微软雅黑" w:cs="微软雅黑"/>
          <w:b/>
          <w:i w:val="0"/>
          <w:strike w:val="0"/>
          <w:color w:val="1F4E79"/>
          <w:sz w:val="18"/>
          <w:u w:val="none"/>
        </w:rPr>
        <w:t>标准符合性：</w:t>
      </w:r>
      <w:r>
        <w:rPr>
          <w:rFonts w:ascii="微软雅黑" w:hAnsi="微软雅黑" w:eastAsia="微软雅黑" w:cs="微软雅黑"/>
          <w:i w:val="0"/>
          <w:strike w:val="0"/>
          <w:color w:val="404040"/>
          <w:sz w:val="18"/>
          <w:u w:val="none"/>
        </w:rPr>
        <w:t>支撑 GJB 2434《军用软件测试与评估通用要求》、CMS-RW-04《载人航天工程软件测试细则》、QJ 3027《航天型号软件测试规范》——需求追溯 / 测试充分性 / 覆盖统计 / 过程留痕 / 问题闭环。</w:t>
      </w:r>
    </w:p>
    <w:p>
      <w:pPr>
        <w:snapToGrid/>
        <w:spacing w:before="80" w:after="40" w:line="264" w:lineRule="auto"/>
        <w:ind w:left="0" w:right="0"/>
        <w:sectPr>
          <w:headerReference r:id="rId15" w:type="default"/>
          <w:pgSz w:w="11906" w:h="16838"/>
          <w:pgMar w:top="720" w:right="1080" w:bottom="720" w:left="1080" w:header="708" w:footer="708" w:gutter="0"/>
          <w:cols w:space="720" w:num="1"/>
          <w:docGrid w:linePitch="360" w:charSpace="0"/>
        </w:sect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0"/>
          <w:u w:val="none"/>
        </w:rPr>
        <w:t> </w:t>
      </w:r>
      <w:bookmarkStart w:id="0" w:name="_GoBack"/>
      <w:bookmarkEnd w:id="0"/>
    </w:p>
    <w:p>
      <w:pPr>
        <w:snapToGrid/>
        <w:spacing w:before="0" w:after="60" w:line="240" w:lineRule="auto"/>
        <w:ind w:left="0" w:right="0"/>
        <w:jc w:val="center"/>
      </w:pPr>
      <w:r>
        <w:rPr>
          <w:rFonts w:ascii="微软雅黑" w:hAnsi="微软雅黑" w:eastAsia="微软雅黑" w:cs="微软雅黑"/>
          <w:b/>
          <w:i w:val="0"/>
          <w:strike w:val="0"/>
          <w:color w:val="1F4E79"/>
          <w:sz w:val="48"/>
          <w:u w:val="none"/>
        </w:rPr>
        <w:t>SafetyWise</w:t>
      </w:r>
      <w:r>
        <w:rPr>
          <w:rFonts w:ascii="微软雅黑" w:hAnsi="微软雅黑" w:eastAsia="微软雅黑" w:cs="微软雅黑"/>
          <w:b/>
          <w:i w:val="0"/>
          <w:strike w:val="0"/>
          <w:color w:val="2E75B6"/>
          <w:sz w:val="32"/>
          <w:u w:val="none"/>
        </w:rPr>
        <w:t xml:space="preserve">  航天复杂系统安全性分析智能体</w:t>
      </w:r>
    </w:p>
    <w:p>
      <w:pPr>
        <w:snapToGrid/>
        <w:spacing w:before="0" w:after="160" w:line="240" w:lineRule="auto"/>
        <w:ind w:left="0" w:right="0"/>
        <w:jc w:val="center"/>
      </w:pPr>
      <w:r>
        <w:rPr>
          <w:rFonts w:ascii="微软雅黑" w:hAnsi="微软雅黑" w:eastAsia="微软雅黑" w:cs="微软雅黑"/>
          <w:i w:val="0"/>
          <w:strike w:val="0"/>
          <w:color w:val="595959"/>
          <w:sz w:val="20"/>
          <w:u w:val="none"/>
        </w:rPr>
        <w:t>安全性分析 · 自动化推演 · 全生命周期覆盖</w:t>
      </w:r>
    </w:p>
    <w:tbl>
      <w:tblPr>
        <w:tblStyle w:val="15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9735" w:type="dxa"/>
            <w:tcBorders>
              <w:top w:val="single" w:color="000000" w:sz="0" w:space="0"/>
              <w:left w:val="single" w:color="C00000" w:sz="32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90" w:type="dxa"/>
              <w:left w:w="200" w:type="dxa"/>
              <w:bottom w:w="90" w:type="dxa"/>
              <w:right w:w="120" w:type="dxa"/>
            </w:tcMar>
            <w:vAlign w:val="top"/>
          </w:tcPr>
          <w:p>
            <w:pPr>
              <w:snapToGrid/>
              <w:spacing w:before="0" w:after="0" w:line="240" w:lineRule="auto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C00000"/>
                <w:spacing w:val="0"/>
                <w:sz w:val="24"/>
                <w:u w:val="none"/>
              </w:rPr>
              <w:t>一、业务痛点</w:t>
            </w:r>
          </w:p>
        </w:tc>
      </w:tr>
    </w:tbl>
    <w:p>
      <w:pPr>
        <w:snapToGrid/>
        <w:spacing w:before="0" w:after="60" w:line="240" w:lineRule="auto"/>
        <w:ind w:left="0" w:right="0"/>
        <w:jc w:val="both"/>
      </w:pP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 </w:t>
      </w:r>
    </w:p>
    <w:p>
      <w:pPr>
        <w:snapToGrid/>
        <w:spacing w:before="30" w:after="30" w:line="240" w:lineRule="auto"/>
        <w:ind w:left="200" w:right="0"/>
        <w:jc w:val="both"/>
      </w:pP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航天装备系统高度复杂、软硬件强耦合，安全性分析依赖少数顶级专家，面临效率与覆盖度的双重瓶颈，难以支撑快速迭代研制节奏。</w:t>
      </w:r>
    </w:p>
    <w:p>
      <w:pPr>
        <w:snapToGrid/>
        <w:spacing w:before="30" w:after="30" w:line="240" w:lineRule="auto"/>
        <w:ind w:left="200" w:right="0"/>
        <w:jc w:val="both"/>
      </w:pPr>
      <w:r>
        <w:rPr>
          <w:rFonts w:ascii="微软雅黑" w:hAnsi="微软雅黑" w:eastAsia="微软雅黑" w:cs="微软雅黑"/>
          <w:b/>
          <w:i w:val="0"/>
          <w:strike w:val="0"/>
          <w:color w:val="C00000"/>
          <w:sz w:val="18"/>
          <w:u w:val="none"/>
        </w:rPr>
        <w:t xml:space="preserve">■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18"/>
          <w:u w:val="none"/>
        </w:rPr>
        <w:t>风险覆盖不全：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人工分析存在盲区，复杂交互路径难以穷举，危险场景易遗漏</w:t>
      </w:r>
    </w:p>
    <w:p>
      <w:pPr>
        <w:snapToGrid/>
        <w:spacing w:before="30" w:after="30" w:line="240" w:lineRule="auto"/>
        <w:ind w:left="200" w:right="0"/>
        <w:jc w:val="both"/>
      </w:pPr>
      <w:r>
        <w:rPr>
          <w:rFonts w:ascii="微软雅黑" w:hAnsi="微软雅黑" w:eastAsia="微软雅黑" w:cs="微软雅黑"/>
          <w:b/>
          <w:i w:val="0"/>
          <w:strike w:val="0"/>
          <w:color w:val="C00000"/>
          <w:sz w:val="18"/>
          <w:u w:val="none"/>
        </w:rPr>
        <w:t xml:space="preserve">■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18"/>
          <w:u w:val="none"/>
        </w:rPr>
        <w:t>效率低、周期长：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人工推演数周才能完成，跟不上装备研制快速迭代节奏，型号总师被迫压缩安全分析深度</w:t>
      </w:r>
    </w:p>
    <w:p>
      <w:pPr>
        <w:snapToGrid/>
        <w:spacing w:before="30" w:after="30" w:line="240" w:lineRule="auto"/>
        <w:ind w:left="200" w:right="0"/>
        <w:jc w:val="both"/>
      </w:pPr>
      <w:r>
        <w:rPr>
          <w:rFonts w:ascii="微软雅黑" w:hAnsi="微软雅黑" w:eastAsia="微软雅黑" w:cs="微软雅黑"/>
          <w:b/>
          <w:i w:val="0"/>
          <w:strike w:val="0"/>
          <w:color w:val="C00000"/>
          <w:sz w:val="18"/>
          <w:u w:val="none"/>
        </w:rPr>
        <w:t xml:space="preserve">■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18"/>
          <w:u w:val="none"/>
        </w:rPr>
        <w:t>专家依赖过高：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安全专家资源稀缺，经验难以标准化传承，人员流动导致分析质量大幅波动</w:t>
      </w:r>
    </w:p>
    <w:p>
      <w:pPr>
        <w:snapToGrid/>
        <w:spacing w:before="30" w:after="30" w:line="240" w:lineRule="auto"/>
        <w:ind w:left="200" w:right="0"/>
        <w:jc w:val="both"/>
      </w:pPr>
      <w:r>
        <w:rPr>
          <w:rFonts w:ascii="微软雅黑" w:hAnsi="微软雅黑" w:eastAsia="微软雅黑" w:cs="微软雅黑"/>
          <w:b/>
          <w:i w:val="0"/>
          <w:strike w:val="0"/>
          <w:color w:val="C00000"/>
          <w:sz w:val="18"/>
          <w:u w:val="none"/>
        </w:rPr>
        <w:t xml:space="preserve">■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18"/>
          <w:u w:val="none"/>
        </w:rPr>
        <w:t>传统方法失效：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FTA/FMEA 等传统方法无法应对软件逻辑、人机交互、强耦合系统等新型软风险</w:t>
      </w:r>
    </w:p>
    <w:p>
      <w:pPr>
        <w:snapToGrid/>
        <w:spacing w:before="120" w:after="0" w:line="240" w:lineRule="auto"/>
        <w:ind w:left="0" w:right="0"/>
        <w:jc w:val="both"/>
      </w:pP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 </w:t>
      </w:r>
    </w:p>
    <w:tbl>
      <w:tblPr>
        <w:tblStyle w:val="15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5" w:type="dxa"/>
            <w:tcBorders>
              <w:top w:val="single" w:color="000000" w:sz="0" w:space="0"/>
              <w:left w:val="single" w:color="2E75B6" w:sz="32" w:space="0"/>
              <w:bottom w:val="single" w:color="000000" w:sz="0" w:space="0"/>
              <w:right w:val="single" w:color="000000" w:sz="0" w:space="0"/>
            </w:tcBorders>
            <w:shd w:val="clear" w:color="auto" w:fill="EBF3FB"/>
            <w:tcMar>
              <w:top w:w="90" w:type="dxa"/>
              <w:left w:w="200" w:type="dxa"/>
              <w:bottom w:w="90" w:type="dxa"/>
              <w:right w:w="120" w:type="dxa"/>
            </w:tcMar>
            <w:vAlign w:val="top"/>
          </w:tcPr>
          <w:p>
            <w:pPr>
              <w:snapToGrid/>
              <w:spacing w:before="0" w:after="0" w:line="240" w:lineRule="auto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2E75B6"/>
                <w:spacing w:val="0"/>
                <w:sz w:val="24"/>
                <w:u w:val="none"/>
              </w:rPr>
              <w:t>二、产品功能</w:t>
            </w:r>
          </w:p>
        </w:tc>
      </w:tr>
    </w:tbl>
    <w:p>
      <w:pPr>
        <w:snapToGrid/>
        <w:spacing w:before="0" w:after="60" w:line="240" w:lineRule="auto"/>
        <w:ind w:left="0" w:right="0"/>
        <w:jc w:val="both"/>
      </w:pP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 </w:t>
      </w:r>
    </w:p>
    <w:p>
      <w:pPr>
        <w:snapToGrid/>
        <w:spacing w:before="30" w:after="30" w:line="240" w:lineRule="auto"/>
        <w:ind w:left="200" w:right="0"/>
        <w:jc w:val="both"/>
      </w:pP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SafetyWise 专注于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18"/>
          <w:u w:val="none"/>
        </w:rPr>
        <w:t>硬件、软件、人员操作、环境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之间的复杂交互分析，突破传统 FTA/FMEA 的单点失效局限，能有效识别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18"/>
          <w:u w:val="none"/>
        </w:rPr>
        <w:t>软件动态特性、时序依赖、人机协同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等隐性"软风险"。特别适用于包含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18"/>
          <w:u w:val="none"/>
        </w:rPr>
        <w:t>动态控制逻辑、强耦合交互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的现代复杂系统，服务于从型号总师到运维工程师的全链条团队。</w:t>
      </w:r>
    </w:p>
    <w:p>
      <w:pPr>
        <w:snapToGrid/>
        <w:spacing w:before="40" w:after="20" w:line="240" w:lineRule="auto"/>
        <w:ind w:left="200" w:right="0"/>
        <w:jc w:val="both"/>
      </w:pPr>
      <w:r>
        <w:rPr>
          <w:rFonts w:ascii="微软雅黑" w:hAnsi="微软雅黑" w:eastAsia="微软雅黑" w:cs="微软雅黑"/>
          <w:b/>
          <w:i w:val="0"/>
          <w:strike w:val="0"/>
          <w:color w:val="2E75B6"/>
          <w:sz w:val="18"/>
          <w:u w:val="none"/>
        </w:rPr>
        <w:t xml:space="preserve">■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18"/>
          <w:u w:val="none"/>
        </w:rPr>
        <w:t>【概念/初步设计】搞清楚"要防什么"：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输入一份设计说明，系统自动识别危害场景、生成安全需求，让总师/项目经理在方案阶段就心里有底</w:t>
      </w:r>
    </w:p>
    <w:p>
      <w:pPr>
        <w:snapToGrid/>
        <w:spacing w:before="20" w:after="20" w:line="240" w:lineRule="auto"/>
        <w:ind w:left="200" w:right="0"/>
        <w:jc w:val="both"/>
      </w:pPr>
      <w:r>
        <w:rPr>
          <w:rFonts w:ascii="微软雅黑" w:hAnsi="微软雅黑" w:eastAsia="微软雅黑" w:cs="微软雅黑"/>
          <w:b/>
          <w:i w:val="0"/>
          <w:strike w:val="0"/>
          <w:color w:val="2E75B6"/>
          <w:sz w:val="18"/>
          <w:u w:val="none"/>
        </w:rPr>
        <w:t xml:space="preserve">■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18"/>
          <w:u w:val="none"/>
        </w:rPr>
        <w:t>【详细设计】告诉工程师"怎么做才安全"：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自动梳理控制逻辑，指出哪些指令在什么情况下会出错，直接给出接口设计、冗余配置、人机交互的安全要求</w:t>
      </w:r>
    </w:p>
    <w:p>
      <w:pPr>
        <w:snapToGrid/>
        <w:spacing w:before="20" w:after="20" w:line="240" w:lineRule="auto"/>
        <w:ind w:left="200" w:right="0"/>
        <w:jc w:val="both"/>
      </w:pPr>
      <w:r>
        <w:rPr>
          <w:rFonts w:ascii="微软雅黑" w:hAnsi="微软雅黑" w:eastAsia="微软雅黑" w:cs="微软雅黑"/>
          <w:b/>
          <w:i w:val="0"/>
          <w:strike w:val="0"/>
          <w:color w:val="2E75B6"/>
          <w:sz w:val="18"/>
          <w:u w:val="none"/>
        </w:rPr>
        <w:t xml:space="preserve">■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18"/>
          <w:u w:val="none"/>
        </w:rPr>
        <w:t>【测试验证】帮测试工程师"找到真正该测的点"：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从事故链反向推导故障注入点，自动生成带判定准则的安全测试用例，不再靠经验猜哪里会出问题</w:t>
      </w:r>
    </w:p>
    <w:p>
      <w:pPr>
        <w:snapToGrid/>
        <w:spacing w:before="20" w:after="20" w:line="240" w:lineRule="auto"/>
        <w:ind w:left="200" w:right="0"/>
        <w:jc w:val="both"/>
      </w:pPr>
      <w:r>
        <w:rPr>
          <w:rFonts w:ascii="微软雅黑" w:hAnsi="微软雅黑" w:eastAsia="微软雅黑" w:cs="微软雅黑"/>
          <w:b/>
          <w:i w:val="0"/>
          <w:strike w:val="0"/>
          <w:color w:val="2E75B6"/>
          <w:sz w:val="18"/>
          <w:u w:val="none"/>
        </w:rPr>
        <w:t xml:space="preserve">■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18"/>
          <w:u w:val="none"/>
        </w:rPr>
        <w:t>【交付审计】让项目经理"拿着报告不心虚"：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一键生成可视化合规报告，危害到需求到用例全程可追溯，评审专家问到哪条都能溯源到底</w:t>
      </w:r>
    </w:p>
    <w:p>
      <w:pPr>
        <w:snapToGrid/>
        <w:spacing w:before="20" w:after="40" w:line="240" w:lineRule="auto"/>
        <w:ind w:left="200" w:right="0"/>
        <w:jc w:val="both"/>
      </w:pPr>
      <w:r>
        <w:rPr>
          <w:rFonts w:ascii="微软雅黑" w:hAnsi="微软雅黑" w:eastAsia="微软雅黑" w:cs="微软雅黑"/>
          <w:b/>
          <w:i w:val="0"/>
          <w:strike w:val="0"/>
          <w:color w:val="2E75B6"/>
          <w:sz w:val="18"/>
          <w:u w:val="none"/>
        </w:rPr>
        <w:t xml:space="preserve">■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18"/>
          <w:u w:val="none"/>
        </w:rPr>
        <w:t>【运行维护】为运维工程师"提前看到潜在隐患"：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结合运行数据持续更新安全知识库，识别新出现的交互风险，每次维护决策都有安全依据支撑</w:t>
      </w:r>
    </w:p>
    <w:p>
      <w:pPr>
        <w:snapToGrid/>
        <w:spacing w:before="100" w:after="0" w:line="240" w:lineRule="auto"/>
        <w:ind w:left="0" w:right="0"/>
        <w:jc w:val="both"/>
      </w:pP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 </w:t>
      </w:r>
    </w:p>
    <w:tbl>
      <w:tblPr>
        <w:tblStyle w:val="15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735" w:type="dxa"/>
            <w:tcBorders>
              <w:top w:val="single" w:color="000000" w:sz="0" w:space="0"/>
              <w:left w:val="single" w:color="ED7D31" w:sz="32" w:space="0"/>
              <w:bottom w:val="single" w:color="000000" w:sz="0" w:space="0"/>
              <w:right w:val="single" w:color="000000" w:sz="0" w:space="0"/>
            </w:tcBorders>
            <w:shd w:val="clear" w:color="auto" w:fill="FFF2E6"/>
            <w:tcMar>
              <w:top w:w="90" w:type="dxa"/>
              <w:left w:w="200" w:type="dxa"/>
              <w:bottom w:w="90" w:type="dxa"/>
              <w:right w:w="120" w:type="dxa"/>
            </w:tcMar>
            <w:vAlign w:val="top"/>
          </w:tcPr>
          <w:p>
            <w:pPr>
              <w:snapToGrid/>
              <w:spacing w:before="0" w:after="0" w:line="240" w:lineRule="auto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ED7D31"/>
                <w:spacing w:val="0"/>
                <w:sz w:val="24"/>
                <w:u w:val="none"/>
              </w:rPr>
              <w:t>三、核心效益</w:t>
            </w:r>
          </w:p>
        </w:tc>
      </w:tr>
    </w:tbl>
    <w:p>
      <w:pPr>
        <w:snapToGrid/>
        <w:spacing w:before="0" w:after="60" w:line="240" w:lineRule="auto"/>
        <w:ind w:left="0" w:right="0"/>
        <w:jc w:val="both"/>
      </w:pP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 </w:t>
      </w:r>
    </w:p>
    <w:p>
      <w:pPr>
        <w:snapToGrid/>
        <w:spacing w:before="30" w:after="30" w:line="240" w:lineRule="auto"/>
        <w:ind w:left="200" w:right="0"/>
        <w:jc w:val="both"/>
      </w:pP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以前做安全分析，靠的是少数专家、大量时间、反复开会。用了 SafetyWise，流程不变，但每个人都能做得又快又准、有据可查。</w:t>
      </w:r>
    </w:p>
    <w:p>
      <w:pPr>
        <w:snapToGrid/>
        <w:spacing w:before="30" w:after="30" w:line="240" w:lineRule="auto"/>
        <w:ind w:left="200" w:right="0"/>
        <w:jc w:val="both"/>
      </w:pPr>
      <w:r>
        <w:rPr>
          <w:rFonts w:ascii="微软雅黑" w:hAnsi="微软雅黑" w:eastAsia="微软雅黑" w:cs="微软雅黑"/>
          <w:b/>
          <w:i w:val="0"/>
          <w:strike w:val="0"/>
          <w:color w:val="ED7D31"/>
          <w:sz w:val="18"/>
          <w:u w:val="none"/>
        </w:rPr>
        <w:t xml:space="preserve">■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18"/>
          <w:u w:val="none"/>
        </w:rPr>
        <w:t>省时间：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分析周期从数周压缩至数小时，效率提升 10 倍，型号节点不再因安全分析而拖期</w:t>
      </w:r>
    </w:p>
    <w:p>
      <w:pPr>
        <w:snapToGrid/>
        <w:spacing w:before="30" w:after="30" w:line="240" w:lineRule="auto"/>
        <w:ind w:left="200" w:right="0"/>
        <w:jc w:val="both"/>
      </w:pPr>
      <w:r>
        <w:rPr>
          <w:rFonts w:ascii="微软雅黑" w:hAnsi="微软雅黑" w:eastAsia="微软雅黑" w:cs="微软雅黑"/>
          <w:b/>
          <w:i w:val="0"/>
          <w:strike w:val="0"/>
          <w:color w:val="ED7D31"/>
          <w:sz w:val="18"/>
          <w:u w:val="none"/>
        </w:rPr>
        <w:t xml:space="preserve">■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18"/>
          <w:u w:val="none"/>
        </w:rPr>
        <w:t>不漏项：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自动遍历全路径，覆盖人工容易忽视的软件时序、人机交互等隐性风险，100% 无盲区</w:t>
      </w:r>
    </w:p>
    <w:p>
      <w:pPr>
        <w:snapToGrid/>
        <w:spacing w:before="30" w:after="30" w:line="240" w:lineRule="auto"/>
        <w:ind w:left="200" w:right="0"/>
        <w:jc w:val="both"/>
      </w:pPr>
      <w:r>
        <w:rPr>
          <w:rFonts w:ascii="微软雅黑" w:hAnsi="微软雅黑" w:eastAsia="微软雅黑" w:cs="微软雅黑"/>
          <w:b/>
          <w:i w:val="0"/>
          <w:strike w:val="0"/>
          <w:color w:val="ED7D31"/>
          <w:sz w:val="18"/>
          <w:u w:val="none"/>
        </w:rPr>
        <w:t xml:space="preserve">■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18"/>
          <w:u w:val="none"/>
        </w:rPr>
        <w:t>少依赖：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专家投入减少 5 倍，普通工程师按流程即可完成高质量分析，换人不断档、知识不流失</w:t>
      </w:r>
    </w:p>
    <w:p>
      <w:pPr>
        <w:snapToGrid/>
        <w:spacing w:before="30" w:after="30" w:line="240" w:lineRule="auto"/>
        <w:ind w:left="200" w:right="0"/>
        <w:jc w:val="both"/>
      </w:pPr>
      <w:r>
        <w:rPr>
          <w:rFonts w:ascii="微软雅黑" w:hAnsi="微软雅黑" w:eastAsia="微软雅黑" w:cs="微软雅黑"/>
          <w:b/>
          <w:i w:val="0"/>
          <w:strike w:val="0"/>
          <w:color w:val="ED7D31"/>
          <w:sz w:val="18"/>
          <w:u w:val="none"/>
        </w:rPr>
        <w:t xml:space="preserve">■ </w:t>
      </w:r>
      <w:r>
        <w:rPr>
          <w:rFonts w:ascii="微软雅黑" w:hAnsi="微软雅黑" w:eastAsia="微软雅黑" w:cs="微软雅黑"/>
          <w:b/>
          <w:i w:val="0"/>
          <w:strike w:val="0"/>
          <w:color w:val="333333"/>
          <w:sz w:val="18"/>
          <w:u w:val="none"/>
        </w:rPr>
        <w:t>适用场景：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载人航天 · 运载火箭 · 卫星系统 · 航空装备 · 武器系统 · 核电 · 轨道交通等高安全领域</w:t>
      </w:r>
    </w:p>
    <w:p>
      <w:pPr>
        <w:snapToGrid/>
        <w:spacing w:before="30" w:after="30" w:line="240" w:lineRule="auto"/>
        <w:ind w:left="0" w:right="0"/>
        <w:jc w:val="both"/>
      </w:pPr>
      <w:r>
        <w:rPr>
          <w:rFonts w:ascii="微软雅黑" w:hAnsi="微软雅黑" w:eastAsia="微软雅黑" w:cs="微软雅黑"/>
          <w:i w:val="0"/>
          <w:strike w:val="0"/>
          <w:color w:val="333333"/>
          <w:sz w:val="18"/>
          <w:u w:val="none"/>
        </w:rPr>
        <w:t> 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Chars="0"/>
        <w:jc w:val="left"/>
        <w:textAlignment w:val="auto"/>
        <w:rPr>
          <w:sz w:val="22"/>
          <w:szCs w:val="16"/>
        </w:rPr>
      </w:pPr>
    </w:p>
    <w:sectPr>
      <w:headerReference r:id="rId18" w:type="first"/>
      <w:footerReference r:id="rId21" w:type="first"/>
      <w:headerReference r:id="rId16" w:type="default"/>
      <w:footerReference r:id="rId19" w:type="default"/>
      <w:headerReference r:id="rId17" w:type="even"/>
      <w:footerReference r:id="rId20" w:type="even"/>
      <w:pgSz w:w="11906" w:h="16838"/>
      <w:pgMar w:top="720" w:right="1080" w:bottom="72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lef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snapToGrid/>
      <w:spacing w:before="40" w:after="0" w:line="240" w:lineRule="auto"/>
      <w:ind w:left="0" w:right="0"/>
      <w:jc w:val="right"/>
    </w:pPr>
    <w:r>
      <w:rPr>
        <w:rFonts w:ascii="微软雅黑" w:hAnsi="微软雅黑" w:eastAsia="微软雅黑" w:cs="微软雅黑"/>
        <w:i w:val="0"/>
        <w:strike w:val="0"/>
        <w:color w:val="808080"/>
        <w:sz w:val="16"/>
        <w:u w:val="none"/>
      </w:rPr>
      <w:t xml:space="preserve">  |  SafetyMatrix|  2026.04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BFBFBF" w:sz="4" w:space="4"/>
      </w:pBdr>
      <w:jc w:val="center"/>
    </w:pPr>
    <w:r>
      <w:rPr>
        <w:rFonts w:ascii="微软雅黑" w:hAnsi="微软雅黑" w:eastAsia="微软雅黑" w:cs="微软雅黑"/>
        <w:color w:val="808080"/>
        <w:sz w:val="14"/>
        <w:szCs w:val="14"/>
      </w:rPr>
      <w:t>AI 赋能软件质量  |  让每一行代码都有据可查  |  © 2026 SmartInsight Team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snapToGrid/>
      <w:spacing w:before="0" w:after="0" w:line="240" w:lineRule="auto"/>
      <w:ind w:left="0" w:right="0"/>
      <w:jc w:val="center"/>
    </w:pPr>
    <w:r>
      <w:rPr>
        <w:rFonts w:ascii="微软雅黑" w:hAnsi="微软雅黑" w:eastAsia="微软雅黑" w:cs="微软雅黑"/>
        <w:i w:val="0"/>
        <w:strike w:val="0"/>
        <w:color w:val="808080"/>
        <w:sz w:val="14"/>
        <w:u w:val="none"/>
      </w:rPr>
      <w:t>AI 赋能航天安全  |  让每一个危险都有效避免  |  © 2026 SafetyWise Team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left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lef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1F4E79" w:sz="8" w:space="4"/>
      </w:pBdr>
      <w:tabs>
        <w:tab w:val="right" w:pos="9026"/>
      </w:tabs>
      <w:rPr>
        <w:rFonts w:hint="eastAsia" w:eastAsia="微软雅黑"/>
        <w:lang w:val="en-US" w:eastAsia="zh-CN"/>
      </w:rPr>
    </w:pPr>
    <w:r>
      <w:rPr>
        <w:rFonts w:ascii="微软雅黑" w:hAnsi="微软雅黑" w:eastAsia="微软雅黑" w:cs="微软雅黑"/>
        <w:color w:val="808080"/>
        <w:sz w:val="16"/>
        <w:szCs w:val="16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1F4E79" w:sz="8" w:space="4"/>
      </w:pBdr>
      <w:tabs>
        <w:tab w:val="right" w:pos="9026"/>
      </w:tabs>
      <w:rPr>
        <w:rFonts w:hint="eastAsia" w:eastAsia="微软雅黑"/>
        <w:lang w:val="en-US" w:eastAsia="zh-CN"/>
      </w:rPr>
    </w:pPr>
    <w:r>
      <w:rPr>
        <w:rFonts w:hint="eastAsia" w:cs="微软雅黑"/>
        <w:b/>
        <w:bCs/>
        <w:color w:val="1F4E79"/>
        <w:sz w:val="18"/>
        <w:szCs w:val="18"/>
        <w:lang w:val="en-US" w:eastAsia="zh-CN"/>
      </w:rPr>
      <w:t>SafetyMatrix</w:t>
    </w:r>
    <w:r>
      <w:rPr>
        <w:rFonts w:ascii="微软雅黑" w:hAnsi="微软雅黑" w:eastAsia="微软雅黑" w:cs="微软雅黑"/>
        <w:color w:val="808080"/>
        <w:sz w:val="16"/>
        <w:szCs w:val="16"/>
      </w:rPr>
      <w:tab/>
    </w:r>
    <w:r>
      <w:rPr>
        <w:rFonts w:hint="eastAsia" w:cs="微软雅黑"/>
        <w:color w:val="808080"/>
        <w:sz w:val="16"/>
        <w:szCs w:val="16"/>
        <w:lang w:val="en-US" w:eastAsia="zh-CN"/>
      </w:rPr>
      <w:t>软件安全分析</w:t>
    </w:r>
    <w:r>
      <w:rPr>
        <w:rFonts w:ascii="微软雅黑" w:hAnsi="微软雅黑" w:eastAsia="微软雅黑" w:cs="微软雅黑"/>
        <w:color w:val="808080"/>
        <w:sz w:val="16"/>
        <w:szCs w:val="16"/>
      </w:rPr>
      <w:t>智能</w:t>
    </w:r>
    <w:r>
      <w:rPr>
        <w:rFonts w:hint="eastAsia" w:cs="微软雅黑"/>
        <w:color w:val="808080"/>
        <w:sz w:val="16"/>
        <w:szCs w:val="16"/>
        <w:lang w:val="en-US" w:eastAsia="zh-CN"/>
      </w:rPr>
      <w:t>体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1F4E79" w:sz="8" w:space="4"/>
      </w:pBdr>
      <w:tabs>
        <w:tab w:val="right" w:pos="9026"/>
      </w:tabs>
      <w:rPr>
        <w:rFonts w:hint="eastAsia" w:eastAsia="微软雅黑"/>
        <w:lang w:val="en-US" w:eastAsia="zh-CN"/>
      </w:rPr>
    </w:pPr>
    <w:r>
      <w:rPr>
        <w:rFonts w:hint="eastAsia" w:cs="微软雅黑"/>
        <w:b/>
        <w:bCs/>
        <w:color w:val="1F4E79"/>
        <w:sz w:val="18"/>
        <w:szCs w:val="18"/>
        <w:lang w:val="en-US" w:eastAsia="zh-CN"/>
      </w:rPr>
      <w:t>SmartInsight</w:t>
    </w:r>
    <w:r>
      <w:rPr>
        <w:rFonts w:ascii="微软雅黑" w:hAnsi="微软雅黑" w:eastAsia="微软雅黑" w:cs="微软雅黑"/>
        <w:color w:val="808080"/>
        <w:sz w:val="16"/>
        <w:szCs w:val="16"/>
      </w:rPr>
      <w:tab/>
    </w:r>
    <w:r>
      <w:rPr>
        <w:rFonts w:ascii="微软雅黑" w:hAnsi="微软雅黑" w:eastAsia="微软雅黑" w:cs="微软雅黑"/>
        <w:color w:val="808080"/>
        <w:sz w:val="16"/>
        <w:szCs w:val="16"/>
      </w:rPr>
      <w:t>代码</w:t>
    </w:r>
    <w:r>
      <w:rPr>
        <w:rFonts w:hint="eastAsia" w:ascii="微软雅黑" w:hAnsi="微软雅黑" w:eastAsia="微软雅黑" w:cs="微软雅黑"/>
        <w:color w:val="808080"/>
        <w:sz w:val="16"/>
        <w:szCs w:val="16"/>
      </w:rPr>
      <w:t>走</w:t>
    </w:r>
    <w:r>
      <w:rPr>
        <w:rFonts w:hint="eastAsia" w:cs="微软雅黑"/>
        <w:color w:val="808080"/>
        <w:sz w:val="16"/>
        <w:szCs w:val="16"/>
        <w:lang w:val="en-US" w:eastAsia="zh-CN"/>
      </w:rPr>
      <w:t>查</w:t>
    </w:r>
    <w:r>
      <w:rPr>
        <w:rFonts w:ascii="微软雅黑" w:hAnsi="微软雅黑" w:eastAsia="微软雅黑" w:cs="微软雅黑"/>
        <w:color w:val="808080"/>
        <w:sz w:val="16"/>
        <w:szCs w:val="16"/>
      </w:rPr>
      <w:t>智能</w:t>
    </w:r>
    <w:r>
      <w:rPr>
        <w:rFonts w:hint="eastAsia" w:cs="微软雅黑"/>
        <w:color w:val="808080"/>
        <w:sz w:val="16"/>
        <w:szCs w:val="16"/>
        <w:lang w:val="en-US" w:eastAsia="zh-CN"/>
      </w:rPr>
      <w:t>体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1F4E79" w:sz="8" w:space="4"/>
      </w:pBdr>
      <w:tabs>
        <w:tab w:val="right" w:pos="9026"/>
      </w:tabs>
      <w:rPr>
        <w:rFonts w:ascii="微软雅黑" w:hAnsi="微软雅黑" w:eastAsia="微软雅黑" w:cs="微软雅黑"/>
        <w:color w:val="808080"/>
        <w:sz w:val="16"/>
        <w:szCs w:val="16"/>
      </w:rPr>
    </w:pPr>
    <w:r>
      <w:rPr>
        <w:rFonts w:hint="eastAsia" w:cs="微软雅黑"/>
        <w:b/>
        <w:bCs/>
        <w:color w:val="1F4E79"/>
        <w:sz w:val="18"/>
        <w:szCs w:val="18"/>
        <w:lang w:val="en-US" w:eastAsia="zh-CN"/>
      </w:rPr>
      <w:t>SmartUT</w:t>
    </w:r>
    <w:r>
      <w:rPr>
        <w:rFonts w:hint="eastAsia"/>
      </w:rPr>
      <w:t xml:space="preserve"> </w:t>
    </w:r>
    <w:r>
      <w:rPr>
        <w:rFonts w:hint="eastAsia"/>
      </w:rPr>
      <w:tab/>
    </w:r>
    <w:r>
      <w:rPr>
        <w:rFonts w:hint="eastAsia"/>
      </w:rPr>
      <w:t xml:space="preserve">         </w:t>
    </w:r>
    <w:r>
      <w:rPr>
        <w:rFonts w:ascii="微软雅黑" w:hAnsi="微软雅黑" w:eastAsia="微软雅黑" w:cs="微软雅黑"/>
        <w:color w:val="808080"/>
        <w:sz w:val="16"/>
        <w:szCs w:val="16"/>
      </w:rPr>
      <w:t>单元测试代码生成智能体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1F4E79" w:sz="8" w:space="4"/>
      </w:pBdr>
      <w:tabs>
        <w:tab w:val="right" w:pos="9026"/>
      </w:tabs>
      <w:rPr>
        <w:rFonts w:hint="eastAsia" w:eastAsia="微软雅黑"/>
        <w:lang w:val="en-US" w:eastAsia="zh-CN"/>
      </w:rPr>
    </w:pPr>
    <w:r>
      <w:rPr>
        <w:rFonts w:hint="eastAsia" w:cs="微软雅黑"/>
        <w:b/>
        <w:bCs/>
        <w:color w:val="1F4E79"/>
        <w:sz w:val="18"/>
        <w:szCs w:val="18"/>
        <w:lang w:val="en-US" w:eastAsia="zh-CN"/>
      </w:rPr>
      <w:t>SmartST</w:t>
    </w:r>
    <w:r>
      <w:rPr>
        <w:rFonts w:ascii="微软雅黑" w:hAnsi="微软雅黑" w:eastAsia="微软雅黑" w:cs="微软雅黑"/>
        <w:strike/>
        <w:color w:val="808080"/>
        <w:sz w:val="16"/>
        <w:szCs w:val="16"/>
      </w:rPr>
      <w:tab/>
    </w:r>
    <w:r>
      <w:rPr>
        <w:rFonts w:hint="eastAsia" w:cs="微软雅黑"/>
        <w:color w:val="808080"/>
        <w:sz w:val="16"/>
        <w:szCs w:val="16"/>
        <w:lang w:val="en-US" w:eastAsia="zh-CN"/>
      </w:rPr>
      <w:t>系统测试</w:t>
    </w:r>
    <w:r>
      <w:rPr>
        <w:rFonts w:ascii="微软雅黑" w:hAnsi="微软雅黑" w:eastAsia="微软雅黑" w:cs="微软雅黑"/>
        <w:color w:val="808080"/>
        <w:sz w:val="16"/>
        <w:szCs w:val="16"/>
      </w:rPr>
      <w:t>智能</w:t>
    </w:r>
    <w:r>
      <w:rPr>
        <w:rFonts w:hint="eastAsia" w:cs="微软雅黑"/>
        <w:color w:val="808080"/>
        <w:sz w:val="16"/>
        <w:szCs w:val="16"/>
        <w:lang w:val="en-US" w:eastAsia="zh-CN"/>
      </w:rPr>
      <w:t>体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</w:pPr>
    <w:r>
      <w:rPr>
        <w:rFonts w:hint="eastAsia"/>
      </w:rPr>
      <w:t>SafetyWise                                                                                                                                      系统安全分析智能体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01572C99"/>
    <w:rsid w:val="04BA77B2"/>
    <w:rsid w:val="071F2E29"/>
    <w:rsid w:val="0C6F1FE5"/>
    <w:rsid w:val="10D4446D"/>
    <w:rsid w:val="14B62AB7"/>
    <w:rsid w:val="15027278"/>
    <w:rsid w:val="15A44410"/>
    <w:rsid w:val="163D479F"/>
    <w:rsid w:val="1D065ED7"/>
    <w:rsid w:val="1F7B1734"/>
    <w:rsid w:val="1FEC0C8F"/>
    <w:rsid w:val="21DB5D37"/>
    <w:rsid w:val="23277354"/>
    <w:rsid w:val="25BC1581"/>
    <w:rsid w:val="2C227E92"/>
    <w:rsid w:val="2DB216ED"/>
    <w:rsid w:val="2EE155E4"/>
    <w:rsid w:val="2F1156C3"/>
    <w:rsid w:val="30887719"/>
    <w:rsid w:val="30A14CB5"/>
    <w:rsid w:val="320A38B3"/>
    <w:rsid w:val="35567D64"/>
    <w:rsid w:val="378826AF"/>
    <w:rsid w:val="3D042809"/>
    <w:rsid w:val="42A706A9"/>
    <w:rsid w:val="451A3F70"/>
    <w:rsid w:val="481E1230"/>
    <w:rsid w:val="52950364"/>
    <w:rsid w:val="59AF6F50"/>
    <w:rsid w:val="5ABF5F70"/>
    <w:rsid w:val="635323E3"/>
    <w:rsid w:val="691079C5"/>
    <w:rsid w:val="6C54286F"/>
    <w:rsid w:val="6D1B668A"/>
    <w:rsid w:val="6D5063AB"/>
    <w:rsid w:val="71E05943"/>
    <w:rsid w:val="75A1344A"/>
    <w:rsid w:val="79573D7F"/>
    <w:rsid w:val="7D6C7B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333333"/>
      <w:sz w:val="18"/>
      <w:szCs w:val="18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18"/>
      <w:szCs w:val="18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18"/>
      <w:szCs w:val="18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18"/>
      <w:szCs w:val="18"/>
    </w:rPr>
  </w:style>
  <w:style w:type="character" w:default="1" w:styleId="16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3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footnote text"/>
    <w:link w:val="22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qFormat/>
    <w:uiPriority w:val="0"/>
    <w:rPr>
      <w:rFonts w:ascii="微软雅黑" w:hAnsi="微软雅黑" w:eastAsia="微软雅黑" w:cs="微软雅黑"/>
      <w:color w:val="333333"/>
      <w:sz w:val="56"/>
      <w:szCs w:val="56"/>
    </w:rPr>
  </w:style>
  <w:style w:type="table" w:styleId="15">
    <w:name w:val="Table Grid"/>
    <w:basedOn w:val="14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endnote reference"/>
    <w:semiHidden/>
    <w:unhideWhenUsed/>
    <w:qFormat/>
    <w:uiPriority w:val="99"/>
    <w:rPr>
      <w:vertAlign w:val="superscript"/>
    </w:rPr>
  </w:style>
  <w:style w:type="character" w:styleId="19">
    <w:name w:val="Hyperlink"/>
    <w:unhideWhenUsed/>
    <w:qFormat/>
    <w:uiPriority w:val="99"/>
    <w:rPr>
      <w:color w:val="0563C1"/>
      <w:u w:val="single"/>
    </w:rPr>
  </w:style>
  <w:style w:type="character" w:styleId="20">
    <w:name w:val="footnote reference"/>
    <w:semiHidden/>
    <w:unhideWhenUsed/>
    <w:qFormat/>
    <w:uiPriority w:val="99"/>
    <w:rPr>
      <w:vertAlign w:val="superscript"/>
    </w:rPr>
  </w:style>
  <w:style w:type="paragraph" w:styleId="21">
    <w:name w:val="List Paragraph"/>
    <w:qFormat/>
    <w:uiPriority w:val="0"/>
    <w:rPr>
      <w:rFonts w:ascii="微软雅黑" w:hAnsi="微软雅黑" w:eastAsia="微软雅黑" w:cs="微软雅黑"/>
      <w:color w:val="333333"/>
      <w:sz w:val="18"/>
      <w:szCs w:val="18"/>
    </w:rPr>
  </w:style>
  <w:style w:type="character" w:customStyle="1" w:styleId="22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theme" Target="theme/theme1.xml"/><Relationship Id="rId21" Type="http://schemas.openxmlformats.org/officeDocument/2006/relationships/footer" Target="footer7.xml"/><Relationship Id="rId20" Type="http://schemas.openxmlformats.org/officeDocument/2006/relationships/footer" Target="footer6.xml"/><Relationship Id="rId2" Type="http://schemas.openxmlformats.org/officeDocument/2006/relationships/settings" Target="settings.xml"/><Relationship Id="rId19" Type="http://schemas.openxmlformats.org/officeDocument/2006/relationships/footer" Target="footer5.xml"/><Relationship Id="rId18" Type="http://schemas.openxmlformats.org/officeDocument/2006/relationships/header" Target="header12.xml"/><Relationship Id="rId17" Type="http://schemas.openxmlformats.org/officeDocument/2006/relationships/header" Target="header11.xml"/><Relationship Id="rId16" Type="http://schemas.openxmlformats.org/officeDocument/2006/relationships/header" Target="header10.xml"/><Relationship Id="rId15" Type="http://schemas.openxmlformats.org/officeDocument/2006/relationships/header" Target="header9.xml"/><Relationship Id="rId14" Type="http://schemas.openxmlformats.org/officeDocument/2006/relationships/header" Target="header8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footer" Target="footer4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</TotalTime>
  <ScaleCrop>false</ScaleCrop>
  <LinksUpToDate>false</LinksUpToDate>
  <Application>WPS Office_11.8.0.16981_F1E327BC-269C-435d-A152-05C5408002CA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2026-04-30T10:31:00Z</dcterms:created>
  <dc:creator>DELL</dc:creator>
  <cp:lastModifiedBy>朱海涛</cp:lastModifiedBy>
  <dcterms:modified xsi:type="dcterms:W3CDTF">2026-04-30T02:34:46Z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2052-11.8.0.16981</vt:lpwstr>
  </property>
  <property fmtid="{D5CDD505-2E9C-101B-9397-08002B2CF9AE}" pid="3" name="ICV">
    <vt:lpwstr>B788C48994B14616A43A5930954ED989</vt:lpwstr>
  </property>
</Properties>
</file>