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0080"/></w:tblGrid><w:tr><w:tc><w:tcPr><w:tcBorders><w:top w:val="none" w:color="FFFFFF" w:sz="0"/><w:left w:val="none" w:color="FFFFFF" w:sz="0"/><w:bottom w:val="none" w:color="FFFFFF" w:sz="0"/><w:right w:val="none" w:color="FFFFFF" w:sz="0"/></w:tcBorders><w:shd w:fill="8B0000" w:val="clear"/><w:tcMar><w:top w:type="dxa" w:w="400"/><w:left w:type="dxa" w:w="400"/><w:bottom w:type="dxa" w:w="360"/><w:right w:type="dxa" w:w="400"/></w:tcMar></w:tcPr><w:p><w:pPr><w:spacing w:after="80" w:before="0"/></w:pPr><w:r><w:rPr><w:rFonts w:ascii="Arial" w:cs="Arial" w:eastAsia="Arial" w:hAnsi="Arial"/><w:b/><w:bCs/><w:color w:val="FFFFFF"/><w:sz w:val="56"/><w:szCs w:val="56"/></w:rPr><w:t xml:space="preserve">RETIREMENT RISK &amp;</w:t></w:r></w:p><w:p><w:pPr><w:spacing w:after="160" w:before="0"/></w:pPr><w:r><w:rPr><w:rFonts w:ascii="Arial" w:cs="Arial" w:eastAsia="Arial" w:hAnsi="Arial"/><w:b/><w:bCs/><w:color w:val="FFFFFF"/><w:sz w:val="56"/><w:szCs w:val="56"/></w:rPr><w:t xml:space="preserve">SOLUTION FRAMEWORK</w:t></w:r></w:p><w:p><w:pPr><w:spacing w:after="0" w:before="0"/></w:pPr><w:r><w:rPr><w:rFonts w:ascii="Arial" w:cs="Arial" w:eastAsia="Arial" w:hAnsi="Arial"/><w:i/><w:iCs/><w:color w:val="FFD0D0"/><w:sz w:val="22"/><w:szCs w:val="22"/></w:rPr><w:t xml:space="preserve">A holistic, solution-oriented guide to protecting what you’ve built — and keeping it usable.</w:t></w:r></w:p></w:tc></w:tr></w:tbl><w:p><w:pPr><w:spacing w:after="40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3000"/><w:gridCol w:w="3000"/><w:gridCol w:w="4080"/></w:tblGrid><w:tr><w:tc><w:tcPr><w:tcW w:type="dxa" w:w="3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1A1A1A"/><w:sz w:val="18"/><w:szCs w:val="18"/></w:rPr><w:t xml:space="preserve">Client Name:</w:t></w:r></w:p><w:p><w:pPr><w:spacing w:after="0" w:before="0"/></w:pPr><w:r><w:rPr><w:rFonts w:ascii="Arial" w:cs="Arial" w:eastAsia="Arial" w:hAnsi="Arial"/><w:color w:val="D0D0D0"/><w:sz w:val="20"/><w:szCs w:val="20"/></w:rPr><w:t xml:space="preserve">_____________________________</w:t></w:r></w:p></w:tc><w:tc><w:tcPr><w:tcW w:type="dxa" w:w="3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1A1A1A"/><w:sz w:val="18"/><w:szCs w:val="18"/></w:rPr><w:t xml:space="preserve">Date:</w:t></w:r></w:p><w:p><w:pPr><w:spacing w:after="0" w:before="0"/></w:pPr><w:r><w:rPr><w:rFonts w:ascii="Arial" w:cs="Arial" w:eastAsia="Arial" w:hAnsi="Arial"/><w:color w:val="D0D0D0"/><w:sz w:val="20"/><w:szCs w:val="20"/></w:rPr><w:t xml:space="preserve">_____________________________</w:t></w:r></w:p></w:tc><w:tc><w:tcPr><w:tcW w:type="dxa" w:w="408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1A1A1A"/><w:sz w:val="18"/><w:szCs w:val="18"/></w:rPr><w:t xml:space="preserve">Advisor:</w:t></w:r></w:p><w:p><w:pPr><w:spacing w:after="0" w:before="0"/></w:pPr><w:r><w:rPr><w:rFonts w:ascii="Arial" w:cs="Arial" w:eastAsia="Arial" w:hAnsi="Arial"/><w:color w:val="666666"/><w:sz w:val="20"/><w:szCs w:val="20"/></w:rPr><w:t xml:space="preserve">Jeremiah Stephen — JCS Agency</w:t></w:r></w:p></w:tc></w:tr><w:tr><w:tc><w:tcPr><w:tcW w:type="dxa" w:w="3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1A1A1A"/><w:sz w:val="18"/><w:szCs w:val="18"/></w:rPr><w:t xml:space="preserve">Age / Target Retire Age:</w:t></w:r></w:p><w:p><w:pPr><w:spacing w:after="0" w:before="0"/></w:pPr><w:r><w:rPr><w:rFonts w:ascii="Arial" w:cs="Arial" w:eastAsia="Arial" w:hAnsi="Arial"/><w:color w:val="D0D0D0"/><w:sz w:val="20"/><w:szCs w:val="20"/></w:rPr><w:t xml:space="preserve">_____ / _____</w:t></w:r></w:p></w:tc><w:tc><w:tcPr><w:tcW w:type="dxa" w:w="3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1A1A1A"/><w:sz w:val="18"/><w:szCs w:val="18"/></w:rPr><w:t xml:space="preserve">Home Equity (est.):</w:t></w:r></w:p><w:p><w:pPr><w:spacing w:after="0" w:before="0"/></w:pPr><w:r><w:rPr><w:rFonts w:ascii="Arial" w:cs="Arial" w:eastAsia="Arial" w:hAnsi="Arial"/><w:color w:val="D0D0D0"/><w:sz w:val="20"/><w:szCs w:val="20"/></w:rPr><w:t xml:space="preserve">$_____________________</w:t></w:r></w:p></w:tc><w:tc><w:tcPr><w:tcW w:type="dxa" w:w="408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1A1A1A"/><w:sz w:val="18"/><w:szCs w:val="18"/></w:rPr><w:t xml:space="preserve">Primary Goal:</w:t></w:r></w:p><w:p><w:pPr><w:spacing w:after="0" w:before="0"/></w:pPr><w:r><w:rPr><w:rFonts w:ascii="Arial" w:cs="Arial" w:eastAsia="Arial" w:hAnsi="Arial"/><w:color w:val="666666"/><w:sz w:val="19"/><w:szCs w:val="19"/></w:rPr><w:t xml:space="preserve">☐ Security  ☐ Tax Efficiency  ☐ Legacy</w:t></w:r></w:p></w:tc></w:tr></w:tbl><w:p><w:pPr><w:spacing w:after="28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single" w:color="5B8EC2" w:sz="24"/><w:bottom w:val="none" w:color="FFFFFF" w:sz="0"/><w:right w:val="none" w:color="FFFFFF" w:sz="0"/></w:tcBorders><w:shd w:fill="EEF4FB" w:val="clear"/><w:tcMar><w:top w:type="dxa" w:w="160"/><w:left w:type="dxa" w:w="200"/><w:bottom w:type="dxa" w:w="160"/><w:right w:type="dxa" w:w="200"/></w:tcMar></w:tcPr><w:p><w:pPr><w:spacing w:after="80" w:before="0"/></w:pPr><w:r><w:rPr><w:rFonts w:ascii="Arial" w:cs="Arial" w:eastAsia="Arial" w:hAnsi="Arial"/><w:b/><w:bCs/><w:color w:val="1A4A80"/><w:sz w:val="20"/><w:szCs w:val="20"/></w:rPr><w:t xml:space="preserve">How to use this framework</w:t></w:r></w:p><w:p><w:pPr><w:spacing w:after="60" w:before="0"/></w:pPr><w:r><w:rPr><w:rFonts w:ascii="Arial" w:cs="Arial" w:eastAsia="Arial" w:hAnsi="Arial"/><w:color w:val="666666"/><w:sz w:val="19"/><w:szCs w:val="19"/></w:rPr><w:t xml:space="preserve">This is a discussion guide, not a sales presentation. Work through each section together, mark what applies, and leave with a clear picture of which risks are addressed — and which aren’t.</w:t></w:r></w:p><w:p><w:pPr><w:spacing w:after="60" w:before="0"/></w:pPr><w:r><w:rPr><w:rFonts w:ascii="Arial" w:cs="Arial" w:eastAsia="Arial" w:hAnsi="Arial"/><w:color w:val="666666"/><w:sz w:val="19"/><w:szCs w:val="19"/></w:rPr><w:t xml:space="preserve">Every strategy here centers on three questions: (1) Does this protect your income if something goes wrong? (2) Does it keep money accessible without triggering a tax event? (3) Does it preserve what you’ve built for the people who matter to you?</w:t></w:r></w:p><w:p><w:pPr><w:spacing w:after="60" w:before="0"/></w:pPr><w:r><w:rPr><w:rFonts w:ascii="Arial" w:cs="Arial" w:eastAsia="Arial" w:hAnsi="Arial"/><w:color w:val="666666"/><w:sz w:val="19"/><w:szCs w:val="19"/></w:rPr><w:t xml:space="preserve">Nothing here is a product recommendation. It is a framework for thinking. Products come after the conversation.</w:t></w:r></w:p></w:tc></w:tr></w:tbl><w:p><w:pPr><w:spacing w:after="280" w:before="0"/></w:pPr><w:r><w:t xml:space="preserve"></w:t></w:r></w:p><w:p><w:pPr><w:spacing w:after="80" w:before="0"/></w:pPr><w:r><w:rPr><w:rFonts w:ascii="Arial" w:cs="Arial" w:eastAsia="Arial" w:hAnsi="Arial"/><w:b/><w:bCs/><w:color w:val="666666"/><w:sz w:val="17"/><w:szCs w:val="17"/></w:rPr><w:t xml:space="preserve">THIS FRAMEWORK DRAWS ON:</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520"/><w:gridCol w:w="2520"/><w:gridCol w:w="2520"/><w:gridCol w:w="2520"/></w:tblGrid><w:tr><w:tc><w:tcPr><w:tcW w:type="dxa" w:w="252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pPr><w:spacing w:after="40" w:before="0"/></w:pPr><w:r><w:rPr><w:rFonts w:ascii="Arial" w:cs="Arial" w:eastAsia="Arial" w:hAnsi="Arial"/><w:b/><w:bCs/><w:color w:val="1A4A80"/><w:sz w:val="18"/><w:szCs w:val="18"/></w:rPr><w:t xml:space="preserve">Power of Zero</w:t></w:r></w:p><w:p><w:pPr><w:spacing w:after="0" w:before="0"/></w:pPr><w:r><w:rPr><w:rFonts w:ascii="Arial" w:cs="Arial" w:eastAsia="Arial" w:hAnsi="Arial"/><w:i/><w:iCs/><w:color w:val="666666"/><w:sz w:val="16"/><w:szCs w:val="16"/></w:rPr><w:t xml:space="preserve">D. McKnight</w:t></w:r></w:p></w:tc><w:tc><w:tcPr><w:tcW w:type="dxa" w:w="252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pPr><w:spacing w:after="40" w:before="0"/></w:pPr><w:r><w:rPr><w:rFonts w:ascii="Arial" w:cs="Arial" w:eastAsia="Arial" w:hAnsi="Arial"/><w:b/><w:bCs/><w:color w:val="1A6B3A"/><w:sz w:val="18"/><w:szCs w:val="18"/></w:rPr><w:t xml:space="preserve">Tax-Free Income for Life</w:t></w:r></w:p><w:p><w:pPr><w:spacing w:after="0" w:before="0"/></w:pPr><w:r><w:rPr><w:rFonts w:ascii="Arial" w:cs="Arial" w:eastAsia="Arial" w:hAnsi="Arial"/><w:i/><w:iCs/><w:color w:val="666666"/><w:sz w:val="16"/><w:szCs w:val="16"/></w:rPr><w:t xml:space="preserve">D. McKnight</w:t></w:r></w:p></w:tc><w:tc><w:tcPr><w:tcW w:type="dxa" w:w="252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pPr><w:spacing w:after="40" w:before="0"/></w:pPr><w:r><w:rPr><w:rFonts w:ascii="Arial" w:cs="Arial" w:eastAsia="Arial" w:hAnsi="Arial"/><w:b/><w:bCs/><w:color w:val="7A5500"/><w:sz w:val="18"/><w:szCs w:val="18"/></w:rPr><w:t xml:space="preserve">Become Your Own Banker</w:t></w:r></w:p><w:p><w:pPr><w:spacing w:after="0" w:before="0"/></w:pPr><w:r><w:rPr><w:rFonts w:ascii="Arial" w:cs="Arial" w:eastAsia="Arial" w:hAnsi="Arial"/><w:i/><w:iCs/><w:color w:val="666666"/><w:sz w:val="16"/><w:szCs w:val="16"/></w:rPr><w:t xml:space="preserve">Nelson Nash</w:t></w:r></w:p></w:tc><w:tc><w:tcPr><w:tcW w:type="dxa" w:w="252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pPr><w:spacing w:after="40" w:before="0"/></w:pPr><w:r><w:rPr><w:rFonts w:ascii="Arial" w:cs="Arial" w:eastAsia="Arial" w:hAnsi="Arial"/><w:b/><w:bCs/><w:color w:val="4A1A7A"/><w:sz w:val="18"/><w:szCs w:val="18"/></w:rPr><w:t xml:space="preserve">Volatility Shield</w:t></w:r></w:p><w:p><w:pPr><w:spacing w:after="0" w:before="0"/></w:pPr><w:r><w:rPr><w:rFonts w:ascii="Arial" w:cs="Arial" w:eastAsia="Arial" w:hAnsi="Arial"/><w:i/><w:iCs/><w:color w:val="666666"/><w:sz w:val="16"/><w:szCs w:val="16"/></w:rPr><w:t xml:space="preserve">Milevsky / Industry</w:t></w:r></w:p></w:tc></w:tr><w:tr><w:tc><w:tcPr><w:tcW w:type="dxa" w:w="252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pPr><w:spacing w:after="40" w:before="0"/></w:pPr><w:r><w:rPr><w:rFonts w:ascii="Arial" w:cs="Arial" w:eastAsia="Arial" w:hAnsi="Arial"/><w:b/><w:bCs/><w:color w:val="1A5A6A"/><w:sz w:val="18"/><w:szCs w:val="18"/></w:rPr><w:t xml:space="preserve">Home Equity &amp; Reverse Mortgages</w:t></w:r></w:p><w:p><w:pPr><w:spacing w:after="0" w:before="0"/></w:pPr><w:r><w:rPr><w:rFonts w:ascii="Arial" w:cs="Arial" w:eastAsia="Arial" w:hAnsi="Arial"/><w:i/><w:iCs/><w:color w:val="666666"/><w:sz w:val="16"/><w:szCs w:val="16"/></w:rPr><w:t xml:space="preserve">Harlan Accola</w:t></w:r></w:p></w:tc><w:tc><w:tcPr><w:tcW w:type="dxa" w:w="252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pPr><w:spacing w:after="40" w:before="0"/></w:pPr><w:r><w:rPr><w:rFonts w:ascii="Arial" w:cs="Arial" w:eastAsia="Arial" w:hAnsi="Arial"/><w:b/><w:bCs/><w:color w:val="1A5A6A"/><w:sz w:val="18"/><w:szCs w:val="18"/></w:rPr><w:t xml:space="preserve">Reverse Mortgages in Retirement</w:t></w:r></w:p><w:p><w:pPr><w:spacing w:after="0" w:before="0"/></w:pPr><w:r><w:rPr><w:rFonts w:ascii="Arial" w:cs="Arial" w:eastAsia="Arial" w:hAnsi="Arial"/><w:i/><w:iCs/><w:color w:val="666666"/><w:sz w:val="16"/><w:szCs w:val="16"/></w:rPr><w:t xml:space="preserve">Wade Pfau, PhD</w:t></w:r></w:p></w:tc><w:tc><w:tcPr><w:tcW w:type="dxa" w:w="2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666666"/><w:sz w:val="18"/><w:szCs w:val="18"/></w:rPr><w:t xml:space="preserve">SSA Actuarial / CDC Data</w:t></w:r></w:p><w:p><w:pPr><w:spacing w:after="0" w:before="0"/></w:pPr><w:r><w:rPr><w:rFonts w:ascii="Arial" w:cs="Arial" w:eastAsia="Arial" w:hAnsi="Arial"/><w:i/><w:iCs/><w:color w:val="666666"/><w:sz w:val="16"/><w:szCs w:val="16"/></w:rPr><w:t xml:space="preserve">2022–2025</w:t></w:r></w:p></w:tc><w:tc><w:tcPr><w:tcW w:type="dxa" w:w="2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spacing w:after="40" w:before="0"/></w:pPr><w:r><w:rPr><w:rFonts w:ascii="Arial" w:cs="Arial" w:eastAsia="Arial" w:hAnsi="Arial"/><w:b/><w:bCs/><w:color w:val="666666"/><w:sz w:val="18"/><w:szCs w:val="18"/></w:rPr><w:t xml:space="preserve">AALTCI LTC Research</w:t></w:r></w:p><w:p><w:pPr><w:spacing w:after="0" w:before="0"/></w:pPr><w:r><w:rPr><w:rFonts w:ascii="Arial" w:cs="Arial" w:eastAsia="Arial" w:hAnsi="Arial"/><w:i/><w:iCs/><w:color w:val="666666"/><w:sz w:val="16"/><w:szCs w:val="16"/></w:rPr><w:t xml:space="preserve">2024</w:t></w:r></w:p></w:tc></w:tr></w:tbl><w:p><w:r><w:br w:type="page"/></w:r></w:p><w:p><w:pPr><w:pBdr><w:bottom w:val="single" w:color="8B0000" w:sz="8" w:space="1"/></w:pBdr><w:spacing w:after="60" w:before="360"/></w:pPr><w:r><w:rPr><w:rFonts w:ascii="Arial" w:cs="Arial" w:eastAsia="Arial" w:hAnsi="Arial"/><w:b/><w:bCs/><w:color w:val="8B0000"/><w:sz w:val="17"/><w:szCs w:val="17"/></w:rPr><w:t xml:space="preserve">SECTION 1 — YOUR SIX RETIREMENT RISKS</w:t></w:r></w:p><w:p><w:pPr><w:spacing w:after="80" w:before="0"/></w:pPr><w:r><w:t xml:space="preserve"></w:t></w:r></w:p><w:p><w:pPr><w:spacing w:after="80" w:before="0"/></w:pPr><w:r><w:rPr><w:rFonts w:ascii="Arial" w:cs="Arial" w:eastAsia="Arial" w:hAnsi="Arial"/><w:color w:val="444444"/><w:sz w:val="20"/><w:szCs w:val="20"/></w:rPr><w:t xml:space="preserve">Most retirement plans are built for the average case. But you don’t retire in the average — you retire on a specific day, with specific assets, into specific market conditions, and with a specific health trajectory. These six risks are the gaps between “the plan worked on paper” and “the plan worked in real life.”</w:t></w:r></w:p><w:p><w:pPr><w:spacing w:after="16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40"/><w:gridCol w:w="1800"/><w:gridCol w:w="4520"/><w:gridCol w:w="2400"/></w:tblGrid><w:tr><w:trPr><w:tblHeader/></w:trPr><w:tc><w:tcPr><w:tcW w:type="dxa" w:w="640"/><w:tcBorders><w:top w:val="none" w:color="FFFFFF" w:sz="0"/><w:left w:val="none" w:color="FFFFFF" w:sz="0"/><w:bottom w:val="none" w:color="FFFFFF" w:sz="0"/><w:right w:val="none" w:color="FFFFFF" w:sz="0"/></w:tcBorders><w:shd w:fill="1A1A1A" w:val="clear"/><w:tcMar><w:top w:type="dxa" w:w="100"/><w:left w:type="dxa" w:w="160"/><w:bottom w:type="dxa" w:w="100"/><w:right w:type="dxa" w:w="160"/></w:tcMar></w:tcPr><w:p><w:pPr><w:jc w:val="center"/></w:pPr><w:r><w:rPr><w:rFonts w:ascii="Arial" w:cs="Arial" w:eastAsia="Arial" w:hAnsi="Arial"/><w:b/><w:bCs/><w:color w:val="B0B0B0"/><w:sz w:val="16"/><w:szCs w:val="16"/></w:rPr><w:t xml:space="preserve">#</w:t></w:r></w:p></w:tc><w:tc><w:tcPr><w:tcW w:type="dxa" w:w="18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pPr><w:jc w:val="left"/></w:pPr><w:r><w:rPr><w:rFonts w:ascii="Arial" w:cs="Arial" w:eastAsia="Arial" w:hAnsi="Arial"/><w:b/><w:bCs/><w:color w:val="B0B0B0"/><w:sz w:val="16"/><w:szCs w:val="16"/></w:rPr><w:t xml:space="preserve">RISK</w:t></w:r></w:p></w:tc><w:tc><w:tcPr><w:tcW w:type="dxa" w:w="4520"/><w:tcBorders><w:top w:val="none" w:color="FFFFFF" w:sz="0"/><w:left w:val="none" w:color="FFFFFF" w:sz="0"/><w:bottom w:val="none" w:color="FFFFFF" w:sz="0"/><w:right w:val="none" w:color="FFFFFF" w:sz="0"/></w:tcBorders><w:shd w:fill="1A1A1A" w:val="clear"/><w:tcMar><w:top w:type="dxa" w:w="100"/><w:left w:type="dxa" w:w="160"/><w:bottom w:type="dxa" w:w="100"/><w:right w:type="dxa" w:w="160"/></w:tcMar></w:tcPr><w:p><w:pPr><w:jc w:val="left"/></w:pPr><w:r><w:rPr><w:rFonts w:ascii="Arial" w:cs="Arial" w:eastAsia="Arial" w:hAnsi="Arial"/><w:b/><w:bCs/><w:color w:val="B0B0B0"/><w:sz w:val="16"/><w:szCs w:val="16"/></w:rPr><w:t xml:space="preserve">WHAT IT MEANS FOR YOU</w:t></w:r></w:p></w:tc><w:tc><w:tcPr><w:tcW w:type="dxa" w:w="24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pPr><w:jc w:val="left"/></w:pPr><w:r><w:rPr><w:rFonts w:ascii="Arial" w:cs="Arial" w:eastAsia="Arial" w:hAnsi="Arial"/><w:b/><w:bCs/><w:color w:val="B0B0B0"/><w:sz w:val="16"/><w:szCs w:val="16"/></w:rPr><w:t xml:space="preserve">DO YOU HAVE A PLAN?</w:t></w:r></w:p></w:tc></w:tr><w:tr><w:tc><w:tcPr><w:tcW w:type="dxa" w:w="640"/><w:tcBorders><w:top w:val="single" w:color="B00000" w:sz="1"/><w:left w:val="single" w:color="B00000" w:sz="1"/><w:bottom w:val="single" w:color="B00000" w:sz="1"/><w:right w:val="single" w:color="B00000" w:sz="1"/></w:tcBorders><w:shd w:fill="B00000"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1</w:t></w:r></w:p></w:tc><w:tc><w:tcPr><w:tcW w:type="dxa" w:w="18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b/><w:bCs/><w:color w:val="B00000"/><w:sz w:val="20"/><w:szCs w:val="20"/></w:rPr><w:t xml:space="preserve">Longevity</w:t></w:r></w:p></w:tc><w:tc><w:tcPr><w:tcW w:type="dxa" w:w="452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pPr><w:spacing w:after="0" w:before="0"/></w:pPr><w:r><w:rPr><w:rFonts w:ascii="Arial" w:cs="Arial" w:eastAsia="Arial" w:hAnsi="Arial"/><w:color w:val="666666"/><w:sz w:val="18"/><w:szCs w:val="18"/></w:rPr><w:t xml:space="preserve">34% of 65-year-olds reach 90. 12% reach 95+. Every year in retirement costs money. Outliving your savings is a math problem, not a character flaw.</w:t></w:r></w:p></w:tc><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7"/><w:szCs w:val="17"/></w:rPr><w:t xml:space="preserve">☐ Plan extends to 95+
☐ Income sources guaranteed</w:t></w:r></w:p></w:tc></w:tr><w:tr><w:tc><w:tcPr><w:tcW w:type="dxa" w:w="640"/><w:tcBorders><w:top w:val="single" w:color="7A5500" w:sz="1"/><w:left w:val="single" w:color="7A5500" w:sz="1"/><w:bottom w:val="single" w:color="7A5500" w:sz="1"/><w:right w:val="single" w:color="7A5500" w:sz="1"/></w:tcBorders><w:shd w:fill="7A5500"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2</w:t></w:r></w:p></w:tc><w:tc><w:tcPr><w:tcW w:type="dxa" w:w="180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7A5500"/><w:sz w:val="20"/><w:szCs w:val="20"/></w:rPr><w:t xml:space="preserve">Market Volatility</w:t></w:r></w:p></w:tc><w:tc><w:tcPr><w:tcW w:type="dxa" w:w="452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pPr><w:spacing w:after="0" w:before="0"/></w:pPr><w:r><w:rPr><w:rFonts w:ascii="Arial" w:cs="Arial" w:eastAsia="Arial" w:hAnsi="Arial"/><w:color w:val="666666"/><w:sz w:val="18"/><w:szCs w:val="18"/></w:rPr><w:t xml:space="preserve">Avg 2–2.5 years to recover S&amp;P 500 highs. Withdrawing from a down portfolio locks in losses permanently. Sequence-of-returns risk is invisible until it isn’t.</w:t></w:r></w:p></w:tc><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7"/><w:szCs w:val="17"/></w:rPr><w:t xml:space="preserve">☐ Buffer asset in place
☐ No forced selling plan</w:t></w:r></w:p></w:tc></w:tr><w:tr><w:tc><w:tcPr><w:tcW w:type="dxa" w:w="640"/><w:tcBorders><w:top w:val="single" w:color="8B6914" w:sz="1"/><w:left w:val="single" w:color="8B6914" w:sz="1"/><w:bottom w:val="single" w:color="8B6914" w:sz="1"/><w:right w:val="single" w:color="8B6914" w:sz="1"/></w:tcBorders><w:shd w:fill="8B6914"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3</w:t></w:r></w:p></w:tc><w:tc><w:tcPr><w:tcW w:type="dxa" w:w="180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8B6914"/><w:sz w:val="20"/><w:szCs w:val="20"/></w:rPr><w:t xml:space="preserve">Inflation</w:t></w:r></w:p></w:tc><w:tc><w:tcPr><w:tcW w:type="dxa" w:w="452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pPr><w:spacing w:after="0" w:before="0"/></w:pPr><w:r><w:rPr><w:rFonts w:ascii="Arial" w:cs="Arial" w:eastAsia="Arial" w:hAnsi="Arial"/><w:color w:val="666666"/><w:sz w:val="18"/><w:szCs w:val="18"/></w:rPr><w:t xml:space="preserve">~3% annually erodes purchasing power. $50,000/yr today needs ~$90,000 in 20 years to buy the same things. Fixed income sources lose real value over time.</w:t></w:r></w:p></w:tc><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7"/><w:szCs w:val="17"/></w:rPr><w:t xml:space="preserve">☐ Growth assets held
☐ Income sources indexed</w:t></w:r></w:p></w:tc></w:tr><w:tr><w:tc><w:tcPr><w:tcW w:type="dxa" w:w="640"/><w:tcBorders><w:top w:val="single" w:color="1A4A80" w:sz="1"/><w:left w:val="single" w:color="1A4A80" w:sz="1"/><w:bottom w:val="single" w:color="1A4A80" w:sz="1"/><w:right w:val="single" w:color="1A4A80" w:sz="1"/></w:tcBorders><w:shd w:fill="1A4A80"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4</w:t></w:r></w:p></w:tc><w:tc><w:tcPr><w:tcW w:type="dxa" w:w="180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20"/><w:szCs w:val="20"/></w:rPr><w:t xml:space="preserve">Tax Risk</w:t></w:r></w:p></w:tc><w:tc><w:tcPr><w:tcW w:type="dxa" w:w="452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pPr><w:spacing w:after="0" w:before="0"/></w:pPr><w:r><w:rPr><w:rFonts w:ascii="Arial" w:cs="Arial" w:eastAsia="Arial" w:hAnsi="Arial"/><w:color w:val="666666"/><w:sz w:val="18"/><w:szCs w:val="18"/></w:rPr><w:t xml:space="preserve">RMDs begin at 73 and can push you into higher brackets. Tax rates are historically low now. What you defer today, you (or the IRS) collect later.</w:t></w:r></w:p></w:tc><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7"/><w:szCs w:val="17"/></w:rPr><w:t xml:space="preserve">☐ Roth conversion started
☐ Tax-free income sources</w:t></w:r></w:p></w:tc></w:tr><w:tr><w:tc><w:tcPr><w:tcW w:type="dxa" w:w="640"/><w:tcBorders><w:top w:val="single" w:color="1A6B3A" w:sz="1"/><w:left w:val="single" w:color="1A6B3A" w:sz="1"/><w:bottom w:val="single" w:color="1A6B3A" w:sz="1"/><w:right w:val="single" w:color="1A6B3A" w:sz="1"/></w:tcBorders><w:shd w:fill="1A6B3A"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5</w:t></w:r></w:p></w:tc><w:tc><w:tcPr><w:tcW w:type="dxa" w:w="18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w:bCs/><w:color w:val="1A6B3A"/><w:sz w:val="20"/><w:szCs w:val="20"/></w:rPr><w:t xml:space="preserve">Healthcare / LTC</w:t></w:r></w:p></w:tc><w:tc><w:tcPr><w:tcW w:type="dxa" w:w="452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pPr><w:spacing w:after="0" w:before="0"/></w:pPr><w:r><w:rPr><w:rFonts w:ascii="Arial" w:cs="Arial" w:eastAsia="Arial" w:hAnsi="Arial"/><w:color w:val="666666"/><w:sz w:val="18"/><w:szCs w:val="18"/></w:rPr><w:t xml:space="preserve">41.4% of men, 51.2% of women age 65+ will need paid LTC. Nursing home: $108–$144K/yr. Average need: 2.5 years. 20% need 5+ years.</w:t></w:r></w:p></w:tc><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7"/><w:szCs w:val="17"/></w:rPr><w:t xml:space="preserve">☐ LTC plan in place
☐ Not self-insured only</w:t></w:r></w:p></w:tc></w:tr><w:tr><w:tc><w:tcPr><w:tcW w:type="dxa" w:w="640"/><w:tcBorders><w:top w:val="single" w:color="4A1A7A" w:sz="1"/><w:left w:val="single" w:color="4A1A7A" w:sz="1"/><w:bottom w:val="single" w:color="4A1A7A" w:sz="1"/><w:right w:val="single" w:color="4A1A7A" w:sz="1"/></w:tcBorders><w:shd w:fill="4A1A7A"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6</w:t></w:r></w:p></w:tc><w:tc><w:tcPr><w:tcW w:type="dxa" w:w="180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20"/><w:szCs w:val="20"/></w:rPr><w:t xml:space="preserve">Legacy</w:t></w:r></w:p></w:tc><w:tc><w:tcPr><w:tcW w:type="dxa" w:w="452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pPr><w:spacing w:after="0" w:before="0"/></w:pPr><w:r><w:rPr><w:rFonts w:ascii="Arial" w:cs="Arial" w:eastAsia="Arial" w:hAnsi="Arial"/><w:color w:val="666666"/><w:sz w:val="18"/><w:szCs w:val="18"/></w:rPr><w:t xml:space="preserve">Assets consumed by taxes, market losses, or LTC costs reduce what transfers to heirs. Unintentional legacy erosion is the silent risk.</w:t></w:r></w:p></w:tc><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7"/><w:szCs w:val="17"/></w:rPr><w:t xml:space="preserve">☐ Death benefit in place
☐ Estate plan reviewed</w:t></w:r></w:p></w:tc></w:tr></w:tbl><w:p><w:pPr><w:spacing w:after="32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single" w:color="8B0000" w:sz="24"/><w:bottom w:val="none" w:color="FFFFFF" w:sz="0"/><w:right w:val="none" w:color="FFFFFF" w:sz="0"/></w:tcBorders><w:shd w:fill="FCF0F0" w:val="clear"/><w:tcMar><w:top w:type="dxa" w:w="160"/><w:left w:type="dxa" w:w="200"/><w:bottom w:type="dxa" w:w="160"/><w:right w:type="dxa" w:w="200"/></w:tcMar></w:tcPr><w:p><w:pPr><w:spacing w:after="80" w:before="0"/></w:pPr><w:r><w:rPr><w:rFonts w:ascii="Arial" w:cs="Arial" w:eastAsia="Arial" w:hAnsi="Arial"/><w:b/><w:bCs/><w:color w:val="B00000"/><w:sz w:val="20"/><w:szCs w:val="20"/></w:rPr><w:t xml:space="preserve">Discussion Prompt — The Self-Insurance Check</w:t></w:r></w:p><w:p><w:pPr><w:spacing w:after="60" w:before="0"/></w:pPr><w:r><w:rPr><w:rFonts w:ascii="Arial" w:cs="Arial" w:eastAsia="Arial" w:hAnsi="Arial"/><w:color w:val="666666"/><w:sz w:val="19"/><w:szCs w:val="19"/></w:rPr><w:t xml:space="preserve">Ask yourself: for each unchecked risk above, what is your current plan if that event happens tomorrow?</w:t></w:r></w:p><w:p><w:pPr><w:spacing w:after="60" w:before="0"/></w:pPr><w:r><w:rPr><w:rFonts w:ascii="Arial" w:cs="Arial" w:eastAsia="Arial" w:hAnsi="Arial"/><w:color w:val="666666"/><w:sz w:val="19"/><w:szCs w:val="19"/></w:rPr><w:t xml:space="preserve">Most “self-insured” strategies work perfectly when you are healthy, cognitively intact, and financially liquid. They fail at exactly the moment they are needed most.</w:t></w:r></w:p><w:p><w:pPr><w:spacing w:after="60" w:before="0"/></w:pPr><w:r><w:rPr><w:rFonts w:ascii="Arial" w:cs="Arial" w:eastAsia="Arial" w:hAnsi="Arial"/><w:color w:val="666666"/><w:sz w:val="19"/><w:szCs w:val="19"/></w:rPr><w:t xml:space="preserve">The goal of this framework is not to eliminate risk — it is to ensure that when a risk materializes, it does not cascade into the others.</w:t></w:r></w:p></w:tc></w:tr></w:tbl><w:p><w:r><w:br w:type="page"/></w:r></w:p><w:p><w:pPr><w:pBdr><w:bottom w:val="single" w:color="8B0000" w:sz="8" w:space="1"/></w:pBdr><w:spacing w:after="60" w:before="360"/></w:pPr><w:r><w:rPr><w:rFonts w:ascii="Arial" w:cs="Arial" w:eastAsia="Arial" w:hAnsi="Arial"/><w:b/><w:bCs/><w:color w:val="8B0000"/><w:sz w:val="17"/><w:szCs w:val="17"/></w:rPr><w:t xml:space="preserve">SECTION 2 — THE THREE TAX-FREE TOOLS</w:t></w:r></w:p><w:p><w:pPr><w:spacing w:after="80" w:before="0"/></w:pPr><w:r><w:t xml:space="preserve"></w:t></w:r></w:p><w:p><w:pPr><w:spacing w:after="80" w:before="0"/></w:pPr><w:r><w:rPr><w:rFonts w:ascii="Arial" w:cs="Arial" w:eastAsia="Arial" w:hAnsi="Arial"/><w:color w:val="444444"/><w:sz w:val="20"/><w:szCs w:val="20"/></w:rPr><w:t xml:space="preserve">Most Americans have the majority of their wealth in one bucket: tax-deferred (401k, IRA). David McKnight’s “Power of Zero” framework argues that the goal of retirement planning is to move as much as possible into the tax-free bucket — before RMDs force taxable distributions at potentially higher future rates. The three tools below create a coordinated tax-free income system.</w:t></w:r></w:p><w:p><w:pPr><w:spacing w:after="20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800"/><w:gridCol w:w="2070"/><w:gridCol w:w="2070"/><w:gridCol w:w="2070"/><w:gridCol w:w="2070"/></w:tblGrid><w:tr><w:trPr><w:tblHeader/></w:trPr><0/></w:tr><w:tr><w:tc><w:tcPr><w:tcW w:type="dxa" w:w="1872"/><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w:bCs/><w:color w:val="1A6B3A"/><w:sz w:val="18"/><w:szCs w:val="18"/></w:rPr><w:t xml:space="preserve">ROTH IRA / Conversion</w:t></w:r></w:p></w:tc><w:tc><w:tcPr><w:tcW w:type="dxa" w:w="1872"/><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 w:val="false"/><w:bCs w:val="false"/><w:color w:val="666666"/><w:sz w:val="18"/><w:szCs w:val="18"/></w:rPr><w:t xml:space="preserve">Contributions after-tax. Growth and withdrawals 100% tax-free.</w:t></w:r></w:p></w:tc><w:tc><w:tcPr><w:tcW w:type="dxa" w:w="1872"/><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 w:val="false"/><w:bCs w:val="false"/><w:color w:val="666666"/><w:sz w:val="18"/><w:szCs w:val="18"/></w:rPr><w:t xml:space="preserve">Market-linked. Invest in growth assets.</w:t></w:r></w:p></w:tc><w:tc><w:tcPr><w:tcW w:type="dxa" w:w="1872"/><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 w:val="false"/><w:bCs w:val="false"/><w:color w:val="666666"/><w:sz w:val="18"/><w:szCs w:val="18"/></w:rPr><w:t xml:space="preserve">No — but supplements tax-free income.</w:t></w:r></w:p></w:tc><w:tc><w:tcPr><w:tcW w:type="dxa" w:w="1872"/><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 w:val="false"/><w:bCs w:val="false"/><w:color w:val="666666"/><w:sz w:val="18"/><w:szCs w:val="18"/></w:rPr><w:t xml:space="preserve">No RMDs. Passes tax-free to heirs.</w:t></w:r></w:p></w:tc></w:tr><w:tr><w:tc><w:tcPr><w:tcW w:type="dxa" w:w="1872"/><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8"/><w:szCs w:val="18"/></w:rPr><w:t xml:space="preserve">LIRP (Life Ins. Retirement Plan)</w:t></w:r></w:p></w:tc><w:tc><w:tcPr><w:tcW w:type="dxa" w:w="1872"/><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 w:val="false"/><w:bCs w:val="false"/><w:color w:val="666666"/><w:sz w:val="18"/><w:szCs w:val="18"/></w:rPr><w:t xml:space="preserve">Premiums after-tax. Cash value grows tax-free. Loans tax-free.</w:t></w:r></w:p></w:tc><w:tc><w:tcPr><w:tcW w:type="dxa" w:w="1872"/><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 w:val="false"/><w:bCs w:val="false"/><w:color w:val="666666"/><w:sz w:val="18"/><w:szCs w:val="18"/></w:rPr><w:t xml:space="preserve">Non-correlated. Grows regardless of market.</w:t></w:r></w:p></w:tc><w:tc><w:tcPr><w:tcW w:type="dxa" w:w="1872"/><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 w:val="false"/><w:bCs w:val="false"/><w:color w:val="666666"/><w:sz w:val="18"/><w:szCs w:val="18"/></w:rPr><w:t xml:space="preserve">Yes — via FCB/accelerated benefit rider.</w:t></w:r></w:p></w:tc><w:tc><w:tcPr><w:tcW w:type="dxa" w:w="1872"/><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 w:val="false"/><w:bCs w:val="false"/><w:color w:val="666666"/><w:sz w:val="18"/><w:szCs w:val="18"/></w:rPr><w:t xml:space="preserve">Tax-free death benefit 2–3x premiums.</w:t></w:r></w:p></w:tc></w:tr><w:tr><w:tc><w:tcPr><w:tcW w:type="dxa" w:w="1872"/><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18"/><w:szCs w:val="18"/></w:rPr><w:t xml:space="preserve">HECM LOC (Reverse Mortgage)</w:t></w:r></w:p></w:tc><w:tc><w:tcPr><w:tcW w:type="dxa" w:w="1872"/><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 w:val="false"/><w:bCs w:val="false"/><w:color w:val="666666"/><w:sz w:val="18"/><w:szCs w:val="18"/></w:rPr><w:t xml:space="preserve">Draws are not income. Not taxable. Not reported on tax return.</w:t></w:r></w:p></w:tc><w:tc><w:tcPr><w:tcW w:type="dxa" w:w="1872"/><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 w:val="false"/><w:bCs w:val="false"/><w:color w:val="666666"/><w:sz w:val="18"/><w:szCs w:val="18"/></w:rPr><w:t xml:space="preserve">Unused LOC grows at ~4–7%/yr compounding.</w:t></w:r></w:p></w:tc><w:tc><w:tcPr><w:tcW w:type="dxa" w:w="1872"/><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 w:val="false"/><w:bCs w:val="false"/><w:color w:val="666666"/><w:sz w:val="18"/><w:szCs w:val="18"/></w:rPr><w:t xml:space="preserve">Yes — draws fund care costs directly.</w:t></w:r></w:p></w:tc><w:tc><w:tcPr><w:tcW w:type="dxa" w:w="1872"/><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 w:val="false"/><w:bCs w:val="false"/><w:color w:val="666666"/><w:sz w:val="18"/><w:szCs w:val="18"/></w:rPr><w:t xml:space="preserve">Non-recourse. Remaining equity to heirs.</w:t></w:r></w:p></w:tc></w:tr></w:tbl><w:p><w:pPr><w:spacing w:after="32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single" w:color="B090D0" w:sz="24"/><w:bottom w:val="none" w:color="FFFFFF" w:sz="0"/><w:right w:val="none" w:color="FFFFFF" w:sz="0"/></w:tcBorders><w:shd w:fill="F5F0FC" w:val="clear"/><w:tcMar><w:top w:type="dxa" w:w="160"/><w:left w:type="dxa" w:w="200"/><w:bottom w:type="dxa" w:w="160"/><w:right w:type="dxa" w:w="200"/></w:tcMar></w:tcPr><w:p><w:pPr><w:spacing w:after="80" w:before="0"/></w:pPr><w:r><w:rPr><w:rFonts w:ascii="Arial" w:cs="Arial" w:eastAsia="Arial" w:hAnsi="Arial"/><w:b/><w:bCs/><w:color w:val="4A1A7A"/><w:sz w:val="20"/><w:szCs w:val="20"/></w:rPr><w:t xml:space="preserve">Why Three Tools — Not One or Two</w:t></w:r></w:p><w:p><w:pPr><w:spacing w:after="60" w:before="0"/></w:pPr><w:r><w:rPr><w:rFonts w:ascii="Arial" w:cs="Arial" w:eastAsia="Arial" w:hAnsi="Arial"/><w:color w:val="666666"/><w:sz w:val="19"/><w:szCs w:val="19"/></w:rPr><w:t xml:space="preserve">Roth alone is limited by contribution limits and conversion capacity. It does not address LTC.</w:t></w:r></w:p><w:p><w:pPr><w:spacing w:after="60" w:before="0"/></w:pPr><w:r><w:rPr><w:rFonts w:ascii="Arial" w:cs="Arial" w:eastAsia="Arial" w:hAnsi="Arial"/><w:color w:val="666666"/><w:sz w:val="19"/><w:szCs w:val="19"/></w:rPr><w:t xml:space="preserve">Life insurance alone requires ongoing premiums and does not eliminate home equity exposure.</w:t></w:r></w:p><w:p><w:pPr><w:spacing w:after="60" w:before="0"/></w:pPr><w:r><w:rPr><w:rFonts w:ascii="Arial" w:cs="Arial" w:eastAsia="Arial" w:hAnsi="Arial"/><w:color w:val="666666"/><w:sz w:val="19"/><w:szCs w:val="19"/></w:rPr><w:t xml:space="preserve">HECM alone gives you liquidity but no income multiplier and no non-correlated growth.</w:t></w:r></w:p><w:p><w:pPr><w:spacing w:after="60" w:before="0"/></w:pPr><w:r><w:rPr><w:rFonts w:ascii="Arial" w:cs="Arial" w:eastAsia="Arial" w:hAnsi="Arial"/><w:color w:val="666666"/><w:sz w:val="19"/><w:szCs w:val="19"/></w:rPr><w:t xml:space="preserve">Together: the HECM funds the LIRP premiums and Roth conversion taxes. The LIRP provides tax-free income and LTC access. The Roth eliminates RMD exposure. Each tool does one job and funds the next. This is the coordinated retirement income strategy described by Wade Pfau (2016) and refined by McKnight and Accola.</w:t></w:r></w:p></w:tc></w:tr></w:tbl><w:p><w:pPr><w:spacing w:after="320" w:before="0"/></w:pPr><w:r><w:t xml:space="preserve"></w:t></w:r></w:p><w:p><w:pPr><w:pStyle w:val="Heading3"/><w:spacing w:after="100" w:before="320"/></w:pPr><w:r><w:rPr><w:rFonts w:ascii="Arial" w:cs="Arial" w:eastAsia="Arial" w:hAnsi="Arial"/></w:rPr><w:t xml:space="preserve">HECM LOC Compounding Growth (Example: $500K Home)</w:t></w:r></w:p><w:p><w:pPr><w:spacing w:after="80" w:before="0"/></w:pPr><w:r><w:rPr><w:rFonts w:ascii="Arial" w:cs="Arial" w:eastAsia="Arial" w:hAnsi="Arial"/><w:color w:val="444444"/><w:sz w:val="20"/><w:szCs w:val="20"/></w:rPr><w:t xml:space="preserve">Per Harlan Accola and Wade Pfau’s research: open the LOC early and let it grow. A line of credit opened at 62–65 and left untouched outperforms waiting, because the available credit compounds at the same rate as the loan interest — guaranteed, regardless of home value.</w:t></w:r></w:p><w:p><w:pPr><w:spacing w:after="12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000"/><w:gridCol w:w="2080"/><w:gridCol w:w="2000"/><w:gridCol w:w="2000"/><w:gridCol w:w="2000"/></w:tblGrid><w:tr><w:trPr><w:tblHeader/></w:trPr><w:tc><w:tcPr><w:tcW w:type="dxa" w:w="20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Year</w:t></w:r></w:p></w:tc><w:tc><w:tcPr><w:tcW w:type="dxa" w:w="208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LOC Available</w:t></w:r></w:p></w:tc><w:tc><w:tcPr><w:tcW w:type="dxa" w:w="20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vs HELOC (static)</w:t></w:r></w:p></w:tc><w:tc><w:tcPr><w:tcW w:type="dxa" w:w="20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Growth Rate</w:t></w:r></w:p></w:tc><w:tc><w:tcPr><w:tcW w:type="dxa" w:w="20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Status</w:t></w:r></w:p></w:tc></w:tr><w:tr><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Year 1</w:t></w:r></w:p></w:tc><w:tc><w:tcPr><w:tcW w:type="dxa" w:w="20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22"/><w:szCs w:val="22"/></w:rPr><w:t xml:space="preserve">$81,530</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$200,000</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~7%</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6"/><w:szCs w:val="16"/></w:rPr><w:t xml:space="preserve">LOC established, unused</w:t></w:r></w:p></w:tc></w:tr><w:tr><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Year 5</w:t></w:r></w:p></w:tc><w:tc><w:tcPr><w:tcW w:type="dxa" w:w="20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22"/><w:szCs w:val="22"/></w:rPr><w:t xml:space="preserve">$218,626</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$200,000</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~7%</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6"/><w:szCs w:val="16"/></w:rPr><w:t xml:space="preserve">Cannot be frozen or reduced</w:t></w:r></w:p></w:tc></w:tr><w:tr><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Year 10</w:t></w:r></w:p></w:tc><w:tc><w:tcPr><w:tcW w:type="dxa" w:w="20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22"/><w:szCs w:val="22"/></w:rPr><w:t xml:space="preserve">$311,862</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$200,000</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~7%</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6"/><w:szCs w:val="16"/></w:rPr><w:t xml:space="preserve">No income qualification needed</w:t></w:r></w:p></w:tc></w:tr><w:tr><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Year 20</w:t></w:r></w:p></w:tc><w:tc><w:tcPr><w:tcW w:type="dxa" w:w="20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22"/><w:szCs w:val="22"/></w:rPr><w:t xml:space="preserve">$634,573</w:t></w:r></w:p></w:tc><w:tc><w:tcPr><w:tcW w:type="dxa" w:w="20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color w:val="B00000"/><w:sz w:val="18"/><w:szCs w:val="18"/></w:rPr><w:t xml:space="preserve">Closed (10yr limit)</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~7%</w:t></w:r></w:p></w:tc><w:tc><w:tcPr><w:tcW w:type="dxa" w:w="20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6"/><w:szCs w:val="16"/></w:rPr><w:t xml:space="preserve">Still fully accessible</w:t></w:r></w:p></w:tc></w:tr></w:tbl><w:p><w:r><w:br w:type="page"/></w:r></w:p><w:p><w:pPr><w:pBdr><w:bottom w:val="single" w:color="8B0000" w:sz="8" w:space="1"/></w:pBdr><w:spacing w:after="60" w:before="360"/></w:pPr><w:r><w:rPr><w:rFonts w:ascii="Arial" w:cs="Arial" w:eastAsia="Arial" w:hAnsi="Arial"/><w:b/><w:bCs/><w:color w:val="8B0000"/><w:sz w:val="17"/><w:szCs w:val="17"/></w:rPr><w:t xml:space="preserve">SECTION 3 — BEST PRACTICES: HECM + LIRP AS A COORDINATED LTC &amp; WEALTH STRATEGY</w:t></w:r></w:p><w:p><w:pPr><w:spacing w:after="80" w:before="0"/></w:pPr><w:r><w:t xml:space="preserve"></w:t></w:r></w:p><w:p><w:pPr><w:spacing w:after="80" w:before="0"/></w:pPr><w:r><w:rPr><w:rFonts w:ascii="Arial" w:cs="Arial" w:eastAsia="Arial" w:hAnsi="Arial"/><w:color w:val="444444"/><w:sz w:val="20"/><w:szCs w:val="20"/></w:rPr><w:t xml:space="preserve">The combination of a HECM Line of Credit and a MEC-optimized Universal Life policy with an FCB (Flexible Care Benefit) rider is one of the most underutilized coordinated strategies in retirement planning. Here’s why it works, and how each component supports the others.</w:t></w:r></w:p><w:p><w:pPr><w:spacing w:after="200" w:before="0"/></w:pPr><w:r><w:t xml:space="preserve"></w:t></w:r></w:p><w:p><w:pPr><w:pStyle w:val="Heading3"/><w:spacing w:after="100" w:before="320"/></w:pPr><w:r><w:rPr><w:rFonts w:ascii="Arial" w:cs="Arial" w:eastAsia="Arial" w:hAnsi="Arial"/></w:rPr><w:t xml:space="preserve">Why This Combination Works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3000"/><w:gridCol w:w="7080"/></w:tblGrid><w:tr><w:tc><w:tcPr><w:tcW w:type="dxa" w:w="3000"/><w:tcBorders><w:top w:val="single" w:color="5B8EC2" w:sz="1"/><w:left w:val="single" w:color="5B8EC2" w:sz="1"/><w:bottom w:val="single" w:color="5B8EC2" w:sz="1"/><w:right w:val="single" w:color="5B8EC2" w:sz="1"/></w:tcBorders><w:shd w:fill="EEF4FB" w:val="clear"/><w:tcMar><w:top w:type="dxa" w:w="100"/><w:left w:type="dxa" w:w="160"/><w:bottom w:type="dxa" w:w="100"/><w:right w:type="dxa" w:w="160"/></w:tcMar></w:tcPr><w:p><w:r><w:rPr><w:rFonts w:ascii="Arial" w:cs="Arial" w:eastAsia="Arial" w:hAnsi="Arial"/><w:b/><w:bCs/><w:color w:val="1A4A80"/><w:sz w:val="19"/><w:szCs w:val="19"/></w:rPr><w:t xml:space="preserve">HECM funds the LIRP premiums</w:t></w:r></w:p></w:tc><w:tc><w:tcPr><w:tcW w:type="dxa" w:w="70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Rather than drawing from taxable accounts to pay life insurance premiums, the tax-free HECM LOC funds the policy. This preserves invested assets and avoids triggering taxable income.</w:t></w:r></w:p></w:tc></w:tr><w:tr><w:tc><w:tcPr><w:tcW w:type="dxa" w:w="3000"/><w:tcBorders><w:top w:val="single" w:color="5B8EC2" w:sz="1"/><w:left w:val="single" w:color="5B8EC2" w:sz="1"/><w:bottom w:val="single" w:color="5B8EC2" w:sz="1"/><w:right w:val="single" w:color="5B8EC2" w:sz="1"/></w:tcBorders><w:shd w:fill="EEF4FB" w:val="clear"/><w:tcMar><w:top w:type="dxa" w:w="100"/><w:left w:type="dxa" w:w="160"/><w:bottom w:type="dxa" w:w="100"/><w:right w:type="dxa" w:w="160"/></w:tcMar></w:tcPr><w:p><w:r><w:rPr><w:rFonts w:ascii="Arial" w:cs="Arial" w:eastAsia="Arial" w:hAnsi="Arial"/><w:b/><w:bCs/><w:color w:val="1A4A80"/><w:sz w:val="19"/><w:szCs w:val="19"/></w:rPr><w:t xml:space="preserve">LIRP cash value is not use-it-or-lose-it</w:t></w:r></w:p></w:tc><w:tc><w:tcPr><w:tcW w:type="dxa" w:w="70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Unlike traditional LTC insurance, every premium dollar builds cash value that belongs to the client. If no LTC event occurs, the full cash value + death benefit transfers to heirs or is accessed via policy loans at any time.</w:t></w:r></w:p></w:tc></w:tr><w:tr><w:tc><w:tcPr><w:tcW w:type="dxa" w:w="3000"/><w:tcBorders><w:top w:val="single" w:color="5B8EC2" w:sz="1"/><w:left w:val="single" w:color="5B8EC2" w:sz="1"/><w:bottom w:val="single" w:color="5B8EC2" w:sz="1"/><w:right w:val="single" w:color="5B8EC2" w:sz="1"/></w:tcBorders><w:shd w:fill="EEF4FB" w:val="clear"/><w:tcMar><w:top w:type="dxa" w:w="100"/><w:left w:type="dxa" w:w="160"/><w:bottom w:type="dxa" w:w="100"/><w:right w:type="dxa" w:w="160"/></w:tcMar></w:tcPr><w:p><w:r><w:rPr><w:rFonts w:ascii="Arial" w:cs="Arial" w:eastAsia="Arial" w:hAnsi="Arial"/><w:b/><w:bCs/><w:color w:val="1A4A80"/><w:sz w:val="19"/><w:szCs w:val="19"/></w:rPr><w:t xml:space="preserve">FCB rider = LTC without dedicated LTC insurance</w:t></w:r></w:p></w:tc><w:tc><w:tcPr><w:tcW w:type="dxa" w:w="70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The Flexible Care Benefit (or accelerated death benefit) rider converts the death benefit into a living benefit for qualifying care events. The client gets LTC protection without a separate LTC premium, and without a use-it-or-lose-it structure.</w:t></w:r></w:p></w:tc></w:tr><w:tr><w:tc><w:tcPr><w:tcW w:type="dxa" w:w="3000"/><w:tcBorders><w:top w:val="single" w:color="5B8EC2" w:sz="1"/><w:left w:val="single" w:color="5B8EC2" w:sz="1"/><w:bottom w:val="single" w:color="5B8EC2" w:sz="1"/><w:right w:val="single" w:color="5B8EC2" w:sz="1"/></w:tcBorders><w:shd w:fill="EEF4FB" w:val="clear"/><w:tcMar><w:top w:type="dxa" w:w="100"/><w:left w:type="dxa" w:w="160"/><w:bottom w:type="dxa" w:w="100"/><w:right w:type="dxa" w:w="160"/></w:tcMar></w:tcPr><w:p><w:r><w:rPr><w:rFonts w:ascii="Arial" w:cs="Arial" w:eastAsia="Arial" w:hAnsi="Arial"/><w:b/><w:bCs/><w:color w:val="1A4A80"/><w:sz w:val="19"/><w:szCs w:val="19"/></w:rPr><w:t xml:space="preserve">MEC optimization = maximum cash value, minimum insurance</w:t></w:r></w:p></w:tc><w:tc><w:tcPr><w:tcW w:type="dxa" w:w="70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The policy is funded to just below the Modified Endowment Contract (MEC) limit — the maximum premium allowed while keeping policy loan distributions tax-free. This maximizes accessible cash value from day one while maintaining the FCB rider eligibility.</w:t></w:r></w:p></w:tc></w:tr><w:tr><w:tc><w:tcPr><w:tcW w:type="dxa" w:w="3000"/><w:tcBorders><w:top w:val="single" w:color="5B8EC2" w:sz="1"/><w:left w:val="single" w:color="5B8EC2" w:sz="1"/><w:bottom w:val="single" w:color="5B8EC2" w:sz="1"/><w:right w:val="single" w:color="5B8EC2" w:sz="1"/></w:tcBorders><w:shd w:fill="EEF4FB" w:val="clear"/><w:tcMar><w:top w:type="dxa" w:w="100"/><w:left w:type="dxa" w:w="160"/><w:bottom w:type="dxa" w:w="100"/><w:right w:type="dxa" w:w="160"/></w:tcMar></w:tcPr><w:p><w:r><w:rPr><w:rFonts w:ascii="Arial" w:cs="Arial" w:eastAsia="Arial" w:hAnsi="Arial"/><w:b/><w:bCs/><w:color w:val="1A4A80"/><w:sz w:val="19"/><w:szCs w:val="19"/></w:rPr><w:t xml:space="preserve">HECM as the bridge during market downturns (the Volatility Shield)</w:t></w:r></w:p></w:tc><w:tc><w:tcPr><w:tcW w:type="dxa" w:w="70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When the market is down 20–40%, drawing from the LIRP or HECM instead of the portfolio allows the portfolio to recover at full allocation. This directly addresses sequence-of-returns risk — the #1 threat to early retirement income.</w:t></w:r></w:p></w:tc></w:tr><w:tr><w:tc><w:tcPr><w:tcW w:type="dxa" w:w="3000"/><w:tcBorders><w:top w:val="single" w:color="5B8EC2" w:sz="1"/><w:left w:val="single" w:color="5B8EC2" w:sz="1"/><w:bottom w:val="single" w:color="5B8EC2" w:sz="1"/><w:right w:val="single" w:color="5B8EC2" w:sz="1"/></w:tcBorders><w:shd w:fill="EEF4FB" w:val="clear"/><w:tcMar><w:top w:type="dxa" w:w="100"/><w:left w:type="dxa" w:w="160"/><w:bottom w:type="dxa" w:w="100"/><w:right w:type="dxa" w:w="160"/></w:tcMar></w:tcPr><w:p><w:r><w:rPr><w:rFonts w:ascii="Arial" w:cs="Arial" w:eastAsia="Arial" w:hAnsi="Arial"/><w:b/><w:bCs/><w:color w:val="1A4A80"/><w:sz w:val="19"/><w:szCs w:val="19"/></w:rPr><w:t xml:space="preserve">HECM paydown strategy</w:t></w:r></w:p></w:tc><w:tc><w:tcPr><w:tcW w:type="dxa" w:w="70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Drawing 401k funds to pay down HECM balance rebuilds the LOC dollar-for-dollar. This effectively converts taxable 401k distributions into tax-free accessible credit — a technique Accola calls “recapturing equity” and Pfau validates as increasing overall retirement efficiency.</w:t></w:r></w:p></w:tc></w:tr></w:tbl><w:p><w:pPr><w:spacing w:after="320" w:before="0"/></w:pPr><w:r><w:t xml:space="preserve"></w:t></w:r></w:p><w:p><w:pPr><w:pStyle w:val="Heading3"/><w:spacing w:after="100" w:before="320"/></w:pPr><w:r><w:rPr><w:rFonts w:ascii="Arial" w:cs="Arial" w:eastAsia="Arial" w:hAnsi="Arial"/></w:rPr><w:t xml:space="preserve">The Cost of Insurance (COI) Reality Check</w:t></w:r></w:p><w:p><w:pPr><w:spacing w:after="80" w:before="0"/></w:pPr><w:r><w:rPr><w:rFonts w:ascii="Arial" w:cs="Arial" w:eastAsia="Arial" w:hAnsi="Arial"/><w:color w:val="444444"/><w:sz w:val="20"/><w:szCs w:val="20"/></w:rPr><w:t xml:space="preserve">A common objection is that life insurance is “expensive.” The correct framing — from Nash’s Infinite Banking Concept — is to measure the true cost of insurance as the net drag on your capital, not the gross premium.</w:t></w:r></w:p><w:p><w:pPr><w:spacing w:after="16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single" w:color="D4BC70" w:sz="24"/><w:bottom w:val="none" w:color="FFFFFF" w:sz="0"/><w:right w:val="none" w:color="FFFFFF" w:sz="0"/></w:tcBorders><w:shd w:fill="FEFAEE" w:val="clear"/><w:tcMar><w:top w:type="dxa" w:w="160"/><w:left w:type="dxa" w:w="200"/><w:bottom w:type="dxa" w:w="160"/><w:right w:type="dxa" w:w="200"/></w:tcMar></w:tcPr><w:p><w:pPr><w:spacing w:after="80" w:before="0"/></w:pPr><w:r><w:rPr><w:rFonts w:ascii="Arial" w:cs="Arial" w:eastAsia="Arial" w:hAnsi="Arial"/><w:b/><w:bCs/><w:color w:val="7A5500"/><w:sz w:val="20"/><w:szCs w:val="20"/></w:rPr><w:t xml:space="preserve">How to Calculate True COI</w:t></w:r></w:p><w:p><w:pPr><w:spacing w:after="60" w:before="0"/></w:pPr><w:r><w:rPr><w:rFonts w:ascii="Arial" w:cs="Arial" w:eastAsia="Arial" w:hAnsi="Arial"/><w:color w:val="666666"/><w:sz w:val="19"/><w:szCs w:val="19"/></w:rPr><w:t xml:space="preserve">Formula: Premium Paid (PP) − Cash Value Accumulated (CV) = True Cost of Insurance (COI)</w:t></w:r></w:p><w:p><w:pPr><w:spacing w:after="60" w:before="0"/></w:pPr><w:r><w:rPr><w:rFonts w:ascii="Arial" w:cs="Arial" w:eastAsia="Arial" w:hAnsi="Arial"/><w:color w:val="666666"/><w:sz w:val="19"/><w:szCs w:val="19"/></w:rPr><w:t xml:space="preserve">Example (Year 1): $22,200 premium − $14,897 cash value = $8,931 true cost</w:t></w:r></w:p><w:p><w:pPr><w:spacing w:after="60" w:before="0"/></w:pPr><w:r><w:rPr><w:rFonts w:ascii="Arial" w:cs="Arial" w:eastAsia="Arial" w:hAnsi="Arial"/><w:color w:val="666666"/><w:sz w:val="19"/><w:szCs w:val="19"/></w:rPr><w:t xml:space="preserve">In Year 1, $14,897 of your $22,200 premium is still YOUR money in the policy. The actual insurance cost is $8,931 — which is covering a death benefit, an FCB/LTC rider, and building a non-correlated tax-free asset.</w:t></w:r></w:p><w:p><w:pPr><w:spacing w:after="60" w:before="0"/></w:pPr><w:r><w:rPr><w:rFonts w:ascii="Arial" w:cs="Arial" w:eastAsia="Arial" w:hAnsi="Arial"/><w:color w:val="666666"/><w:sz w:val="19"/><w:szCs w:val="19"/></w:rPr><w:t xml:space="preserve">By Year 10+, the cash value typically exceeds cumulative premiums paid. The insurance becomes “free” from a net cost perspective while the LTC protection and death benefit remain in force.</w:t></w:r></w:p><w:p><w:pPr><w:spacing w:after="60" w:before="0"/></w:pPr><w:r><w:rPr><w:rFonts w:ascii="Arial" w:cs="Arial" w:eastAsia="Arial" w:hAnsi="Arial"/><w:color w:val="666666"/><w:sz w:val="19"/><w:szCs w:val="19"/></w:rPr><w:t xml:space="preserve">Compare: $120,000 in premiums over 10 years vs. $120,000 in a brokerage account. The brokerage account is taxable, exposed to market volatility, and provides no LTC coverage. The policy is tax-free, non-correlated, and includes LTC access.</w:t></w:r></w:p></w:tc></w:tr></w:tbl><w:p><w:pPr><w:spacing w:after="320" w:before="0"/></w:pPr><w:r><w:t xml:space="preserve"></w:t></w:r></w:p><w:p><w:pPr><w:pStyle w:val="Heading3"/><w:spacing w:after="100" w:before="320"/></w:pPr><w:r><w:rPr><w:rFonts w:ascii="Arial" w:cs="Arial" w:eastAsia="Arial" w:hAnsi="Arial"/></w:rPr><w:t xml:space="preserve">Infinite Banking Concept (Nash) — Applied to Retirement</w:t></w:r></w:p><w:p><w:pPr><w:spacing w:after="80" w:before="0"/></w:pPr><w:r><w:rPr><w:rFonts w:ascii="Arial" w:cs="Arial" w:eastAsia="Arial" w:hAnsi="Arial"/><w:color w:val="444444"/><w:sz w:val="20"/><w:szCs w:val="20"/></w:rPr><w:t xml:space="preserve">Nelson Nash’s core insight: every dollar you pay in interest to a third-party lender (bank, auto, mortgage) is a dollar that leaves your financial system forever. The solution is to become your own banker by using a dividend-paying permanent life policy as your “personal bank.”</w:t></w:r></w:p><w:p><w:pPr><w:spacing w:after="12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200"/><w:gridCol w:w="2200"/><w:gridCol w:w="2200"/><w:gridCol w:w="3480"/></w:tblGrid><w:tr><w:trPr><w:tblHeader/></w:trPr><w:tc><w:tcPr><w:tcW w:type="dxa" w:w="22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Concept</w:t></w:r></w:p></w:tc><w:tc><w:tcPr><w:tcW w:type="dxa" w:w="22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Traditional Bank</w:t></w:r></w:p></w:tc><w:tc><w:tcPr><w:tcW w:type="dxa" w:w="22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Your LIRP as Bank</w:t></w:r></w:p></w:tc><w:tc><w:tcPr><w:tcW w:type="dxa" w:w="348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Retirement Application</w:t></w:r></w:p></w:tc></w:tr><w:tr><w:tc><w:tcPr><w:tcW w:type="dxa" w:w="2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Interest paid</w:t></w:r></w:p></w:tc><w:tc><w:tcPr><w:tcW w:type="dxa" w:w="22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color w:val="666666"/><w:sz w:val="18"/><w:szCs w:val="18"/></w:rPr><w:t xml:space="preserve">Paid to bank — leaves your system</w:t></w:r></w:p></w:tc><w:tc><w:tcPr><w:tcW w:type="dxa" w:w="22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color w:val="1A6B3A"/><w:sz w:val="18"/><w:szCs w:val="18"/></w:rPr><w:t xml:space="preserve">Paid back to yourself — stays in policy</w:t></w:r></w:p></w:tc><w:tc><w:tcPr><w:tcW w:type="dxa" w:w="34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Every loan repayment rebuilds cash value for future use</w:t></w:r></w:p></w:tc></w:tr><w:tr><w:tc><w:tcPr><w:tcW w:type="dxa" w:w="2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Access to funds</w:t></w:r></w:p></w:tc><w:tc><w:tcPr><w:tcW w:type="dxa" w:w="22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color w:val="666666"/><w:sz w:val="18"/><w:szCs w:val="18"/></w:rPr><w:t xml:space="preserve">Requires qualification, approval</w:t></w:r></w:p></w:tc><w:tc><w:tcPr><w:tcW w:type="dxa" w:w="22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color w:val="1A6B3A"/><w:sz w:val="18"/><w:szCs w:val="18"/></w:rPr><w:t xml:space="preserve">Available on demand, no approval</w:t></w:r></w:p></w:tc><w:tc><w:tcPr><w:tcW w:type="dxa" w:w="34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No income needed to access in retirement or disability</w:t></w:r></w:p></w:tc></w:tr><w:tr><w:tc><w:tcPr><w:tcW w:type="dxa" w:w="2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Growth while borrowed</w:t></w:r></w:p></w:tc><w:tc><w:tcPr><w:tcW w:type="dxa" w:w="22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color w:val="666666"/><w:sz w:val="18"/><w:szCs w:val="18"/></w:rPr><w:t xml:space="preserve">Savings stops earning</w:t></w:r></w:p></w:tc><w:tc><w:tcPr><w:tcW w:type="dxa" w:w="22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color w:val="1A6B3A"/><w:sz w:val="18"/><w:szCs w:val="18"/></w:rPr><w:t xml:space="preserve">Policy still earns on full face amount</w:t></w:r></w:p></w:tc><w:tc><w:tcPr><w:tcW w:type="dxa" w:w="34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Uninterrupted compound growth during loan period</w:t></w:r></w:p></w:tc></w:tr><w:tr><w:tc><w:tcPr><w:tcW w:type="dxa" w:w="2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Tax on access</w:t></w:r></w:p></w:tc><w:tc><w:tcPr><w:tcW w:type="dxa" w:w="22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color w:val="666666"/><w:sz w:val="18"/><w:szCs w:val="18"/></w:rPr><w:t xml:space="preserve">Interest is not deductible for personal use</w:t></w:r></w:p></w:tc><w:tc><w:tcPr><w:tcW w:type="dxa" w:w="22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color w:val="1A6B3A"/><w:sz w:val="18"/><w:szCs w:val="18"/></w:rPr><w:t xml:space="preserve">Policy loans are not taxable income</w:t></w:r></w:p></w:tc><w:tc><w:tcPr><w:tcW w:type="dxa" w:w="34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Supplement 401k draws with zero tax impact</w:t></w:r></w:p></w:tc></w:tr></w:tbl><w:p><w:r><w:br w:type="page"/></w:r></w:p><w:p><w:pPr><w:pBdr><w:bottom w:val="single" w:color="8B0000" w:sz="8" w:space="1"/></w:pBdr><w:spacing w:after="60" w:before="360"/></w:pPr><w:r><w:rPr><w:rFonts w:ascii="Arial" w:cs="Arial" w:eastAsia="Arial" w:hAnsi="Arial"/><w:b/><w:bCs/><w:color w:val="8B0000"/><w:sz w:val="17"/><w:szCs w:val="17"/></w:rPr><w:t xml:space="preserve">SECTION 4 — YOUR 6-STEP SOLUTION PATHWAY</w:t></w:r></w:p><w:p><w:pPr><w:spacing w:after="80" w:before="0"/></w:pPr><w:r><w:t xml:space="preserve"></w:t></w:r></w:p><w:p><w:pPr><w:spacing w:after="80" w:before="0"/></w:pPr><w:r><w:rPr><w:rFonts w:ascii="Arial" w:cs="Arial" w:eastAsia="Arial" w:hAnsi="Arial"/><w:color w:val="444444"/><w:sz w:val="20"/><w:szCs w:val="20"/></w:rPr><w:t xml:space="preserve">These six steps are not a sales sequence — they are a logical progression from assessment to protection to optimization. Multiple steps can run concurrently. Each step has a specific risk it addresses and a specific tool it uses.</w:t></w:r></w:p><w:p><w:pPr><w:spacing w:after="20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520"/><w:gridCol w:w="1600"/><w:gridCol w:w="1400"/><w:gridCol w:w="4560"/><w:gridCol w:w="2000"/></w:tblGrid><w:tr><w:trPr><w:tblHeader/></w:trPr><w:tc><w:tcPr><w:tcW w:type="dxa" w:w="52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w:t></w:r></w:p></w:tc><w:tc><w:tcPr><w:tcW w:type="dxa" w:w="16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Phase</w:t></w:r></w:p></w:tc><w:tc><w:tcPr><w:tcW w:type="dxa" w:w="14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Timeline</w:t></w:r></w:p></w:tc><w:tc><w:tcPr><w:tcW w:type="dxa" w:w="456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What Happens</w:t></w:r></w:p></w:tc><w:tc><w:tcPr><w:tcW w:type="dxa" w:w="20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Risks Addressed</w:t></w:r></w:p></w:tc></w:tr><w:tr><w:tc><w:tcPr><w:tcW w:type="dxa" w:w="520"/><w:tcBorders><w:top w:val="single" w:color="8B0000" w:sz="1"/><w:left w:val="single" w:color="8B0000" w:sz="1"/><w:bottom w:val="single" w:color="8B0000" w:sz="1"/><w:right w:val="single" w:color="8B0000" w:sz="1"/></w:tcBorders><w:shd w:fill="8B0000"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1</w:t></w:r></w:p></w:tc><w:tc><w:tcPr><w:tcW w:type="dxa" w:w="16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b/><w:bCs/><w:color w:val="8B0000"/><w:sz w:val="20"/><w:szCs w:val="20"/></w:rPr><w:t xml:space="preserve">Assess</w:t></w:r></w:p></w:tc><w:tc><w:tcPr><w:tcW w:type="dxa" w:w="1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8"/><w:szCs w:val="18"/></w:rPr><w:t xml:space="preserve">1–3 mo.</w:t></w:r></w:p></w:tc><w:tc><w:tcPr><w:tcW w:type="dxa" w:w="4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List all assets, income, debts. Project RMDs and tax brackets. Assess health and home equity. Set planning target to age 95+.</w:t></w:r></w:p></w:tc><w:tc><w:tcPr><w:tcW w:type="dxa" w:w="200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i/><w:iCs/><w:color w:val="8B0000"/><w:sz w:val="16"/><w:szCs w:val="16"/></w:rPr><w:t xml:space="preserve">All 6 — identifies gaps</w:t></w:r></w:p></w:tc></w:tr><w:tr><w:tc><w:tcPr><w:tcW w:type="dxa" w:w="520"/><w:tcBorders><w:top w:val="single" w:color="1A5A6A" w:sz="1"/><w:left w:val="single" w:color="1A5A6A" w:sz="1"/><w:bottom w:val="single" w:color="1A5A6A" w:sz="1"/><w:right w:val="single" w:color="1A5A6A" w:sz="1"/></w:tcBorders><w:shd w:fill="1A5A6A"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2</w:t></w:r></w:p></w:tc><w:tc><w:tcPr><w:tcW w:type="dxa" w:w="160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20"/><w:szCs w:val="20"/></w:rPr><w:t xml:space="preserve">HECM LOC</w:t></w:r></w:p></w:tc><w:tc><w:tcPr><w:tcW w:type="dxa" w:w="1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8"/><w:szCs w:val="18"/></w:rPr><w:t xml:space="preserve">3–6 mo.</w:t></w:r></w:p></w:tc><w:tc><w:tcPr><w:tcW w:type="dxa" w:w="4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Open HECM Line of Credit. Lock in early to maximize compounding growth. Use as tax-free buffer, LTC fund, and premium source.</w:t></w:r></w:p></w:tc><w:tc><w:tcPr><w:tcW w:type="dxa" w:w="200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i/><w:iCs/><w:color w:val="1A5A6A"/><w:sz w:val="16"/><w:szCs w:val="16"/></w:rPr><w:t xml:space="preserve">Longevity, LTC, Tax, Volatility</w:t></w:r></w:p></w:tc></w:tr><w:tr><w:tc><w:tcPr><w:tcW w:type="dxa" w:w="520"/><w:tcBorders><w:top w:val="single" w:color="1A4A80" w:sz="1"/><w:left w:val="single" w:color="1A4A80" w:sz="1"/><w:bottom w:val="single" w:color="1A4A80" w:sz="1"/><w:right w:val="single" w:color="1A4A80" w:sz="1"/></w:tcBorders><w:shd w:fill="1A4A80"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3</w:t></w:r></w:p></w:tc><w:tc><w:tcPr><w:tcW w:type="dxa" w:w="160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20"/><w:szCs w:val="20"/></w:rPr><w:t xml:space="preserve">Roth Conversion</w:t></w:r></w:p></w:tc><w:tc><w:tcPr><w:tcW w:type="dxa" w:w="1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8"/><w:szCs w:val="18"/></w:rPr><w:t xml:space="preserve">3–5 yrs</w:t></w:r></w:p></w:tc><w:tc><w:tcPr><w:tcW w:type="dxa" w:w="4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Gradually convert IRA/401k to Roth. Use HECM draws to cover conversion taxes. Target 0% tax bracket before RMDs at 73.</w:t></w:r></w:p></w:tc><w:tc><w:tcPr><w:tcW w:type="dxa" w:w="200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i/><w:iCs/><w:color w:val="1A4A80"/><w:sz w:val="16"/><w:szCs w:val="16"/></w:rPr><w:t xml:space="preserve">Tax, Longevity, Legacy</w:t></w:r></w:p></w:tc></w:tr><w:tr><w:tc><w:tcPr><w:tcW w:type="dxa" w:w="520"/><w:tcBorders><w:top w:val="single" w:color="1A6B3A" w:sz="1"/><w:left w:val="single" w:color="1A6B3A" w:sz="1"/><w:bottom w:val="single" w:color="1A6B3A" w:sz="1"/><w:right w:val="single" w:color="1A6B3A" w:sz="1"/></w:tcBorders><w:shd w:fill="1A6B3A"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4</w:t></w:r></w:p></w:tc><w:tc><w:tcPr><w:tcW w:type="dxa" w:w="16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b/><w:bCs/><w:color w:val="1A6B3A"/><w:sz w:val="20"/><w:szCs w:val="20"/></w:rPr><w:t xml:space="preserve">Max-Fund LIRP</w:t></w:r></w:p></w:tc><w:tc><w:tcPr><w:tcW w:type="dxa" w:w="1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8"/><w:szCs w:val="18"/></w:rPr><w:t xml:space="preserve">Ongoing</w:t></w:r></w:p></w:tc><w:tc><w:tcPr><w:tcW w:type="dxa" w:w="4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Fund MEC-optimized UL policy using HECM or cash flow. Build cash value for IBC, LTC via FCB rider, and non-correlated growth.</w:t></w:r></w:p></w:tc><w:tc><w:tcPr><w:tcW w:type="dxa" w:w="2000"/><w:tcBorders><w:top w:val="single" w:color="D0D0D0" w:sz="1"/><w:left w:val="single" w:color="D0D0D0" w:sz="1"/><w:bottom w:val="single" w:color="D0D0D0" w:sz="1"/><w:right w:val="single" w:color="D0D0D0" w:sz="1"/></w:tcBorders><w:shd w:fill="F0F7F2" w:val="clear"/><w:tcMar><w:top w:type="dxa" w:w="100"/><w:left w:type="dxa" w:w="160"/><w:bottom w:type="dxa" w:w="100"/><w:right w:type="dxa" w:w="160"/></w:tcMar></w:tcPr><w:p><w:r><w:rPr><w:rFonts w:ascii="Arial" w:cs="Arial" w:eastAsia="Arial" w:hAnsi="Arial"/><w:i/><w:iCs/><w:color w:val="1A6B3A"/><w:sz w:val="16"/><w:szCs w:val="16"/></w:rPr><w:t xml:space="preserve">LTC, Volatility, Legacy</w:t></w:r></w:p></w:tc></w:tr><w:tr><w:tc><w:tcPr><w:tcW w:type="dxa" w:w="520"/><w:tcBorders><w:top w:val="single" w:color="7A5500" w:sz="1"/><w:left w:val="single" w:color="7A5500" w:sz="1"/><w:bottom w:val="single" w:color="7A5500" w:sz="1"/><w:right w:val="single" w:color="7A5500" w:sz="1"/></w:tcBorders><w:shd w:fill="7A5500"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5</w:t></w:r></w:p></w:tc><w:tc><w:tcPr><w:tcW w:type="dxa" w:w="160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7A5500"/><w:sz w:val="20"/><w:szCs w:val="20"/></w:rPr><w:t xml:space="preserve">Volatility Shield</w:t></w:r></w:p></w:tc><w:tc><w:tcPr><w:tcW w:type="dxa" w:w="1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8"/><w:szCs w:val="18"/></w:rPr><w:t xml:space="preserve">12–18 mo.</w:t></w:r></w:p></w:tc><w:tc><w:tcPr><w:tcW w:type="dxa" w:w="4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Establish buffer: LIRP cash value + possible fixed/indexed annuity. Draw buffer — not portfolio — during market downturns. Protect sequence-of-returns.</w:t></w:r></w:p></w:tc><w:tc><w:tcPr><w:tcW w:type="dxa" w:w="200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i/><w:iCs/><w:color w:val="7A5500"/><w:sz w:val="16"/><w:szCs w:val="16"/></w:rPr><w:t xml:space="preserve">Volatility, Inflation, Longevity</w:t></w:r></w:p></w:tc></w:tr><w:tr><w:tc><w:tcPr><w:tcW w:type="dxa" w:w="520"/><w:tcBorders><w:top w:val="single" w:color="4A1A7A" w:sz="1"/><w:left w:val="single" w:color="4A1A7A" w:sz="1"/><w:bottom w:val="single" w:color="4A1A7A" w:sz="1"/><w:right w:val="single" w:color="4A1A7A" w:sz="1"/></w:tcBorders><w:shd w:fill="4A1A7A" w:val="clear"/><w:tcMar><w:top w:type="dxa" w:w="100"/><w:left w:type="dxa" w:w="160"/><w:bottom w:type="dxa" w:w="100"/><w:right w:type="dxa" w:w="160"/></w:tcMar><w:vAlign w:val="center"/></w:tcPr><w:p><w:pPr><w:jc w:val="center"/></w:pPr><w:r><w:rPr><w:rFonts w:ascii="Arial" w:cs="Arial" w:eastAsia="Arial" w:hAnsi="Arial"/><w:b/><w:bCs/><w:color w:val="FFFFFF"/><w:sz w:val="22"/><w:szCs w:val="22"/></w:rPr><w:t xml:space="preserve">6</w:t></w:r></w:p></w:tc><w:tc><w:tcPr><w:tcW w:type="dxa" w:w="160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20"/><w:szCs w:val="20"/></w:rPr><w:t xml:space="preserve">LTC Plan</w:t></w:r></w:p></w:tc><w:tc><w:tcPr><w:tcW w:type="dxa" w:w="1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i/><w:iCs/><w:color w:val="666666"/><w:sz w:val="18"/><w:szCs w:val="18"/></w:rPr><w:t xml:space="preserve">2–7 yrs</w:t></w:r></w:p></w:tc><w:tc><w:tcPr><w:tcW w:type="dxa" w:w="4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Activate FCB rider when eligible. Map LTC options: in-home, assisted living, nursing home, memory care. Review Medicaid spend-down as last resort.</w:t></w:r></w:p></w:tc><w:tc><w:tcPr><w:tcW w:type="dxa" w:w="200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i/><w:iCs/><w:color w:val="4A1A7A"/><w:sz w:val="16"/><w:szCs w:val="16"/></w:rPr><w:t xml:space="preserve">LTC, Legacy, Longevity</w:t></w:r></w:p></w:tc></w:tr></w:tbl><w:p><w:pPr><w:spacing w:after="320" w:before="0"/></w:pPr><w:r><w:t xml:space="preserve"></w:t></w:r></w:p><w:p><w:pPr><w:pStyle w:val="Heading3"/><w:spacing w:after="100" w:before="320"/></w:pPr><w:r><w:rPr><w:rFonts w:ascii="Arial" w:cs="Arial" w:eastAsia="Arial" w:hAnsi="Arial"/></w:rPr><w:t xml:space="preserve">Step Status Tracker — Where Are We?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520"/><w:gridCol w:w="2000"/><w:gridCol w:w="2400"/><w:gridCol w:w="2560"/><w:gridCol w:w="2600"/></w:tblGrid><w:tr><w:trPr><w:tblHeader/></w:trPr><w:tc><w:tcPr><w:tcW w:type="dxa" w:w="52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w:t></w:r></w:p></w:tc><w:tc><w:tcPr><w:tcW w:type="dxa" w:w="20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Step</w:t></w:r></w:p></w:tc><w:tc><w:tcPr><w:tcW w:type="dxa" w:w="24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Status</w:t></w:r></w:p></w:tc><w:tc><w:tcPr><w:tcW w:type="dxa" w:w="256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Next Action</w:t></w:r></w:p></w:tc><w:tc><w:tcPr><w:tcW w:type="dxa" w:w="26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Target Date</w:t></w:r></w:p></w:tc></w:tr><w:tr><w:tc><w:tcPr><w:tcW w:type="dxa" w:w="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1</w:t></w:r></w:p></w:tc><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Assess &amp; Profile</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7"/><w:szCs w:val="17"/></w:rPr><w:t xml:space="preserve">☐ Not started   ☐ In progress   ☐ Done</w:t></w:r></w:p></w:tc><w:tc><w:tcPr><w:tcW w:type="dxa" w:w="2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_________________________________</w:t></w:r></w:p></w:tc><w:tc><w:tcPr><w:tcW w:type="dxa" w:w="26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w:t></w:r></w:p></w:tc></w:tr><w:tr><w:tc><w:tcPr><w:tcW w:type="dxa" w:w="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2</w:t></w:r></w:p></w:tc><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HECM LOC</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7"/><w:szCs w:val="17"/></w:rPr><w:t xml:space="preserve">☐ Not started   ☐ In progress   ☐ Done</w:t></w:r></w:p></w:tc><w:tc><w:tcPr><w:tcW w:type="dxa" w:w="2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_________________________________</w:t></w:r></w:p></w:tc><w:tc><w:tcPr><w:tcW w:type="dxa" w:w="26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w:t></w:r></w:p></w:tc></w:tr><w:tr><w:tc><w:tcPr><w:tcW w:type="dxa" w:w="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3</w:t></w:r></w:p></w:tc><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Roth Conversion</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7"/><w:szCs w:val="17"/></w:rPr><w:t xml:space="preserve">☐ Not started   ☐ In progress   ☐ Done</w:t></w:r></w:p></w:tc><w:tc><w:tcPr><w:tcW w:type="dxa" w:w="2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_________________________________</w:t></w:r></w:p></w:tc><w:tc><w:tcPr><w:tcW w:type="dxa" w:w="26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w:t></w:r></w:p></w:tc></w:tr><w:tr><w:tc><w:tcPr><w:tcW w:type="dxa" w:w="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4</w:t></w:r></w:p></w:tc><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Fund LIRP</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7"/><w:szCs w:val="17"/></w:rPr><w:t xml:space="preserve">☐ Not started   ☐ In progress   ☐ Done</w:t></w:r></w:p></w:tc><w:tc><w:tcPr><w:tcW w:type="dxa" w:w="2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_________________________________</w:t></w:r></w:p></w:tc><w:tc><w:tcPr><w:tcW w:type="dxa" w:w="26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w:t></w:r></w:p></w:tc></w:tr><w:tr><w:tc><w:tcPr><w:tcW w:type="dxa" w:w="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5</w:t></w:r></w:p></w:tc><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Volatility Shield</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7"/><w:szCs w:val="17"/></w:rPr><w:t xml:space="preserve">☐ Not started   ☐ In progress   ☐ Done</w:t></w:r></w:p></w:tc><w:tc><w:tcPr><w:tcW w:type="dxa" w:w="2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_________________________________</w:t></w:r></w:p></w:tc><w:tc><w:tcPr><w:tcW w:type="dxa" w:w="26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w:t></w:r></w:p></w:tc></w:tr><w:tr><w:tc><w:tcPr><w:tcW w:type="dxa" w:w="52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6</w:t></w:r></w:p></w:tc><w:tc><w:tcPr><w:tcW w:type="dxa" w:w="20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8"/><w:szCs w:val="18"/></w:rPr><w:t xml:space="preserve">LTC Plan</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7"/><w:szCs w:val="17"/></w:rPr><w:t xml:space="preserve">☐ Not started   ☐ In progress   ☐ Done</w:t></w:r></w:p></w:tc><w:tc><w:tcPr><w:tcW w:type="dxa" w:w="256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_________________________________</w:t></w:r></w:p></w:tc><w:tc><w:tcPr><w:tcW w:type="dxa" w:w="26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D0D0D0"/><w:sz w:val="18"/><w:szCs w:val="18"/></w:rPr><w:t xml:space="preserve">______________</w:t></w:r></w:p></w:tc></w:tr></w:tbl><w:p><w:r><w:br w:type="page"/></w:r></w:p><w:p><w:pPr><w:pBdr><w:bottom w:val="single" w:color="8B0000" w:sz="8" w:space="1"/></w:pBdr><w:spacing w:after="60" w:before="360"/></w:pPr><w:r><w:rPr><w:rFonts w:ascii="Arial" w:cs="Arial" w:eastAsia="Arial" w:hAnsi="Arial"/><w:b/><w:bCs/><w:color w:val="8B0000"/><w:sz w:val="17"/><w:szCs w:val="17"/></w:rPr><w:t xml:space="preserve">SECTION 5 — DISCUSSION QUESTIONS BY RISK</w:t></w:r></w:p><w:p><w:pPr><w:spacing w:after="80" w:before="0"/></w:pPr><w:r><w:t xml:space="preserve"></w:t></w:r></w:p><w:p><w:pPr><w:spacing w:after="80" w:before="0"/></w:pPr><w:r><w:rPr><w:rFonts w:ascii="Arial" w:cs="Arial" w:eastAsia="Arial" w:hAnsi="Arial"/><w:color w:val="444444"/><w:sz w:val="20"/><w:szCs w:val="20"/></w:rPr><w:t xml:space="preserve">These questions are designed to surface the conversation, not close a sale. Use them to help the client discover their own gaps — the most powerful advisor moves.</w:t></w:r></w:p><w:p><w:pPr><w:spacing w:after="200" w:before="0"/></w:pPr><w:r><w:t xml:space="preserve"></w:t></w:r></w:p><w:p><w:pPr><w:pStyle w:val="Heading3"/><w:spacing w:after="100" w:before="320"/></w:pPr><w:r><w:rPr><w:rFonts w:ascii="Arial" w:cs="Arial" w:eastAsia="Arial" w:hAnsi="Arial"/><w:color w:val="B00000"/></w:rPr><w:t xml:space="preserve">Longevity Risk — Discovery Questions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40"/><w:gridCol w:w="9440"/></w:tblGrid><w:tr><w:tc><w:tcPr><w:tcW w:type="dxa" w:w="640"/><w:tcBorders><w:top w:val="single" w:color="B00000" w:sz="1"/><w:left w:val="single" w:color="B00000" w:sz="1"/><w:bottom w:val="single" w:color="B00000" w:sz="1"/><w:right w:val="single" w:color="B00000" w:sz="1"/></w:tcBorders><w:shd w:fill="FCF0F0" w:val="clear"/><w:tcMar><w:top w:type="dxa" w:w="100"/><w:left w:type="dxa" w:w="160"/><w:bottom w:type="dxa" w:w="100"/><w:right w:type="dxa" w:w="160"/></w:tcMar><w:vAlign w:val="center"/></w:tcPr><w:p><w:pPr><w:jc w:val="center"/></w:pPr><w:r><w:rPr><w:rFonts w:ascii="Arial" w:cs="Arial" w:eastAsia="Arial" w:hAnsi="Arial"/><w:b/><w:bCs/><w:color w:val="B00000"/><w:sz w:val="17"/><w:szCs w:val="17"/></w:rPr><w:t xml:space="preserve">Q1</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If you lived to 95, would your current income sources still cover your lifestyle?</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B00000" w:sz="1"/><w:left w:val="single" w:color="B00000" w:sz="1"/><w:bottom w:val="single" w:color="B00000" w:sz="1"/><w:right w:val="single" w:color="B00000" w:sz="1"/></w:tcBorders><w:shd w:fill="FCF0F0" w:val="clear"/><w:tcMar><w:top w:type="dxa" w:w="100"/><w:left w:type="dxa" w:w="160"/><w:bottom w:type="dxa" w:w="100"/><w:right w:type="dxa" w:w="160"/></w:tcMar><w:vAlign w:val="center"/></w:tcPr><w:p><w:pPr><w:jc w:val="center"/></w:pPr><w:r><w:rPr><w:rFonts w:ascii="Arial" w:cs="Arial" w:eastAsia="Arial" w:hAnsi="Arial"/><w:b/><w:bCs/><w:color w:val="B00000"/><w:sz w:val="17"/><w:szCs w:val="17"/></w:rPr><w:t xml:space="preserve">Q2</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Which of your income sources are guaranteed for life — regardless of how long you live?</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B00000" w:sz="1"/><w:left w:val="single" w:color="B00000" w:sz="1"/><w:bottom w:val="single" w:color="B00000" w:sz="1"/><w:right w:val="single" w:color="B00000" w:sz="1"/></w:tcBorders><w:shd w:fill="FCF0F0" w:val="clear"/><w:tcMar><w:top w:type="dxa" w:w="100"/><w:left w:type="dxa" w:w="160"/><w:bottom w:type="dxa" w:w="100"/><w:right w:type="dxa" w:w="160"/></w:tcMar><w:vAlign w:val="center"/></w:tcPr><w:p><w:pPr><w:jc w:val="center"/></w:pPr><w:r><w:rPr><w:rFonts w:ascii="Arial" w:cs="Arial" w:eastAsia="Arial" w:hAnsi="Arial"/><w:b/><w:bCs/><w:color w:val="B00000"/><w:sz w:val="17"/><w:szCs w:val="17"/></w:rPr><w:t xml:space="preserve">Q3</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If Social Security is your primary guaranteed income, what happens if Congress reduces benefits?</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B00000" w:sz="1"/><w:left w:val="single" w:color="B00000" w:sz="1"/><w:bottom w:val="single" w:color="B00000" w:sz="1"/><w:right w:val="single" w:color="B00000" w:sz="1"/></w:tcBorders><w:shd w:fill="FCF0F0" w:val="clear"/><w:tcMar><w:top w:type="dxa" w:w="100"/><w:left w:type="dxa" w:w="160"/><w:bottom w:type="dxa" w:w="100"/><w:right w:type="dxa" w:w="160"/></w:tcMar><w:vAlign w:val="center"/></w:tcPr><w:p><w:pPr><w:jc w:val="center"/></w:pPr><w:r><w:rPr><w:rFonts w:ascii="Arial" w:cs="Arial" w:eastAsia="Arial" w:hAnsi="Arial"/><w:b/><w:bCs/><w:color w:val="B00000"/><w:sz w:val="17"/><w:szCs w:val="17"/></w:rPr><w:t xml:space="preserve">Q4</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Does your plan distinguish between the “go-go” years (65–75), “slow-go” years (75–85), and “no-go” years (85+)?</w:t></w:r></w:p><w:p><w:pPr><w:spacing w:after="0" w:before="60"/></w:pPr><w:r><w:rPr><w:rFonts w:ascii="Arial" w:cs="Arial" w:eastAsia="Arial" w:hAnsi="Arial"/><w:i/><w:iCs/><w:color w:val="D0D0D0"/><w:sz w:val="16"/><w:szCs w:val="16"/></w:rPr><w:t xml:space="preserve">Notes: _______________________________________________</w:t></w:r></w:p></w:tc></w:tr></w:tbl><w:p><w:pPr><w:spacing w:after="200" w:before="0"/></w:pPr><w:r><w:t xml:space="preserve"></w:t></w:r></w:p><w:p><w:pPr><w:pStyle w:val="Heading3"/><w:spacing w:after="100" w:before="320"/></w:pPr><w:r><w:rPr><w:rFonts w:ascii="Arial" w:cs="Arial" w:eastAsia="Arial" w:hAnsi="Arial"/><w:color w:val="7A5500"/></w:rPr><w:t xml:space="preserve">Market Volatility Risk — Discovery Questions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40"/><w:gridCol w:w="9440"/></w:tblGrid><w:tr><w:tc><w:tcPr><w:tcW w:type="dxa" w:w="640"/><w:tcBorders><w:top w:val="single" w:color="7A5500" w:sz="1"/><w:left w:val="single" w:color="7A5500" w:sz="1"/><w:bottom w:val="single" w:color="7A5500" w:sz="1"/><w:right w:val="single" w:color="7A5500" w:sz="1"/></w:tcBorders><w:shd w:fill="FEFAEE" w:val="clear"/><w:tcMar><w:top w:type="dxa" w:w="100"/><w:left w:type="dxa" w:w="160"/><w:bottom w:type="dxa" w:w="100"/><w:right w:type="dxa" w:w="160"/></w:tcMar><w:vAlign w:val="center"/></w:tcPr><w:p><w:pPr><w:jc w:val="center"/></w:pPr><w:r><w:rPr><w:rFonts w:ascii="Arial" w:cs="Arial" w:eastAsia="Arial" w:hAnsi="Arial"/><w:b/><w:bCs/><w:color w:val="7A5500"/><w:sz w:val="17"/><w:szCs w:val="17"/></w:rPr><w:t xml:space="preserve">Q1</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If the market dropped 30% the year after you retire, would you be forced to sell to fund living expenses?</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7A5500" w:sz="1"/><w:left w:val="single" w:color="7A5500" w:sz="1"/><w:bottom w:val="single" w:color="7A5500" w:sz="1"/><w:right w:val="single" w:color="7A5500" w:sz="1"/></w:tcBorders><w:shd w:fill="FEFAEE" w:val="clear"/><w:tcMar><w:top w:type="dxa" w:w="100"/><w:left w:type="dxa" w:w="160"/><w:bottom w:type="dxa" w:w="100"/><w:right w:type="dxa" w:w="160"/></w:tcMar><w:vAlign w:val="center"/></w:tcPr><w:p><w:pPr><w:jc w:val="center"/></w:pPr><w:r><w:rPr><w:rFonts w:ascii="Arial" w:cs="Arial" w:eastAsia="Arial" w:hAnsi="Arial"/><w:b/><w:bCs/><w:color w:val="7A5500"/><w:sz w:val="17"/><w:szCs w:val="17"/></w:rPr><w:t xml:space="preserve">Q2</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Do you have a source of income that is completely disconnected from the stock market?</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7A5500" w:sz="1"/><w:left w:val="single" w:color="7A5500" w:sz="1"/><w:bottom w:val="single" w:color="7A5500" w:sz="1"/><w:right w:val="single" w:color="7A5500" w:sz="1"/></w:tcBorders><w:shd w:fill="FEFAEE" w:val="clear"/><w:tcMar><w:top w:type="dxa" w:w="100"/><w:left w:type="dxa" w:w="160"/><w:bottom w:type="dxa" w:w="100"/><w:right w:type="dxa" w:w="160"/></w:tcMar><w:vAlign w:val="center"/></w:tcPr><w:p><w:pPr><w:jc w:val="center"/></w:pPr><w:r><w:rPr><w:rFonts w:ascii="Arial" w:cs="Arial" w:eastAsia="Arial" w:hAnsi="Arial"/><w:b/><w:bCs/><w:color w:val="7A5500"/><w:sz w:val="17"/><w:szCs w:val="17"/></w:rPr><w:t xml:space="preserve">Q3</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How long could you cover expenses without touching your investment portfolio?</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7A5500" w:sz="1"/><w:left w:val="single" w:color="7A5500" w:sz="1"/><w:bottom w:val="single" w:color="7A5500" w:sz="1"/><w:right w:val="single" w:color="7A5500" w:sz="1"/></w:tcBorders><w:shd w:fill="FEFAEE" w:val="clear"/><w:tcMar><w:top w:type="dxa" w:w="100"/><w:left w:type="dxa" w:w="160"/><w:bottom w:type="dxa" w:w="100"/><w:right w:type="dxa" w:w="160"/></w:tcMar><w:vAlign w:val="center"/></w:tcPr><w:p><w:pPr><w:jc w:val="center"/></w:pPr><w:r><w:rPr><w:rFonts w:ascii="Arial" w:cs="Arial" w:eastAsia="Arial" w:hAnsi="Arial"/><w:b/><w:bCs/><w:color w:val="7A5500"/><w:sz w:val="17"/><w:szCs w:val="17"/></w:rPr><w:t xml:space="preserve">Q4</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Have you modeled your plan through a 2008-level event in Year 2 of retirement?</w:t></w:r></w:p><w:p><w:pPr><w:spacing w:after="0" w:before="60"/></w:pPr><w:r><w:rPr><w:rFonts w:ascii="Arial" w:cs="Arial" w:eastAsia="Arial" w:hAnsi="Arial"/><w:i/><w:iCs/><w:color w:val="D0D0D0"/><w:sz w:val="16"/><w:szCs w:val="16"/></w:rPr><w:t xml:space="preserve">Notes: _______________________________________________</w:t></w:r></w:p></w:tc></w:tr></w:tbl><w:p><w:pPr><w:spacing w:after="200" w:before="0"/></w:pPr><w:r><w:t xml:space="preserve"></w:t></w:r></w:p><w:p><w:pPr><w:pStyle w:val="Heading3"/><w:spacing w:after="100" w:before="320"/></w:pPr><w:r><w:rPr><w:rFonts w:ascii="Arial" w:cs="Arial" w:eastAsia="Arial" w:hAnsi="Arial"/><w:color w:val="1A4A80"/></w:rPr><w:t xml:space="preserve">Tax Risk Risk — Discovery Questions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40"/><w:gridCol w:w="9440"/></w:tblGrid><w:tr><w:tc><w:tcPr><w:tcW w:type="dxa" w:w="640"/><w:tcBorders><w:top w:val="single" w:color="1A4A80" w:sz="1"/><w:left w:val="single" w:color="1A4A80" w:sz="1"/><w:bottom w:val="single" w:color="1A4A80" w:sz="1"/><w:right w:val="single" w:color="1A4A80" w:sz="1"/></w:tcBorders><w:shd w:fill="EEF4FB" w:val="clear"/><w:tcMar><w:top w:type="dxa" w:w="100"/><w:left w:type="dxa" w:w="160"/><w:bottom w:type="dxa" w:w="100"/><w:right w:type="dxa" w:w="160"/></w:tcMar><w:vAlign w:val="center"/></w:tcPr><w:p><w:pPr><w:jc w:val="center"/></w:pPr><w:r><w:rPr><w:rFonts w:ascii="Arial" w:cs="Arial" w:eastAsia="Arial" w:hAnsi="Arial"/><w:b/><w:bCs/><w:color w:val="1A4A80"/><w:sz w:val="17"/><w:szCs w:val="17"/></w:rPr><w:t xml:space="preserve">Q1</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What percentage of your retirement savings is in tax-deferred accounts (401k, IRA)?</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1A4A80" w:sz="1"/><w:left w:val="single" w:color="1A4A80" w:sz="1"/><w:bottom w:val="single" w:color="1A4A80" w:sz="1"/><w:right w:val="single" w:color="1A4A80" w:sz="1"/></w:tcBorders><w:shd w:fill="EEF4FB" w:val="clear"/><w:tcMar><w:top w:type="dxa" w:w="100"/><w:left w:type="dxa" w:w="160"/><w:bottom w:type="dxa" w:w="100"/><w:right w:type="dxa" w:w="160"/></w:tcMar><w:vAlign w:val="center"/></w:tcPr><w:p><w:pPr><w:jc w:val="center"/></w:pPr><w:r><w:rPr><w:rFonts w:ascii="Arial" w:cs="Arial" w:eastAsia="Arial" w:hAnsi="Arial"/><w:b/><w:bCs/><w:color w:val="1A4A80"/><w:sz w:val="17"/><w:szCs w:val="17"/></w:rPr><w:t xml:space="preserve">Q2</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Have you modeled what your RMDs will look like at 73, 80, and 85?</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1A4A80" w:sz="1"/><w:left w:val="single" w:color="1A4A80" w:sz="1"/><w:bottom w:val="single" w:color="1A4A80" w:sz="1"/><w:right w:val="single" w:color="1A4A80" w:sz="1"/></w:tcBorders><w:shd w:fill="EEF4FB" w:val="clear"/><w:tcMar><w:top w:type="dxa" w:w="100"/><w:left w:type="dxa" w:w="160"/><w:bottom w:type="dxa" w:w="100"/><w:right w:type="dxa" w:w="160"/></w:tcMar><w:vAlign w:val="center"/></w:tcPr><w:p><w:pPr><w:jc w:val="center"/></w:pPr><w:r><w:rPr><w:rFonts w:ascii="Arial" w:cs="Arial" w:eastAsia="Arial" w:hAnsi="Arial"/><w:b/><w:bCs/><w:color w:val="1A4A80"/><w:sz w:val="17"/><w:szCs w:val="17"/></w:rPr><w:t xml:space="preserve">Q3</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Do you have a plan to convert some of your tax-deferred savings before RMDs force the issue?</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1A4A80" w:sz="1"/><w:left w:val="single" w:color="1A4A80" w:sz="1"/><w:bottom w:val="single" w:color="1A4A80" w:sz="1"/><w:right w:val="single" w:color="1A4A80" w:sz="1"/></w:tcBorders><w:shd w:fill="EEF4FB" w:val="clear"/><w:tcMar><w:top w:type="dxa" w:w="100"/><w:left w:type="dxa" w:w="160"/><w:bottom w:type="dxa" w:w="100"/><w:right w:type="dxa" w:w="160"/></w:tcMar><w:vAlign w:val="center"/></w:tcPr><w:p><w:pPr><w:jc w:val="center"/></w:pPr><w:r><w:rPr><w:rFonts w:ascii="Arial" w:cs="Arial" w:eastAsia="Arial" w:hAnsi="Arial"/><w:b/><w:bCs/><w:color w:val="1A4A80"/><w:sz w:val="17"/><w:szCs w:val="17"/></w:rPr><w:t xml:space="preserve">Q4</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If tax rates rise 20–30% in the next decade, how does that change your retirement income picture?</w:t></w:r></w:p><w:p><w:pPr><w:spacing w:after="0" w:before="60"/></w:pPr><w:r><w:rPr><w:rFonts w:ascii="Arial" w:cs="Arial" w:eastAsia="Arial" w:hAnsi="Arial"/><w:i/><w:iCs/><w:color w:val="D0D0D0"/><w:sz w:val="16"/><w:szCs w:val="16"/></w:rPr><w:t xml:space="preserve">Notes: _______________________________________________</w:t></w:r></w:p></w:tc></w:tr></w:tbl><w:p><w:pPr><w:spacing w:after="200" w:before="0"/></w:pPr><w:r><w:t xml:space="preserve"></w:t></w:r></w:p><w:p><w:pPr><w:pStyle w:val="Heading3"/><w:spacing w:after="100" w:before="320"/></w:pPr><w:r><w:rPr><w:rFonts w:ascii="Arial" w:cs="Arial" w:eastAsia="Arial" w:hAnsi="Arial"/><w:color w:val="1A6B3A"/></w:rPr><w:t xml:space="preserve">Healthcare / LTC Risk — Discovery Questions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40"/><w:gridCol w:w="9440"/></w:tblGrid><w:tr><w:tc><w:tcPr><w:tcW w:type="dxa" w:w="640"/><w:tcBorders><w:top w:val="single" w:color="1A6B3A" w:sz="1"/><w:left w:val="single" w:color="1A6B3A" w:sz="1"/><w:bottom w:val="single" w:color="1A6B3A" w:sz="1"/><w:right w:val="single" w:color="1A6B3A" w:sz="1"/></w:tcBorders><w:shd w:fill="F0F7F2" w:val="clear"/><w:tcMar><w:top w:type="dxa" w:w="100"/><w:left w:type="dxa" w:w="160"/><w:bottom w:type="dxa" w:w="100"/><w:right w:type="dxa" w:w="160"/></w:tcMar><w:vAlign w:val="center"/></w:tcPr><w:p><w:pPr><w:jc w:val="center"/></w:pPr><w:r><w:rPr><w:rFonts w:ascii="Arial" w:cs="Arial" w:eastAsia="Arial" w:hAnsi="Arial"/><w:b/><w:bCs/><w:color w:val="1A6B3A"/><w:sz w:val="17"/><w:szCs w:val="17"/></w:rPr><w:t xml:space="preserve">Q1</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What is your plan if you need in-home care at $33/hour for 40 hours per week?</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1A6B3A" w:sz="1"/><w:left w:val="single" w:color="1A6B3A" w:sz="1"/><w:bottom w:val="single" w:color="1A6B3A" w:sz="1"/><w:right w:val="single" w:color="1A6B3A" w:sz="1"/></w:tcBorders><w:shd w:fill="F0F7F2" w:val="clear"/><w:tcMar><w:top w:type="dxa" w:w="100"/><w:left w:type="dxa" w:w="160"/><w:bottom w:type="dxa" w:w="100"/><w:right w:type="dxa" w:w="160"/></w:tcMar><w:vAlign w:val="center"/></w:tcPr><w:p><w:pPr><w:jc w:val="center"/></w:pPr><w:r><w:rPr><w:rFonts w:ascii="Arial" w:cs="Arial" w:eastAsia="Arial" w:hAnsi="Arial"/><w:b/><w:bCs/><w:color w:val="1A6B3A"/><w:sz w:val="17"/><w:szCs w:val="17"/></w:rPr><w:t xml:space="preserve">Q2</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If you need a nursing home at $9,000–$12,000/month, which of your assets would fund that first?</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1A6B3A" w:sz="1"/><w:left w:val="single" w:color="1A6B3A" w:sz="1"/><w:bottom w:val="single" w:color="1A6B3A" w:sz="1"/><w:right w:val="single" w:color="1A6B3A" w:sz="1"/></w:tcBorders><w:shd w:fill="F0F7F2" w:val="clear"/><w:tcMar><w:top w:type="dxa" w:w="100"/><w:left w:type="dxa" w:w="160"/><w:bottom w:type="dxa" w:w="100"/><w:right w:type="dxa" w:w="160"/></w:tcMar><w:vAlign w:val="center"/></w:tcPr><w:p><w:pPr><w:jc w:val="center"/></w:pPr><w:r><w:rPr><w:rFonts w:ascii="Arial" w:cs="Arial" w:eastAsia="Arial" w:hAnsi="Arial"/><w:b/><w:bCs/><w:color w:val="1A6B3A"/><w:sz w:val="17"/><w:szCs w:val="17"/></w:rPr><w:t xml:space="preserve">Q3</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Have you considered how a 2–3 year LTC event would affect your spouse’s financial security?</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1A6B3A" w:sz="1"/><w:left w:val="single" w:color="1A6B3A" w:sz="1"/><w:bottom w:val="single" w:color="1A6B3A" w:sz="1"/><w:right w:val="single" w:color="1A6B3A" w:sz="1"/></w:tcBorders><w:shd w:fill="F0F7F2" w:val="clear"/><w:tcMar><w:top w:type="dxa" w:w="100"/><w:left w:type="dxa" w:w="160"/><w:bottom w:type="dxa" w:w="100"/><w:right w:type="dxa" w:w="160"/></w:tcMar><w:vAlign w:val="center"/></w:tcPr><w:p><w:pPr><w:jc w:val="center"/></w:pPr><w:r><w:rPr><w:rFonts w:ascii="Arial" w:cs="Arial" w:eastAsia="Arial" w:hAnsi="Arial"/><w:b/><w:bCs/><w:color w:val="1A6B3A"/><w:sz w:val="17"/><w:szCs w:val="17"/></w:rPr><w:t xml:space="preserve">Q4</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Is your current LTC plan “use-it-or-lose-it” — meaning if you don’t need it, the premiums are gone?</w:t></w:r></w:p><w:p><w:pPr><w:spacing w:after="0" w:before="60"/></w:pPr><w:r><w:rPr><w:rFonts w:ascii="Arial" w:cs="Arial" w:eastAsia="Arial" w:hAnsi="Arial"/><w:i/><w:iCs/><w:color w:val="D0D0D0"/><w:sz w:val="16"/><w:szCs w:val="16"/></w:rPr><w:t xml:space="preserve">Notes: _______________________________________________</w:t></w:r></w:p></w:tc></w:tr></w:tbl><w:p><w:pPr><w:spacing w:after="200" w:before="0"/></w:pPr><w:r><w:t xml:space="preserve"></w:t></w:r></w:p><w:p><w:pPr><w:pStyle w:val="Heading3"/><w:spacing w:after="100" w:before="320"/></w:pPr><w:r><w:rPr><w:rFonts w:ascii="Arial" w:cs="Arial" w:eastAsia="Arial" w:hAnsi="Arial"/><w:color w:val="4A1A7A"/></w:rPr><w:t xml:space="preserve">Legacy Risk — Discovery Questions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40"/><w:gridCol w:w="9440"/></w:tblGrid><w:tr><w:tc><w:tcPr><w:tcW w:type="dxa" w:w="640"/><w:tcBorders><w:top w:val="single" w:color="4A1A7A" w:sz="1"/><w:left w:val="single" w:color="4A1A7A" w:sz="1"/><w:bottom w:val="single" w:color="4A1A7A" w:sz="1"/><w:right w:val="single" w:color="4A1A7A" w:sz="1"/></w:tcBorders><w:shd w:fill="F5F0FC" w:val="clear"/><w:tcMar><w:top w:type="dxa" w:w="100"/><w:left w:type="dxa" w:w="160"/><w:bottom w:type="dxa" w:w="100"/><w:right w:type="dxa" w:w="160"/></w:tcMar><w:vAlign w:val="center"/></w:tcPr><w:p><w:pPr><w:jc w:val="center"/></w:pPr><w:r><w:rPr><w:rFonts w:ascii="Arial" w:cs="Arial" w:eastAsia="Arial" w:hAnsi="Arial"/><w:b/><w:bCs/><w:color w:val="4A1A7A"/><w:sz w:val="17"/><w:szCs w:val="17"/></w:rPr><w:t xml:space="preserve">Q1</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If LTC costs consumed your primary asset, what would be left for your heirs?</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4A1A7A" w:sz="1"/><w:left w:val="single" w:color="4A1A7A" w:sz="1"/><w:bottom w:val="single" w:color="4A1A7A" w:sz="1"/><w:right w:val="single" w:color="4A1A7A" w:sz="1"/></w:tcBorders><w:shd w:fill="F5F0FC" w:val="clear"/><w:tcMar><w:top w:type="dxa" w:w="100"/><w:left w:type="dxa" w:w="160"/><w:bottom w:type="dxa" w:w="100"/><w:right w:type="dxa" w:w="160"/></w:tcMar><w:vAlign w:val="center"/></w:tcPr><w:p><w:pPr><w:jc w:val="center"/></w:pPr><w:r><w:rPr><w:rFonts w:ascii="Arial" w:cs="Arial" w:eastAsia="Arial" w:hAnsi="Arial"/><w:b/><w:bCs/><w:color w:val="4A1A7A"/><w:sz w:val="17"/><w:szCs w:val="17"/></w:rPr><w:t xml:space="preserve">Q2</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Have you considered using a life insurance death benefit to “replace” home equity consumed by a reverse mortgage?</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4A1A7A" w:sz="1"/><w:left w:val="single" w:color="4A1A7A" w:sz="1"/><w:bottom w:val="single" w:color="4A1A7A" w:sz="1"/><w:right w:val="single" w:color="4A1A7A" w:sz="1"/></w:tcBorders><w:shd w:fill="F5F0FC" w:val="clear"/><w:tcMar><w:top w:type="dxa" w:w="100"/><w:left w:type="dxa" w:w="160"/><w:bottom w:type="dxa" w:w="100"/><w:right w:type="dxa" w:w="160"/></w:tcMar><w:vAlign w:val="center"/></w:tcPr><w:p><w:pPr><w:jc w:val="center"/></w:pPr><w:r><w:rPr><w:rFonts w:ascii="Arial" w:cs="Arial" w:eastAsia="Arial" w:hAnsi="Arial"/><w:b/><w:bCs/><w:color w:val="4A1A7A"/><w:sz w:val="17"/><w:szCs w:val="17"/></w:rPr><w:t xml:space="preserve">Q3</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Is there a specific dollar amount or asset you want to guarantee passes to your family?</w:t></w:r></w:p><w:p><w:pPr><w:spacing w:after="0" w:before="60"/></w:pPr><w:r><w:rPr><w:rFonts w:ascii="Arial" w:cs="Arial" w:eastAsia="Arial" w:hAnsi="Arial"/><w:i/><w:iCs/><w:color w:val="D0D0D0"/><w:sz w:val="16"/><w:szCs w:val="16"/></w:rPr><w:t xml:space="preserve">Notes: _______________________________________________</w:t></w:r></w:p></w:tc></w:tr><w:tr><w:tc><w:tcPr><w:tcW w:type="dxa" w:w="640"/><w:tcBorders><w:top w:val="single" w:color="4A1A7A" w:sz="1"/><w:left w:val="single" w:color="4A1A7A" w:sz="1"/><w:bottom w:val="single" w:color="4A1A7A" w:sz="1"/><w:right w:val="single" w:color="4A1A7A" w:sz="1"/></w:tcBorders><w:shd w:fill="F5F0FC" w:val="clear"/><w:tcMar><w:top w:type="dxa" w:w="100"/><w:left w:type="dxa" w:w="160"/><w:bottom w:type="dxa" w:w="100"/><w:right w:type="dxa" w:w="160"/></w:tcMar><w:vAlign w:val="center"/></w:tcPr><w:p><w:pPr><w:jc w:val="center"/></w:pPr><w:r><w:rPr><w:rFonts w:ascii="Arial" w:cs="Arial" w:eastAsia="Arial" w:hAnsi="Arial"/><w:b/><w:bCs/><w:color w:val="4A1A7A"/><w:sz w:val="17"/><w:szCs w:val="17"/></w:rPr><w:t xml:space="preserve">Q4</w:t></w:r></w:p></w:tc><w:tc><w:tcPr><w:tcW w:type="dxa" w:w="9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444444"/><w:sz w:val="19"/><w:szCs w:val="19"/></w:rPr><w:t xml:space="preserve">Does your current estate plan address what happens to tax-deferred accounts after you die — including the tax bill your heirs will inherit?</w:t></w:r></w:p><w:p><w:pPr><w:spacing w:after="0" w:before="60"/></w:pPr><w:r><w:rPr><w:rFonts w:ascii="Arial" w:cs="Arial" w:eastAsia="Arial" w:hAnsi="Arial"/><w:i/><w:iCs/><w:color w:val="D0D0D0"/><w:sz w:val="16"/><w:szCs w:val="16"/></w:rPr><w:t xml:space="preserve">Notes: _______________________________________________</w:t></w:r></w:p></w:tc></w:tr></w:tbl><w:p><w:pPr><w:spacing w:after="200" w:before="0"/></w:pPr><w:r><w:t xml:space="preserve"></w:t></w:r></w:p><w:p><w:r><w:br w:type="page"/></w:r></w:p><w:p><w:pPr><w:pBdr><w:bottom w:val="single" w:color="8B0000" w:sz="8" w:space="1"/></w:pBdr><w:spacing w:after="60" w:before="360"/></w:pPr><w:r><w:rPr><w:rFonts w:ascii="Arial" w:cs="Arial" w:eastAsia="Arial" w:hAnsi="Arial"/><w:b/><w:bCs/><w:color w:val="8B0000"/><w:sz w:val="17"/><w:szCs w:val="17"/></w:rPr><w:t xml:space="preserve">SECTION 6 — SUPPORTING DATA REFERENCE</w:t></w:r></w:p><w:p><w:pPr><w:spacing w:after="80" w:before="0"/></w:pPr><w:r><w:t xml:space="preserve"></w:t></w:r></w:p><w:p><w:pPr><w:spacing w:after="80" w:before="0"/></w:pPr><w:r><w:rPr><w:rFonts w:ascii="Arial" w:cs="Arial" w:eastAsia="Arial" w:hAnsi="Arial"/><w:color w:val="444444"/><w:sz w:val="20"/><w:szCs w:val="20"/></w:rPr><w:t xml:space="preserve">Use this data in client conversations to ground the discussion in real numbers, not hypotheticals.</w:t></w:r></w:p><w:p><w:pPr><w:spacing w:after="200" w:before="0"/></w:pPr><w:r><w:t xml:space="preserve"></w:t></w:r></w:p><w:p><w:pPr><w:pStyle w:val="Heading3"/><w:spacing w:after="100" w:before="320"/></w:pPr><w:r><w:rPr><w:rFonts w:ascii="Arial" w:cs="Arial" w:eastAsia="Arial" w:hAnsi="Arial"/></w:rPr><w:t xml:space="preserve">Survival Probabilities — Age 65 Cohort (SSA 2022 / CDC)</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200"/><w:gridCol w:w="1880"/><w:gridCol w:w="1880"/><w:gridCol w:w="2440"/><w:gridCol w:w="3680"/></w:tblGrid><w:tr><w:trPr><w:tblHeader/></w:trPr><w:tc><w:tcPr><w:tcW w:type="dxa" w:w="12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Age</w:t></w:r></w:p></w:tc><w:tc><w:tcPr><w:tcW w:type="dxa" w:w="188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 Surviving</w:t></w:r></w:p></w:tc><w:tc><w:tcPr><w:tcW w:type="dxa" w:w="188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Remaining Life Exp.</w:t></w:r></w:p></w:tc><w:tc><w:tcPr><w:tcW w:type="dxa" w:w="244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1-Yr Mortality Rate</w:t></w:r></w:p></w:tc><w:tc><w:tcPr><w:tcW w:type="dxa" w:w="368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Planning Implication</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65</w:t></w:r></w:p></w:tc><w:tc><w:tcPr><w:tcW w:type="dxa" w:w="18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19"/><w:szCs w:val="19"/></w:rPr><w:t xml:space="preserve">100%</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19.5 yrs (avg)</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Starting point. Plan for financial needs extending to mid-80s minimum.</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70</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b/><w:bCs/><w:color w:val="1A5A6A"/><w:sz w:val="19"/><w:szCs w:val="19"/></w:rPr><w:t xml:space="preserve">~85%</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M: 15 yr / F: 17 yr</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~1.5% (M) / ~1.2% (F)</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Most are still alive; LTC risk starts to rise.</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75</w:t></w:r></w:p></w:tc><w:tc><w:tcPr><w:tcW w:type="dxa" w:w="18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19"/><w:szCs w:val="19"/></w:rPr><w:t xml:space="preserve">~75%</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M: 10 yr / F: 12 yr</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~2.0% (M) / ~1.5% (F)</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LTC incidence rising. Volatility shield critical.</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80</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b/><w:bCs/><w:color w:val="1A5A6A"/><w:sz w:val="19"/><w:szCs w:val="19"/></w:rPr><w:t xml:space="preserve">~67%</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M: 7.5 yr / F: 9 yr</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~3.0% (M) / ~2.2% (F)</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Two-thirds of cohort alive. Significant LTC risk.</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85</w:t></w:r></w:p></w:tc><w:tc><w:tcPr><w:tcW w:type="dxa" w:w="18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19"/><w:szCs w:val="19"/></w:rPr><w:t xml:space="preserve">~50%</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M: 5.5 yr / F: 6.5 yr</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~5.0% (M) / ~3.8% (F)</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Half the cohort. Nursing home probability peaks.</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90</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b/><w:bCs/><w:color w:val="1A5A6A"/><w:sz w:val="19"/><w:szCs w:val="19"/></w:rPr><w:t xml:space="preserve">~28%</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M: 4 yr / F: 5 yr</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~9.0% (M) / ~6.5% (F)</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Nearly 3 in 10 reach this age. Super-longevity planning needed.</w:t></w:r></w:p></w:tc></w:tr><w:tr><w:tc><w:tcPr><w:tcW w:type="dxa" w:w="12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pPr><w:jc w:val="center"/></w:pPr><w:r><w:rPr><w:rFonts w:ascii="Arial" w:cs="Arial" w:eastAsia="Arial" w:hAnsi="Arial"/><w:b/><w:bCs/><w:color w:val="1A1A1A"/><w:sz w:val="20"/><w:szCs w:val="20"/></w:rPr><w:t xml:space="preserve">95</w:t></w:r></w:p></w:tc><w:tc><w:tcPr><w:tcW w:type="dxa" w:w="1880"/><w:tcBorders><w:top w:val="single" w:color="D0D0D0" w:sz="1"/><w:left w:val="single" w:color="D0D0D0" w:sz="1"/><w:bottom w:val="single" w:color="D0D0D0" w:sz="1"/><w:right w:val="single" w:color="D0D0D0" w:sz="1"/></w:tcBorders><w:shd w:fill="EEF8FA" w:val="clear"/><w:tcMar><w:top w:type="dxa" w:w="100"/><w:left w:type="dxa" w:w="160"/><w:bottom w:type="dxa" w:w="100"/><w:right w:type="dxa" w:w="160"/></w:tcMar></w:tcPr><w:p><w:r><w:rPr><w:rFonts w:ascii="Arial" w:cs="Arial" w:eastAsia="Arial" w:hAnsi="Arial"/><w:b/><w:bCs/><w:color w:val="1A5A6A"/><w:sz w:val="19"/><w:szCs w:val="19"/></w:rPr><w:t xml:space="preserve">~12%</w:t></w:r></w:p></w:tc><w:tc><w:tcPr><w:tcW w:type="dxa" w:w="18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M: 2.5 yr / F: 3 yr</w:t></w:r></w:p></w:tc><w:tc><w:tcPr><w:tcW w:type="dxa" w:w="244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8"/><w:szCs w:val="18"/></w:rPr><w:t xml:space="preserve">~14% (M) / ~11% (F)</w:t></w:r></w:p></w:tc><w:tc><w:tcPr><w:tcW w:type="dxa" w:w="368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1 in 8 reaches 95. Plan must survive this scenario.</w:t></w:r></w:p></w:tc></w:tr></w:tbl><w:p><w:pPr><w:spacing w:after="320" w:before="0"/></w:pPr><w:r><w:t xml:space="preserve"></w:t></w:r></w:p><w:p><w:pPr><w:pStyle w:val="Heading3"/><w:spacing w:after="100" w:before="320"/></w:pPr><w:r><w:rPr><w:rFonts w:ascii="Arial" w:cs="Arial" w:eastAsia="Arial" w:hAnsi="Arial"/></w:rPr><w:t xml:space="preserve">LTC Cost Reference — Portland/Vancouver Metro (2025)</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400"/><w:gridCol w:w="2400"/><w:gridCol w:w="2640"/><w:gridCol w:w="2640"/></w:tblGrid><w:tr><w:trPr><w:tblHeader/></w:trPr><w:tc><w:tcPr><w:tcW w:type="dxa" w:w="24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Care Type</w:t></w:r></w:p></w:tc><w:tc><w:tcPr><w:tcW w:type="dxa" w:w="24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Monthly Cost</w:t></w:r></w:p></w:tc><w:tc><w:tcPr><w:tcW w:type="dxa" w:w="264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Annual Cost</w:t></w:r></w:p></w:tc><w:tc><w:tcPr><w:tcW w:type="dxa" w:w="264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5-Year Total</w:t></w:r></w:p></w:tc></w:tr><w:tr><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In-Home Care (20 hrs/wk)</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9"/><w:szCs w:val="19"/></w:rPr><w:t xml:space="preserve">$2,800–$5,720</w:t></w:r></w:p></w:tc><w:tc><w:tcPr><w:tcW w:type="dxa" w:w="264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7A5500"/><w:sz w:val="19"/><w:szCs w:val="19"/></w:rPr><w:t xml:space="preserve">$34,000–$68,000</w:t></w:r></w:p></w:tc><w:tc><w:tcPr><w:tcW w:type="dxa" w:w="264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b/><w:bCs/><w:color w:val="B00000"/><w:sz w:val="19"/><w:szCs w:val="19"/></w:rPr><w:t xml:space="preserve">$170K–$340K</w:t></w:r></w:p></w:tc></w:tr><w:tr><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Assisted Living</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9"/><w:szCs w:val="19"/></w:rPr><w:t xml:space="preserve">$4,500–$7,000</w:t></w:r></w:p></w:tc><w:tc><w:tcPr><w:tcW w:type="dxa" w:w="264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7A5500"/><w:sz w:val="19"/><w:szCs w:val="19"/></w:rPr><w:t xml:space="preserve">$54,000–$84,000</w:t></w:r></w:p></w:tc><w:tc><w:tcPr><w:tcW w:type="dxa" w:w="264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b/><w:bCs/><w:color w:val="B00000"/><w:sz w:val="19"/><w:szCs w:val="19"/></w:rPr><w:t xml:space="preserve">$270K–$420K</w:t></w:r></w:p></w:tc></w:tr><w:tr><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Memory Care</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9"/><w:szCs w:val="19"/></w:rPr><w:t xml:space="preserve">$6,000–$9,000</w:t></w:r></w:p></w:tc><w:tc><w:tcPr><w:tcW w:type="dxa" w:w="264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7A5500"/><w:sz w:val="19"/><w:szCs w:val="19"/></w:rPr><w:t xml:space="preserve">$72,000–$108,000</w:t></w:r></w:p></w:tc><w:tc><w:tcPr><w:tcW w:type="dxa" w:w="264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b/><w:bCs/><w:color w:val="B00000"/><w:sz w:val="19"/><w:szCs w:val="19"/></w:rPr><w:t xml:space="preserve">$360K–$540K</w:t></w:r></w:p></w:tc></w:tr><w:tr><w:tc><w:tcPr><w:tcW w:type="dxa" w:w="2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b/><w:bCs/><w:color w:val="1A1A1A"/><w:sz w:val="19"/><w:szCs w:val="19"/></w:rPr><w:t xml:space="preserve">Nursing Home (Private)</w:t></w:r></w:p></w:tc><w:tc><w:tcPr><w:tcW w:type="dxa" w:w="24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color w:val="666666"/><w:sz w:val="19"/><w:szCs w:val="19"/></w:rPr><w:t xml:space="preserve">$9,000–$12,000</w:t></w:r></w:p></w:tc><w:tc><w:tcPr><w:tcW w:type="dxa" w:w="2640"/><w:tcBorders><w:top w:val="single" w:color="D0D0D0" w:sz="1"/><w:left w:val="single" w:color="D0D0D0" w:sz="1"/><w:bottom w:val="single" w:color="D0D0D0" w:sz="1"/><w:right w:val="single" w:color="D0D0D0" w:sz="1"/></w:tcBorders><w:shd w:fill="FEFAEE" w:val="clear"/><w:tcMar><w:top w:type="dxa" w:w="100"/><w:left w:type="dxa" w:w="160"/><w:bottom w:type="dxa" w:w="100"/><w:right w:type="dxa" w:w="160"/></w:tcMar></w:tcPr><w:p><w:r><w:rPr><w:rFonts w:ascii="Arial" w:cs="Arial" w:eastAsia="Arial" w:hAnsi="Arial"/><w:b/><w:bCs/><w:color w:val="7A5500"/><w:sz w:val="19"/><w:szCs w:val="19"/></w:rPr><w:t xml:space="preserve">$108,000–$144,000</w:t></w:r></w:p></w:tc><w:tc><w:tcPr><w:tcW w:type="dxa" w:w="2640"/><w:tcBorders><w:top w:val="single" w:color="D0D0D0" w:sz="1"/><w:left w:val="single" w:color="D0D0D0" w:sz="1"/><w:bottom w:val="single" w:color="D0D0D0" w:sz="1"/><w:right w:val="single" w:color="D0D0D0" w:sz="1"/></w:tcBorders><w:shd w:fill="FCF0F0" w:val="clear"/><w:tcMar><w:top w:type="dxa" w:w="100"/><w:left w:type="dxa" w:w="160"/><w:bottom w:type="dxa" w:w="100"/><w:right w:type="dxa" w:w="160"/></w:tcMar></w:tcPr><w:p><w:r><w:rPr><w:rFonts w:ascii="Arial" w:cs="Arial" w:eastAsia="Arial" w:hAnsi="Arial"/><w:b/><w:bCs/><w:color w:val="B00000"/><w:sz w:val="19"/><w:szCs w:val="19"/></w:rPr><w:t xml:space="preserve">$540K–$720K</w:t></w:r></w:p></w:tc></w:tr></w:tbl><w:p><w:pPr><w:spacing w:after="320" w:before="0"/></w:pPr><w:r><w:t xml:space="preserve"></w:t></w:r></w:p><w:p><w:pPr><w:pStyle w:val="Heading3"/><w:spacing w:after="100" w:before="320"/></w:pPr><w:r><w:rPr><w:rFonts w:ascii="Arial" w:cs="Arial" w:eastAsia="Arial" w:hAnsi="Arial"/></w:rPr><w:t xml:space="preserve">LTC Event Probabilities — Age 65+ (AALTCI)</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3400"/><w:gridCol w:w="2240"/><w:gridCol w:w="2240"/><w:gridCol w:w="2200"/></w:tblGrid><w:tr><w:trPr><w:tblHeader/></w:trPr><w:tc><w:tcPr><w:tcW w:type="dxa" w:w="34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Scenario</w:t></w:r></w:p></w:tc><w:tc><w:tcPr><w:tcW w:type="dxa" w:w="224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Male 65+</w:t></w:r></w:p></w:tc><w:tc><w:tcPr><w:tcW w:type="dxa" w:w="224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Female 65+</w:t></w:r></w:p></w:tc><w:tc><w:tcPr><w:tcW w:type="dxa" w:w="2200"/><w:tcBorders><w:top w:val="none" w:color="FFFFFF" w:sz="0"/><w:left w:val="none" w:color="FFFFFF" w:sz="0"/><w:bottom w:val="none" w:color="FFFFFF" w:sz="0"/><w:right w:val="none" w:color="FFFFFF" w:sz="0"/></w:tcBorders><w:shd w:fill="1A1A1A" w:val="clear"/><w:tcMar><w:top w:type="dxa" w:w="100"/><w:left w:type="dxa" w:w="160"/><w:bottom w:type="dxa" w:w="100"/><w:right w:type="dxa" w:w="160"/></w:tcMar></w:tcPr><w:p><w:r><w:rPr><w:rFonts w:ascii="Arial" w:cs="Arial" w:eastAsia="Arial" w:hAnsi="Arial"/><w:b/><w:bCs/><w:color w:val="B0B0B0"/><w:sz w:val="16"/><w:szCs w:val="16"/></w:rPr><w:t xml:space="preserve">Source</w:t></w:r></w:p></w:tc></w:tr><w:tr><w:tc><w:tcPr><w:tcW w:type="dxa" w:w="3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color w:val="1A1A1A"/><w:sz w:val="18"/><w:szCs w:val="18"/></w:rPr><w:t xml:space="preserve">Will need any paid LTC</w:t></w:r></w:p></w:tc><w:tc><w:tcPr><w:tcW w:type="dxa" w:w="224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9"/><w:szCs w:val="19"/></w:rPr><w:t xml:space="preserve">41.4%</w:t></w:r></w:p></w:tc><w:tc><w:tcPr><w:tcW w:type="dxa" w:w="224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19"/><w:szCs w:val="19"/></w:rPr><w:t xml:space="preserve">51.2%</w:t></w:r></w:p></w:tc><w:tc><w:tcPr><w:tcW w:type="dxa" w:w="22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AALTCI</w:t></w:r></w:p></w:tc></w:tr><w:tr><w:tc><w:tcPr><w:tcW w:type="dxa" w:w="3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color w:val="1A1A1A"/><w:sz w:val="18"/><w:szCs w:val="18"/></w:rPr><w:t xml:space="preserve">Will need paid LTC — less than 1 year</w:t></w:r></w:p></w:tc><w:tc><w:tcPr><w:tcW w:type="dxa" w:w="224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9"/><w:szCs w:val="19"/></w:rPr><w:t xml:space="preserve">18.4%</w:t></w:r></w:p></w:tc><w:tc><w:tcPr><w:tcW w:type="dxa" w:w="224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19"/><w:szCs w:val="19"/></w:rPr><w:t xml:space="preserve">21.7%</w:t></w:r></w:p></w:tc><w:tc><w:tcPr><w:tcW w:type="dxa" w:w="22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AALTCI</w:t></w:r></w:p></w:tc></w:tr><w:tr><w:tc><w:tcPr><w:tcW w:type="dxa" w:w="3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color w:val="1A1A1A"/><w:sz w:val="18"/><w:szCs w:val="18"/></w:rPr><w:t xml:space="preserve">Will need paid LTC — 1 to 2 years</w:t></w:r></w:p></w:tc><w:tc><w:tcPr><w:tcW w:type="dxa" w:w="224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9"/><w:szCs w:val="19"/></w:rPr><w:t xml:space="preserve">7.9%</w:t></w:r></w:p></w:tc><w:tc><w:tcPr><w:tcW w:type="dxa" w:w="224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19"/><w:szCs w:val="19"/></w:rPr><w:t xml:space="preserve">8.8%</w:t></w:r></w:p></w:tc><w:tc><w:tcPr><w:tcW w:type="dxa" w:w="22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AALTCI</w:t></w:r></w:p></w:tc></w:tr><w:tr><w:tc><w:tcPr><w:tcW w:type="dxa" w:w="3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color w:val="1A1A1A"/><w:sz w:val="18"/><w:szCs w:val="18"/></w:rPr><w:t xml:space="preserve">Will need paid LTC — 2 to 5 years</w:t></w:r></w:p></w:tc><w:tc><w:tcPr><w:tcW w:type="dxa" w:w="224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9"/><w:szCs w:val="19"/></w:rPr><w:t xml:space="preserve">10.3%</w:t></w:r></w:p></w:tc><w:tc><w:tcPr><w:tcW w:type="dxa" w:w="224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19"/><w:szCs w:val="19"/></w:rPr><w:t xml:space="preserve">15.7%</w:t></w:r></w:p></w:tc><w:tc><w:tcPr><w:tcW w:type="dxa" w:w="22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AALTCI</w:t></w:r></w:p></w:tc></w:tr><w:tr><w:tc><w:tcPr><w:tcW w:type="dxa" w:w="3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color w:val="1A1A1A"/><w:sz w:val="18"/><w:szCs w:val="18"/></w:rPr><w:t xml:space="preserve">Will need paid LTC — 5+ years</w:t></w:r></w:p></w:tc><w:tc><w:tcPr><w:tcW w:type="dxa" w:w="224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9"/><w:szCs w:val="19"/></w:rPr><w:t xml:space="preserve">4.9%</w:t></w:r></w:p></w:tc><w:tc><w:tcPr><w:tcW w:type="dxa" w:w="224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19"/><w:szCs w:val="19"/></w:rPr><w:t xml:space="preserve">9.5%</w:t></w:r></w:p></w:tc><w:tc><w:tcPr><w:tcW w:type="dxa" w:w="22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AALTCI</w:t></w:r></w:p></w:tc></w:tr><w:tr><w:tc><w:tcPr><w:tcW w:type="dxa" w:w="3400"/><w:tcBorders><w:top w:val="single" w:color="D0D0D0" w:sz="1"/><w:left w:val="single" w:color="D0D0D0" w:sz="1"/><w:bottom w:val="single" w:color="D0D0D0" w:sz="1"/><w:right w:val="single" w:color="D0D0D0" w:sz="1"/></w:tcBorders><w:shd w:fill="F7F7F7" w:val="clear"/><w:tcMar><w:top w:type="dxa" w:w="100"/><w:left w:type="dxa" w:w="160"/><w:bottom w:type="dxa" w:w="100"/><w:right w:type="dxa" w:w="160"/></w:tcMar></w:tcPr><w:p><w:r><w:rPr><w:rFonts w:ascii="Arial" w:cs="Arial" w:eastAsia="Arial" w:hAnsi="Arial"/><w:color w:val="1A1A1A"/><w:sz w:val="18"/><w:szCs w:val="18"/></w:rPr><w:t xml:space="preserve">Probability of nursing home entry (all)</w:t></w:r></w:p></w:tc><w:tc><w:tcPr><w:tcW w:type="dxa" w:w="2240"/><w:tcBorders><w:top w:val="single" w:color="D0D0D0" w:sz="1"/><w:left w:val="single" w:color="D0D0D0" w:sz="1"/><w:bottom w:val="single" w:color="D0D0D0" w:sz="1"/><w:right w:val="single" w:color="D0D0D0" w:sz="1"/></w:tcBorders><w:shd w:fill="EEF4FB" w:val="clear"/><w:tcMar><w:top w:type="dxa" w:w="100"/><w:left w:type="dxa" w:w="160"/><w:bottom w:type="dxa" w:w="100"/><w:right w:type="dxa" w:w="160"/></w:tcMar></w:tcPr><w:p><w:r><w:rPr><w:rFonts w:ascii="Arial" w:cs="Arial" w:eastAsia="Arial" w:hAnsi="Arial"/><w:b/><w:bCs/><w:color w:val="1A4A80"/><w:sz w:val="19"/><w:szCs w:val="19"/></w:rPr><w:t xml:space="preserve">~35% (all)</w:t></w:r></w:p></w:tc><w:tc><w:tcPr><w:tcW w:type="dxa" w:w="2240"/><w:tcBorders><w:top w:val="single" w:color="D0D0D0" w:sz="1"/><w:left w:val="single" w:color="D0D0D0" w:sz="1"/><w:bottom w:val="single" w:color="D0D0D0" w:sz="1"/><w:right w:val="single" w:color="D0D0D0" w:sz="1"/></w:tcBorders><w:shd w:fill="F5F0FC" w:val="clear"/><w:tcMar><w:top w:type="dxa" w:w="100"/><w:left w:type="dxa" w:w="160"/><w:bottom w:type="dxa" w:w="100"/><w:right w:type="dxa" w:w="160"/></w:tcMar></w:tcPr><w:p><w:r><w:rPr><w:rFonts w:ascii="Arial" w:cs="Arial" w:eastAsia="Arial" w:hAnsi="Arial"/><w:b/><w:bCs/><w:color w:val="4A1A7A"/><w:sz w:val="19"/><w:szCs w:val="19"/></w:rPr><w:t xml:space="preserve">—</w:t></w:r></w:p></w:tc><w:tc><w:tcPr><w:tcW w:type="dxa" w:w="2200"/><w:tcBorders><w:top w:val="single" w:color="D0D0D0" w:sz="1"/><w:left w:val="single" w:color="D0D0D0" w:sz="1"/><w:bottom w:val="single" w:color="D0D0D0" w:sz="1"/><w:right w:val="single" w:color="D0D0D0" w:sz="1"/></w:tcBorders><w:shd w:fill="FFFFFF" w:val="clear"/><w:tcMar><w:top w:type="dxa" w:w="100"/><w:left w:type="dxa" w:w="160"/><w:bottom w:type="dxa" w:w="100"/><w:right w:type="dxa" w:w="160"/></w:tcMar></w:tcPr><w:p><w:r><w:rPr><w:rFonts w:ascii="Arial" w:cs="Arial" w:eastAsia="Arial" w:hAnsi="Arial"/><w:i/><w:iCs/><w:color w:val="666666"/><w:sz w:val="17"/><w:szCs w:val="17"/></w:rPr><w:t xml:space="preserve">PMC Research</w:t></w:r></w:p></w:tc></w:tr></w:tbl><w:p><w:r><w:br w:type="page"/></w:r></w:p><w:p><w:pPr><w:pBdr><w:bottom w:val="single" w:color="8B0000" w:sz="8" w:space="1"/></w:pBdr><w:spacing w:after="60" w:before="360"/></w:pPr><w:r><w:rPr><w:rFonts w:ascii="Arial" w:cs="Arial" w:eastAsia="Arial" w:hAnsi="Arial"/><w:b/><w:bCs/><w:color w:val="8B0000"/><w:sz w:val="17"/><w:szCs w:val="17"/></w:rPr><w:t xml:space="preserve">SECTION 7 — HOMEWORK &amp; NEXT STEPS</w:t></w:r></w:p><w:p><w:pPr><w:spacing w:after="80" w:before="0"/></w:pPr><w:r><w:t xml:space="preserve"></w:t></w:r></w:p><w:p><w:pPr><w:spacing w:after="80" w:before="0"/></w:pPr><w:r><w:rPr><w:rFonts w:ascii="Arial" w:cs="Arial" w:eastAsia="Arial" w:hAnsi="Arial"/><w:color w:val="444444"/><w:sz w:val="20"/><w:szCs w:val="20"/></w:rPr><w:t xml:space="preserve">These are the actions that move your plan from a conversation to a reality. Complete what you can before the next meeting. Nothing here requires a financial decision — just information gathering.</w:t></w:r></w:p><w:p><w:pPr><w:spacing w:after="200" w:before="0"/></w:pPr><w:r><w:t xml:space="preserve"></w:t></w:r></w:p><w:p><w:pPr><w:pStyle w:val="Heading3"/><w:spacing w:after="100" w:before="320"/></w:pPr><w:r><w:rPr><w:rFonts w:ascii="Arial" w:cs="Arial" w:eastAsia="Arial" w:hAnsi="Arial"/></w:rPr><w:t xml:space="preserve">Before Our Next Meeting</w:t></w:r></w:p><w:p><w:pPr><w:spacing w:after="40" w:before="0"/></w:pPr><w:r><w:rPr><w:rFonts w:ascii="Arial" w:cs="Arial" w:eastAsia="Arial" w:hAnsi="Arial"/><w:color w:val="8B0000"/><w:sz w:val="20"/><w:szCs w:val="20"/></w:rPr><w:t xml:space="preserve">☐  </w:t></w:r><w:r><w:rPr><w:rFonts w:ascii="Arial" w:cs="Arial" w:eastAsia="Arial" w:hAnsi="Arial"/><w:b/><w:bCs/><w:color w:val="1A1A1A"/><w:sz w:val="20"/><w:szCs w:val="20"/></w:rPr><w:t xml:space="preserve">Pull together your asset list.</w:t></w:r></w:p><w:p><w:pPr><w:spacing w:after="100" w:before="0"/></w:pPr><w:r><w:rPr><w:rFonts w:ascii="Arial" w:cs="Arial" w:eastAsia="Arial" w:hAnsi="Arial"/><w:i/><w:iCs/><w:color w:val="666666"/><w:sz w:val="18"/><w:szCs w:val="18"/></w:rPr><w:t xml:space="preserve">     List all accounts (401k, IRA, savings, brokerage), home value, and any pension or SS estimates. A rough number is fine — we can refine it together.</w:t></w:r></w:p><w:p><w:pPr><w:spacing w:after="40" w:before="0"/></w:pPr><w:r><w:rPr><w:rFonts w:ascii="Arial" w:cs="Arial" w:eastAsia="Arial" w:hAnsi="Arial"/><w:color w:val="8B0000"/><w:sz w:val="20"/><w:szCs w:val="20"/></w:rPr><w:t xml:space="preserve">☐  </w:t></w:r><w:r><w:rPr><w:rFonts w:ascii="Arial" w:cs="Arial" w:eastAsia="Arial" w:hAnsi="Arial"/><w:b/><w:bCs/><w:color w:val="1A1A1A"/><w:sz w:val="20"/><w:szCs w:val="20"/></w:rPr><w:t xml:space="preserve">Get a Social Security estimate.</w:t></w:r></w:p><w:p><w:pPr><w:spacing w:after="100" w:before="0"/></w:pPr><w:r><w:rPr><w:rFonts w:ascii="Arial" w:cs="Arial" w:eastAsia="Arial" w:hAnsi="Arial"/><w:i/><w:iCs/><w:color w:val="666666"/><w:sz w:val="18"/><w:szCs w:val="18"/></w:rPr><w:t xml:space="preserve">     Visit ssa.gov/myaccount or call SSA. Note your benefit at 62, 67, and 70. This anchors our longevity income conversation.</w:t></w:r></w:p><w:p><w:pPr><w:spacing w:after="40" w:before="0"/></w:pPr><w:r><w:rPr><w:rFonts w:ascii="Arial" w:cs="Arial" w:eastAsia="Arial" w:hAnsi="Arial"/><w:color w:val="8B0000"/><w:sz w:val="20"/><w:szCs w:val="20"/></w:rPr><w:t xml:space="preserve">☐  </w:t></w:r><w:r><w:rPr><w:rFonts w:ascii="Arial" w:cs="Arial" w:eastAsia="Arial" w:hAnsi="Arial"/><w:b/><w:bCs/><w:color w:val="1A1A1A"/><w:sz w:val="20"/><w:szCs w:val="20"/></w:rPr><w:t xml:space="preserve">Call your mortgage company or Zillow your home.</w:t></w:r></w:p><w:p><w:pPr><w:spacing w:after="100" w:before="0"/></w:pPr><w:r><w:rPr><w:rFonts w:ascii="Arial" w:cs="Arial" w:eastAsia="Arial" w:hAnsi="Arial"/><w:i/><w:iCs/><w:color w:val="666666"/><w:sz w:val="18"/><w:szCs w:val="18"/></w:rPr><w:t xml:space="preserve">     We need an estimated current value and any mortgage balance. This determines HECM eligibility.</w:t></w:r></w:p><w:p><w:pPr><w:spacing w:after="40" w:before="0"/></w:pPr><w:r><w:rPr><w:rFonts w:ascii="Arial" w:cs="Arial" w:eastAsia="Arial" w:hAnsi="Arial"/><w:color w:val="8B0000"/><w:sz w:val="20"/><w:szCs w:val="20"/></w:rPr><w:t xml:space="preserve">☐  </w:t></w:r><w:r><w:rPr><w:rFonts w:ascii="Arial" w:cs="Arial" w:eastAsia="Arial" w:hAnsi="Arial"/><w:b/><w:bCs/><w:color w:val="1A1A1A"/><w:sz w:val="20"/><w:szCs w:val="20"/></w:rPr><w:t xml:space="preserve">Locate your most recent 401k / IRA statement.</w:t></w:r></w:p><w:p><w:pPr><w:spacing w:after="100" w:before="0"/></w:pPr><w:r><w:rPr><w:rFonts w:ascii="Arial" w:cs="Arial" w:eastAsia="Arial" w:hAnsi="Arial"/><w:i/><w:iCs/><w:color w:val="666666"/><w:sz w:val="18"/><w:szCs w:val="18"/></w:rPr><w:t xml:space="preserve">     We need the balance and the account type (pre-tax or Roth) to model RMD projections.</w:t></w:r></w:p><w:p><w:pPr><w:spacing w:after="40" w:before="0"/></w:pPr><w:r><w:rPr><w:rFonts w:ascii="Arial" w:cs="Arial" w:eastAsia="Arial" w:hAnsi="Arial"/><w:color w:val="8B0000"/><w:sz w:val="20"/><w:szCs w:val="20"/></w:rPr><w:t xml:space="preserve">☐  </w:t></w:r><w:r><w:rPr><w:rFonts w:ascii="Arial" w:cs="Arial" w:eastAsia="Arial" w:hAnsi="Arial"/><w:b/><w:bCs/><w:color w:val="1A1A1A"/><w:sz w:val="20"/><w:szCs w:val="20"/></w:rPr><w:t xml:space="preserve">Note your current monthly expenses.</w:t></w:r></w:p><w:p><w:pPr><w:spacing w:after="100" w:before="0"/></w:pPr><w:r><w:rPr><w:rFonts w:ascii="Arial" w:cs="Arial" w:eastAsia="Arial" w:hAnsi="Arial"/><w:i/><w:iCs/><w:color w:val="666666"/><w:sz w:val="18"/><w:szCs w:val="18"/></w:rPr><w:t xml:space="preserve">     Fixed (mortgage, utilities, insurance) and variable (food, travel, lifestyle). Don’t overthink it — a ballpark is enough.</w:t></w:r></w:p><w:p><w:pPr><w:spacing w:after="40" w:before="0"/></w:pPr><w:r><w:rPr><w:rFonts w:ascii="Arial" w:cs="Arial" w:eastAsia="Arial" w:hAnsi="Arial"/><w:color w:val="8B0000"/><w:sz w:val="20"/><w:szCs w:val="20"/></w:rPr><w:t xml:space="preserve">☐  </w:t></w:r><w:r><w:rPr><w:rFonts w:ascii="Arial" w:cs="Arial" w:eastAsia="Arial" w:hAnsi="Arial"/><w:b/><w:bCs/><w:color w:val="1A1A1A"/><w:sz w:val="20"/><w:szCs w:val="20"/></w:rPr><w:t xml:space="preserve">Think about your health picture honestly.</w:t></w:r></w:p><w:p><w:pPr><w:spacing w:after="100" w:before="0"/></w:pPr><w:r><w:rPr><w:rFonts w:ascii="Arial" w:cs="Arial" w:eastAsia="Arial" w:hAnsi="Arial"/><w:i/><w:iCs/><w:color w:val="666666"/><w:sz w:val="18"/><w:szCs w:val="18"/></w:rPr><w:t xml:space="preserve">     Any conditions that might affect life insurance underwriting? Any family history of dementia or extended LTC need?</w:t></w:r></w:p><w:p><w:pPr><w:spacing w:after="280" w:before="0"/></w:pPr><w:r><w:t xml:space="preserve"></w:t></w:r></w:p><w:p><w:pPr><w:pStyle w:val="Heading3"/><w:spacing w:after="100" w:before="320"/></w:pPr><w:r><w:rPr><w:rFonts w:ascii="Arial" w:cs="Arial" w:eastAsia="Arial" w:hAnsi="Arial"/></w:rPr><w:t xml:space="preserve">Questions to Sit With</w:t></w:r></w:p><w:p><w:pPr><w:spacing w:after="80" w:before="0"/></w:pPr><w:r><w:rPr><w:rFonts w:ascii="Arial" w:cs="Arial" w:eastAsia="Arial" w:hAnsi="Arial"/><w:b/><w:bCs/><w:color w:val="444444"/><w:sz w:val="20"/><w:szCs w:val="20"/></w:rPr><w:t xml:space="preserve">1. </w:t></w:r><w:r><w:rPr><w:rFonts w:ascii="Arial" w:cs="Arial" w:eastAsia="Arial" w:hAnsi="Arial"/><w:color w:val="444444"/><w:sz w:val="20"/><w:szCs w:val="20"/></w:rPr><w:t xml:space="preserve">If one of the 6 risks hit tomorrow, which one would hurt the most? Which one do you currently have the least protection against?</w:t></w:r></w:p><w:p><w:pPr><w:spacing w:after="80" w:before="0"/></w:pPr><w:r><w:t xml:space="preserve"></w:t></w:r></w:p><w:p><w:pPr><w:spacing w:after="80" w:before="0"/></w:pPr><w:r><w:rPr><w:rFonts w:ascii="Arial" w:cs="Arial" w:eastAsia="Arial" w:hAnsi="Arial"/><w:b/><w:bCs/><w:color w:val="444444"/><w:sz w:val="20"/><w:szCs w:val="20"/></w:rPr><w:t xml:space="preserve">2. </w:t></w:r><w:r><w:rPr><w:rFonts w:ascii="Arial" w:cs="Arial" w:eastAsia="Arial" w:hAnsi="Arial"/><w:color w:val="444444"/><w:sz w:val="20"/><w:szCs w:val="20"/></w:rPr><w:t xml:space="preserve">If you had to pick one: would you rather have more money or more certainty? Your answer shapes which tools belong in your plan.</w:t></w:r></w:p><w:p><w:pPr><w:spacing w:after="80" w:before="0"/></w:pPr><w:r><w:t xml:space="preserve"></w:t></w:r></w:p><w:p><w:pPr><w:spacing w:after="80" w:before="0"/></w:pPr><w:r><w:rPr><w:rFonts w:ascii="Arial" w:cs="Arial" w:eastAsia="Arial" w:hAnsi="Arial"/><w:b/><w:bCs/><w:color w:val="444444"/><w:sz w:val="20"/><w:szCs w:val="20"/></w:rPr><w:t xml:space="preserve">3. </w:t></w:r><w:r><w:rPr><w:rFonts w:ascii="Arial" w:cs="Arial" w:eastAsia="Arial" w:hAnsi="Arial"/><w:color w:val="444444"/><w:sz w:val="20"/><w:szCs w:val="20"/></w:rPr><w:t xml:space="preserve">Is there a specific dollar amount, asset, or outcome that matters to you from a legacy perspective? Who should receive it, and under what conditions?</w:t></w:r></w:p><w:p><w:pPr><w:spacing w:after="80" w:before="0"/></w:pPr><w:r><w:t xml:space="preserve"></w:t></w:r></w:p><w:p><w:pPr><w:spacing w:after="80" w:before="0"/></w:pPr><w:r><w:rPr><w:rFonts w:ascii="Arial" w:cs="Arial" w:eastAsia="Arial" w:hAnsi="Arial"/><w:b/><w:bCs/><w:color w:val="444444"/><w:sz w:val="20"/><w:szCs w:val="20"/></w:rPr><w:t xml:space="preserve">4. </w:t></w:r><w:r><w:rPr><w:rFonts w:ascii="Arial" w:cs="Arial" w:eastAsia="Arial" w:hAnsi="Arial"/><w:color w:val="444444"/><w:sz w:val="20"/><w:szCs w:val="20"/></w:rPr><w:t xml:space="preserve">On a scale of 1–10, how worried are you about running out of money? About taxes? About a health event? Your answers help us prioritize which step comes first.</w:t></w:r></w:p><w:p><w:pPr><w:spacing w:after="320" w:before="0"/></w:pPr><w:r><w:t xml:space="preserv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0080"/></w:tblGrid><w:tr><w:tc><w:tcPr><w:tcBorders><w:top w:val="none" w:color="FFFFFF" w:sz="0"/><w:left w:val="none" w:color="FFFFFF" w:sz="0"/><w:bottom w:val="none" w:color="FFFFFF" w:sz="0"/><w:right w:val="none" w:color="FFFFFF" w:sz="0"/></w:tcBorders><w:shd w:fill="1A1A1A" w:val="clear"/><w:tcMar><w:top w:type="dxa" w:w="280"/><w:left w:type="dxa" w:w="400"/><w:bottom w:type="dxa" w:w="280"/><w:right w:type="dxa" w:w="400"/></w:tcMar></w:tcPr><w:p><w:pPr><w:spacing w:after="80" w:before="0"/><w:jc w:val="center"/></w:pPr><w:r><w:rPr><w:rFonts w:ascii="Arial" w:cs="Arial" w:eastAsia="Arial" w:hAnsi="Arial"/><w:i/><w:iCs/><w:color w:val="B0B0B0"/><w:sz w:val="22"/><w:szCs w:val="22"/></w:rPr><w:t xml:space="preserve">“The goal is not a perfect plan.</w:t></w:r></w:p><w:p><w:pPr><w:spacing w:after="120" w:before="0"/><w:jc w:val="center"/></w:pPr><w:r><w:rPr><w:rFonts w:ascii="Arial" w:cs="Arial" w:eastAsia="Arial" w:hAnsi="Arial"/><w:b/><w:bCs/><w:color w:val="FFFFFF"/><w:sz w:val="24"/><w:szCs w:val="24"/></w:rPr><w:t xml:space="preserve">The goal is a plan that doesn’t fail when you need it most.”</w:t></w:r></w:p><w:p><w:pPr><w:spacing w:after="0" w:before="0"/><w:jc w:val="center"/></w:pPr><w:r><w:rPr><w:rFonts w:ascii="Arial" w:cs="Arial" w:eastAsia="Arial" w:hAnsi="Arial"/><w:color w:val="888888"/><w:sz w:val="18"/><w:szCs w:val="18"/></w:rPr><w:t xml:space="preserve">— JCS Agency · Withstand &amp; Recover From Life™</w:t></w:r></w:p></w:tc></w:tr></w:tbl><w:sectPr><w:headerReference w:type="default" r:id="rId7"/><w:footerReference w:type="default" r:id="rId8"/><w:pgSz w:w="12240" w:h="15840" w:orient="portrait"/><w:pgMar w:top="720" w:right="1080" w:bottom="9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spacing w:before="80"/>
      <w:jc w:val="center"/>
    </w:pPr>
    <w:r>
      <w:rPr>
        <w:rFonts w:ascii="Arial" w:cs="Arial" w:eastAsia="Arial" w:hAnsi="Arial"/>
        <w:color w:val="B0B0B0"/>
        <w:sz w:val="15"/>
        <w:szCs w:val="15"/>
      </w:rPr>
      <w:t xml:space="preserve">Agent Jeremiah Stephen  |  360-695-4408  |  4800 NW Camas Meadows Dr. #210, Camas WA 98607  |  For discussion purposes only. Not financial, tax, or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FFFFFF"/>
              <w:sz w:val="20"/>
              <w:szCs w:val="20"/>
            </w:rPr>
            <w:t xml:space="preserve">JCS AGENCY</w:t>
          </w:r>
          <w:r>
            <w:rPr>
              <w:rFonts w:ascii="Arial" w:cs="Arial" w:eastAsia="Arial" w:hAnsi="Arial"/>
              <w:color w:val="B0B0B0"/>
              <w:sz w:val="17"/>
              <w:szCs w:val="17"/>
            </w:rPr>
            <w:t xml:space="preserve">   |   RETIREMENT RISK &amp; SOLUTION FRAMEWORK</w:t>
          </w:r>
          <w:r>
            <w:rPr>
              <w:rFonts w:ascii="Arial" w:cs="Arial" w:eastAsia="Arial" w:hAnsi="Arial"/>
              <w:color w:val="666666"/>
              <w:sz w:val="15"/>
              <w:szCs w:val="15"/>
            </w:rPr>
            <w:t xml:space="preserve">   |   WITHSTAND &amp; RECOVER FROM LIFE™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B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2026-05-08T04:04:56.354Z</dcterms:created>
  <dcterms:modified xsi:type="dcterms:W3CDTF">2026-05-08T04:04:56.376Z</dcterms:modified>
</cp:coreProperties>
</file>

<file path=docProps/custom.xml><?xml version="1.0" encoding="utf-8"?>
<Properties xmlns="http://schemas.openxmlformats.org/officeDocument/2006/custom-properties" xmlns:vt="http://schemas.openxmlformats.org/officeDocument/2006/docPropsVTypes"/>
</file>