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8B0000" w:val="clear"/>
            <w:tcMar>
              <w:top w:type="dxa" w:w="300"/>
              <w:left w:type="dxa" w:w="320"/>
              <w:bottom w:type="dxa" w:w="280"/>
              <w:right w:type="dxa" w:w="320"/>
            </w:tcMar>
          </w:tcPr>
          <w:p>
            <w:pPr>
              <w:spacing w:after="100" w:before="0"/>
            </w:pPr>
            <w:r>
              <w:rPr>
                <w:rFonts w:ascii="Arial" w:cs="Arial" w:eastAsia="Arial" w:hAnsi="Arial"/>
                <w:b/>
                <w:bCs/>
                <w:color w:val="FFFFFF"/>
                <w:sz w:val="52"/>
                <w:szCs w:val="52"/>
              </w:rPr>
              <w:t xml:space="preserve">HELOC vs. HECM Line of Credit</w:t>
            </w:r>
          </w:p>
          <w:p>
            <w:pPr>
              <w:spacing w:after="0" w:before="0"/>
            </w:pPr>
            <w:r>
              <w:rPr>
                <w:rFonts w:ascii="Arial" w:cs="Arial" w:eastAsia="Arial" w:hAnsi="Arial"/>
                <w:i/>
                <w:iCs/>
                <w:color w:val="FFCCCC"/>
                <w:sz w:val="20"/>
                <w:szCs w:val="20"/>
              </w:rPr>
              <w:t xml:space="preserve">A feature-by-feature comparison — same asset, fundamentally different protections</w:t>
            </w:r>
          </w:p>
        </w:tc>
      </w:tr>
    </w:tbl>
    <w:p>
      <w:pPr>
        <w:spacing w:after="320" w:before="0"/>
      </w:pPr>
      <w:r>
        <w:t xml:space="preserve"/>
      </w:r>
    </w:p>
    <w:p>
      <w:pPr>
        <w:spacing w:after="60" w:before="280"/>
      </w:pPr>
      <w:r>
        <w:rPr>
          <w:rFonts w:ascii="Arial" w:cs="Arial" w:eastAsia="Arial" w:hAnsi="Arial"/>
          <w:b/>
          <w:bCs/>
          <w:color w:val="8B0000"/>
          <w:sz w:val="18"/>
          <w:szCs w:val="18"/>
        </w:rPr>
        <w:t xml:space="preserve">SECTION 1 — HEAD-TO-HEAD FEATURES</w:t>
      </w:r>
    </w:p>
    <w:p>
      <w:pPr>
        <w:pBdr>
          <w:bottom w:val="single" w:color="8B0000" w:sz="12" w:space="1"/>
        </w:pBdr>
        <w:spacing w:after="100" w:before="0"/>
      </w:pPr>
      <w:r>
        <w:t xml:space="preserve"/>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40"/>
        <w:gridCol w:w="4440"/>
      </w:tblGrid>
      <w:tr>
        <w:trPr>
          <w:tblHeader/>
        </w:trPr>
        <w:tc>
          <w:tcPr>
            <w:tcW w:type="dxa" w:w="4440"/>
            <w:tcBorders>
              <w:top w:val="none" w:color="FFFFFF" w:sz="0"/>
              <w:left w:val="none" w:color="FFFFFF" w:sz="0"/>
              <w:bottom w:val="none" w:color="FFFFFF" w:sz="0"/>
              <w:right w:val="none" w:color="FFFFFF" w:sz="0"/>
            </w:tcBorders>
            <w:shd w:fill="CC2222" w:val="clear"/>
            <w:tcMar>
              <w:top w:type="dxa" w:w="100"/>
              <w:left w:type="dxa" w:w="160"/>
              <w:bottom w:type="dxa" w:w="100"/>
              <w:right w:type="dxa" w:w="160"/>
            </w:tcMar>
            <w:vAlign w:val="center"/>
          </w:tcPr>
          <w:p>
            <w:pPr>
              <w:spacing w:after="40" w:before="0"/>
            </w:pPr>
            <w:r>
              <w:rPr>
                <w:rFonts w:ascii="Arial" w:cs="Arial" w:eastAsia="Arial" w:hAnsi="Arial"/>
                <w:b/>
                <w:bCs/>
                <w:color w:val="FFFFFF"/>
                <w:sz w:val="22"/>
                <w:szCs w:val="22"/>
              </w:rPr>
              <w:t xml:space="preserve">HELOC</w:t>
            </w:r>
          </w:p>
          <w:p>
            <w:pPr>
              <w:spacing w:after="0" w:before="0"/>
            </w:pPr>
            <w:r>
              <w:rPr>
                <w:rFonts w:ascii="Arial" w:cs="Arial" w:eastAsia="Arial" w:hAnsi="Arial"/>
                <w:i/>
                <w:iCs/>
                <w:color w:val="AAAAAA"/>
                <w:sz w:val="17"/>
                <w:szCs w:val="17"/>
              </w:rPr>
              <w:t xml:space="preserve">Home Equity Line of Credit</w:t>
            </w:r>
          </w:p>
        </w:tc>
        <w:tc>
          <w:tcPr>
            <w:tcW w:type="dxa" w:w="4440"/>
            <w:tcBorders>
              <w:top w:val="none" w:color="FFFFFF" w:sz="0"/>
              <w:left w:val="none" w:color="FFFFFF" w:sz="0"/>
              <w:bottom w:val="none" w:color="FFFFFF" w:sz="0"/>
              <w:right w:val="none" w:color="FFFFFF" w:sz="0"/>
            </w:tcBorders>
            <w:shd w:fill="1A6B3A" w:val="clear"/>
            <w:tcMar>
              <w:top w:type="dxa" w:w="100"/>
              <w:left w:type="dxa" w:w="160"/>
              <w:bottom w:type="dxa" w:w="100"/>
              <w:right w:type="dxa" w:w="160"/>
            </w:tcMar>
            <w:vAlign w:val="center"/>
          </w:tcPr>
          <w:p>
            <w:pPr>
              <w:spacing w:after="40" w:before="0"/>
            </w:pPr>
            <w:r>
              <w:rPr>
                <w:rFonts w:ascii="Arial" w:cs="Arial" w:eastAsia="Arial" w:hAnsi="Arial"/>
                <w:b/>
                <w:bCs/>
                <w:color w:val="FFFFFF"/>
                <w:sz w:val="22"/>
                <w:szCs w:val="22"/>
              </w:rPr>
              <w:t xml:space="preserve">HECM LOC</w:t>
            </w:r>
          </w:p>
          <w:p>
            <w:pPr>
              <w:spacing w:after="0" w:before="0"/>
            </w:pPr>
            <w:r>
              <w:rPr>
                <w:rFonts w:ascii="Arial" w:cs="Arial" w:eastAsia="Arial" w:hAnsi="Arial"/>
                <w:i/>
                <w:iCs/>
                <w:color w:val="AAAAAA"/>
                <w:sz w:val="17"/>
                <w:szCs w:val="17"/>
              </w:rPr>
              <w:t xml:space="preserve">Reverse Mortgage Line of Credit</w:t>
            </w:r>
          </w:p>
        </w:tc>
      </w:tr>
      <w:tr>
        <w:tc>
          <w:tcPr>
            <w:tcW w:type="dxa" w:w="9360"/>
            <w:gridSpan w:val="2"/>
            <w:tcBorders>
              <w:top w:val="none" w:color="FFFFFF" w:sz="0"/>
              <w:left w:val="none" w:color="FFFFFF" w:sz="0"/>
              <w:bottom w:val="none" w:color="FFFFFF" w:sz="0"/>
              <w:right w:val="none" w:color="FFFFFF" w:sz="0"/>
            </w:tcBorders>
            <w:shd w:fill="2A2A2A" w:val="clear"/>
            <w:tcMar>
              <w:top w:type="dxa" w:w="80"/>
              <w:left w:type="dxa" w:w="160"/>
              <w:bottom w:type="dxa" w:w="80"/>
              <w:right w:type="dxa" w:w="160"/>
            </w:tcMar>
          </w:tcPr>
          <w:p>
            <w:r>
              <w:rPr>
                <w:rFonts w:ascii="Arial" w:cs="Arial" w:eastAsia="Arial" w:hAnsi="Arial"/>
                <w:b/>
                <w:bCs/>
                <w:color w:val="AAAAAA"/>
                <w:sz w:val="17"/>
                <w:szCs w:val="17"/>
              </w:rPr>
              <w:t xml:space="preserve">QUALIFICATION &amp; ACCESS</w:t>
            </w:r>
          </w:p>
        </w:tc>
      </w:tr>
      <w:tr>
        <w:tc>
          <w:tcPr>
            <w:tcW w:type="dxa" w:w="4440"/>
            <w:tcBorders>
              <w:top w:val="single" w:color="D4A0A0" w:sz="1"/>
              <w:left w:val="single" w:color="D4A0A0" w:sz="1"/>
              <w:bottom w:val="single" w:color="D4A0A0" w:sz="1"/>
              <w:right w:val="single" w:color="D4A0A0" w:sz="1"/>
            </w:tcBorders>
            <w:shd w:fill="FCF0F0" w:val="clear"/>
            <w:tcMar>
              <w:top w:type="dxa" w:w="100"/>
              <w:left w:type="dxa" w:w="160"/>
              <w:bottom w:type="dxa" w:w="100"/>
              <w:right w:type="dxa" w:w="160"/>
            </w:tcMar>
          </w:tcPr>
          <w:p>
            <w:pPr>
              <w:spacing w:after="40" w:before="0"/>
            </w:pPr>
            <w:r>
              <w:rPr>
                <w:rFonts w:ascii="Arial" w:cs="Arial" w:eastAsia="Arial" w:hAnsi="Arial"/>
                <w:b/>
                <w:bCs/>
                <w:color w:val="993333"/>
                <w:sz w:val="19"/>
                <w:szCs w:val="19"/>
              </w:rPr>
              <w:t xml:space="preserve">Income qualification required</w:t>
            </w:r>
          </w:p>
          <w:p>
            <w:pPr>
              <w:spacing w:after="0" w:before="0"/>
            </w:pPr>
            <w:r>
              <w:rPr>
                <w:rFonts w:ascii="Arial" w:cs="Arial" w:eastAsia="Arial" w:hAnsi="Arial"/>
                <w:color w:val="666666"/>
                <w:sz w:val="18"/>
                <w:szCs w:val="18"/>
              </w:rPr>
              <w:t xml:space="preserve">Bank requires W-2 or verifiable income, credit check, and debt-to-income ratio at origination — and sometimes at renewal. A retiree with reduced income may not qualify.</w:t>
            </w:r>
          </w:p>
        </w:tc>
        <w:tc>
          <w:tcPr>
            <w:tcW w:type="dxa" w:w="4440"/>
            <w:tcBorders>
              <w:top w:val="single" w:color="9FC9AF" w:sz="1"/>
              <w:left w:val="single" w:color="9FC9AF" w:sz="1"/>
              <w:bottom w:val="single" w:color="9FC9AF" w:sz="1"/>
              <w:right w:val="single" w:color="9FC9AF" w:sz="1"/>
            </w:tcBorders>
            <w:shd w:fill="F0F7F2" w:val="clear"/>
            <w:tcMar>
              <w:top w:type="dxa" w:w="100"/>
              <w:left w:type="dxa" w:w="160"/>
              <w:bottom w:type="dxa" w:w="100"/>
              <w:right w:type="dxa" w:w="160"/>
            </w:tcMar>
          </w:tcPr>
          <w:p>
            <w:pPr>
              <w:spacing w:after="40" w:before="0"/>
            </w:pPr>
            <w:r>
              <w:rPr>
                <w:rFonts w:ascii="Arial" w:cs="Arial" w:eastAsia="Arial" w:hAnsi="Arial"/>
                <w:b/>
                <w:bCs/>
                <w:color w:val="1A6B3A"/>
                <w:sz w:val="19"/>
                <w:szCs w:val="19"/>
              </w:rPr>
              <w:t xml:space="preserve">No income qualification</w:t>
            </w:r>
          </w:p>
          <w:p>
            <w:pPr>
              <w:spacing w:after="0" w:before="0"/>
            </w:pPr>
            <w:r>
              <w:rPr>
                <w:rFonts w:ascii="Arial" w:cs="Arial" w:eastAsia="Arial" w:hAnsi="Arial"/>
                <w:color w:val="666666"/>
                <w:sz w:val="18"/>
                <w:szCs w:val="18"/>
              </w:rPr>
              <w:t xml:space="preserve">Eligibility based on age (62+), home equity, and occupancy. A disabled borrower or retiree with no W-2 still qualifies. The HELOC closes when you need it most; the HECM opens.</w:t>
            </w:r>
          </w:p>
        </w:tc>
      </w:tr>
      <w:tr>
        <w:tc>
          <w:tcPr>
            <w:tcW w:type="dxa" w:w="9360"/>
            <w:gridSpan w:val="2"/>
            <w:tcBorders>
              <w:top w:val="none" w:color="FFFFFF" w:sz="0"/>
              <w:left w:val="none" w:color="FFFFFF" w:sz="0"/>
              <w:bottom w:val="none" w:color="FFFFFF" w:sz="0"/>
              <w:right w:val="none" w:color="FFFFFF" w:sz="0"/>
            </w:tcBorders>
            <w:shd w:fill="2A2A2A" w:val="clear"/>
            <w:tcMar>
              <w:top w:type="dxa" w:w="80"/>
              <w:left w:type="dxa" w:w="160"/>
              <w:bottom w:type="dxa" w:w="80"/>
              <w:right w:type="dxa" w:w="160"/>
            </w:tcMar>
          </w:tcPr>
          <w:p>
            <w:r>
              <w:rPr>
                <w:rFonts w:ascii="Arial" w:cs="Arial" w:eastAsia="Arial" w:hAnsi="Arial"/>
                <w:b/>
                <w:bCs/>
                <w:color w:val="AAAAAA"/>
                <w:sz w:val="17"/>
                <w:szCs w:val="17"/>
              </w:rPr>
              <w:t xml:space="preserve">PAYMENT REQUIREMENTS</w:t>
            </w:r>
          </w:p>
        </w:tc>
      </w:tr>
      <w:tr>
        <w:tc>
          <w:tcPr>
            <w:tcW w:type="dxa" w:w="4440"/>
            <w:tcBorders>
              <w:top w:val="single" w:color="D4A0A0" w:sz="1"/>
              <w:left w:val="single" w:color="D4A0A0" w:sz="1"/>
              <w:bottom w:val="single" w:color="D4A0A0" w:sz="1"/>
              <w:right w:val="single" w:color="D4A0A0" w:sz="1"/>
            </w:tcBorders>
            <w:shd w:fill="FCF0F0" w:val="clear"/>
            <w:tcMar>
              <w:top w:type="dxa" w:w="100"/>
              <w:left w:type="dxa" w:w="160"/>
              <w:bottom w:type="dxa" w:w="100"/>
              <w:right w:type="dxa" w:w="160"/>
            </w:tcMar>
          </w:tcPr>
          <w:p>
            <w:pPr>
              <w:spacing w:after="40" w:before="0"/>
            </w:pPr>
            <w:r>
              <w:rPr>
                <w:rFonts w:ascii="Arial" w:cs="Arial" w:eastAsia="Arial" w:hAnsi="Arial"/>
                <w:b/>
                <w:bCs/>
                <w:color w:val="993333"/>
                <w:sz w:val="19"/>
                <w:szCs w:val="19"/>
              </w:rPr>
              <w:t xml:space="preserve">Monthly payments mandatory</w:t>
            </w:r>
          </w:p>
          <w:p>
            <w:pPr>
              <w:spacing w:after="0" w:before="0"/>
            </w:pPr>
            <w:r>
              <w:rPr>
                <w:rFonts w:ascii="Arial" w:cs="Arial" w:eastAsia="Arial" w:hAnsi="Arial"/>
                <w:color w:val="666666"/>
                <w:sz w:val="18"/>
                <w:szCs w:val="18"/>
              </w:rPr>
              <w:t xml:space="preserve">Interest accrues immediately on draws. Missed payments = delinquency, potential foreclosure. A disability event creates payment pressure exactly when income is disrupted.</w:t>
            </w:r>
          </w:p>
        </w:tc>
        <w:tc>
          <w:tcPr>
            <w:tcW w:type="dxa" w:w="4440"/>
            <w:tcBorders>
              <w:top w:val="single" w:color="9FC9AF" w:sz="1"/>
              <w:left w:val="single" w:color="9FC9AF" w:sz="1"/>
              <w:bottom w:val="single" w:color="9FC9AF" w:sz="1"/>
              <w:right w:val="single" w:color="9FC9AF" w:sz="1"/>
            </w:tcBorders>
            <w:shd w:fill="F0F7F2" w:val="clear"/>
            <w:tcMar>
              <w:top w:type="dxa" w:w="100"/>
              <w:left w:type="dxa" w:w="160"/>
              <w:bottom w:type="dxa" w:w="100"/>
              <w:right w:type="dxa" w:w="160"/>
            </w:tcMar>
          </w:tcPr>
          <w:p>
            <w:pPr>
              <w:spacing w:after="40" w:before="0"/>
            </w:pPr>
            <w:r>
              <w:rPr>
                <w:rFonts w:ascii="Arial" w:cs="Arial" w:eastAsia="Arial" w:hAnsi="Arial"/>
                <w:b/>
                <w:bCs/>
                <w:color w:val="1A6B3A"/>
                <w:sz w:val="19"/>
                <w:szCs w:val="19"/>
              </w:rPr>
              <w:t xml:space="preserve">No monthly payments required</w:t>
            </w:r>
          </w:p>
          <w:p>
            <w:pPr>
              <w:spacing w:after="0" w:before="0"/>
            </w:pPr>
            <w:r>
              <w:rPr>
                <w:rFonts w:ascii="Arial" w:cs="Arial" w:eastAsia="Arial" w:hAnsi="Arial"/>
                <w:color w:val="666666"/>
                <w:sz w:val="18"/>
                <w:szCs w:val="18"/>
              </w:rPr>
              <w:t xml:space="preserve">Draws are available on demand with no repayment obligation while you occupy the home. Loan balance repaid when home is sold — typically at estate settlement.</w:t>
            </w:r>
          </w:p>
        </w:tc>
      </w:tr>
      <w:tr>
        <w:tc>
          <w:tcPr>
            <w:tcW w:type="dxa" w:w="9360"/>
            <w:gridSpan w:val="2"/>
            <w:tcBorders>
              <w:top w:val="none" w:color="FFFFFF" w:sz="0"/>
              <w:left w:val="none" w:color="FFFFFF" w:sz="0"/>
              <w:bottom w:val="none" w:color="FFFFFF" w:sz="0"/>
              <w:right w:val="none" w:color="FFFFFF" w:sz="0"/>
            </w:tcBorders>
            <w:shd w:fill="2A2A2A" w:val="clear"/>
            <w:tcMar>
              <w:top w:type="dxa" w:w="80"/>
              <w:left w:type="dxa" w:w="160"/>
              <w:bottom w:type="dxa" w:w="80"/>
              <w:right w:type="dxa" w:w="160"/>
            </w:tcMar>
          </w:tcPr>
          <w:p>
            <w:r>
              <w:rPr>
                <w:rFonts w:ascii="Arial" w:cs="Arial" w:eastAsia="Arial" w:hAnsi="Arial"/>
                <w:b/>
                <w:bCs/>
                <w:color w:val="AAAAAA"/>
                <w:sz w:val="17"/>
                <w:szCs w:val="17"/>
              </w:rPr>
              <w:t xml:space="preserve">LENDER CONTROL RISK</w:t>
            </w:r>
          </w:p>
        </w:tc>
      </w:tr>
      <w:tr>
        <w:tc>
          <w:tcPr>
            <w:tcW w:type="dxa" w:w="4440"/>
            <w:tcBorders>
              <w:top w:val="single" w:color="D4A0A0" w:sz="1"/>
              <w:left w:val="single" w:color="D4A0A0" w:sz="1"/>
              <w:bottom w:val="single" w:color="D4A0A0" w:sz="1"/>
              <w:right w:val="single" w:color="D4A0A0" w:sz="1"/>
            </w:tcBorders>
            <w:shd w:fill="FCF0F0" w:val="clear"/>
            <w:tcMar>
              <w:top w:type="dxa" w:w="100"/>
              <w:left w:type="dxa" w:w="160"/>
              <w:bottom w:type="dxa" w:w="100"/>
              <w:right w:type="dxa" w:w="160"/>
            </w:tcMar>
          </w:tcPr>
          <w:p>
            <w:pPr>
              <w:spacing w:after="40" w:before="0"/>
            </w:pPr>
            <w:r>
              <w:rPr>
                <w:rFonts w:ascii="Arial" w:cs="Arial" w:eastAsia="Arial" w:hAnsi="Arial"/>
                <w:b/>
                <w:bCs/>
                <w:color w:val="993333"/>
                <w:sz w:val="19"/>
                <w:szCs w:val="19"/>
              </w:rPr>
              <w:t xml:space="preserve">Can be frozen or reduced</w:t>
            </w:r>
          </w:p>
          <w:p>
            <w:pPr>
              <w:spacing w:after="0" w:before="0"/>
            </w:pPr>
            <w:r>
              <w:rPr>
                <w:rFonts w:ascii="Arial" w:cs="Arial" w:eastAsia="Arial" w:hAnsi="Arial"/>
                <w:color w:val="666666"/>
                <w:sz w:val="18"/>
                <w:szCs w:val="18"/>
              </w:rPr>
              <w:t xml:space="preserve">The bank retains the right to freeze, reduce, or close the line at any time — typically citing “material adverse change” in home value or borrower finances. Happened to millions of homeowners in 2008–2009.</w:t>
            </w:r>
          </w:p>
        </w:tc>
        <w:tc>
          <w:tcPr>
            <w:tcW w:type="dxa" w:w="4440"/>
            <w:tcBorders>
              <w:top w:val="single" w:color="9FC9AF" w:sz="1"/>
              <w:left w:val="single" w:color="9FC9AF" w:sz="1"/>
              <w:bottom w:val="single" w:color="9FC9AF" w:sz="1"/>
              <w:right w:val="single" w:color="9FC9AF" w:sz="1"/>
            </w:tcBorders>
            <w:shd w:fill="F0F7F2" w:val="clear"/>
            <w:tcMar>
              <w:top w:type="dxa" w:w="100"/>
              <w:left w:type="dxa" w:w="160"/>
              <w:bottom w:type="dxa" w:w="100"/>
              <w:right w:type="dxa" w:w="160"/>
            </w:tcMar>
          </w:tcPr>
          <w:p>
            <w:pPr>
              <w:spacing w:after="40" w:before="0"/>
            </w:pPr>
            <w:r>
              <w:rPr>
                <w:rFonts w:ascii="Arial" w:cs="Arial" w:eastAsia="Arial" w:hAnsi="Arial"/>
                <w:b/>
                <w:bCs/>
                <w:color w:val="1A6B3A"/>
                <w:sz w:val="19"/>
                <w:szCs w:val="19"/>
              </w:rPr>
              <w:t xml:space="preserve">Cannot be frozen, reduced, or called</w:t>
            </w:r>
          </w:p>
          <w:p>
            <w:pPr>
              <w:spacing w:after="0" w:before="0"/>
            </w:pPr>
            <w:r>
              <w:rPr>
                <w:rFonts w:ascii="Arial" w:cs="Arial" w:eastAsia="Arial" w:hAnsi="Arial"/>
                <w:color w:val="666666"/>
                <w:sz w:val="18"/>
                <w:szCs w:val="18"/>
              </w:rPr>
              <w:t xml:space="preserve">Federal law (FHA/HUD) prohibits the lender from freezing or reducing an established HECM LOC. This is a statutory protection — not a contractual term banks can override.</w:t>
            </w:r>
          </w:p>
        </w:tc>
      </w:tr>
      <w:tr>
        <w:tc>
          <w:tcPr>
            <w:tcW w:type="dxa" w:w="9360"/>
            <w:gridSpan w:val="2"/>
            <w:tcBorders>
              <w:top w:val="none" w:color="FFFFFF" w:sz="0"/>
              <w:left w:val="none" w:color="FFFFFF" w:sz="0"/>
              <w:bottom w:val="none" w:color="FFFFFF" w:sz="0"/>
              <w:right w:val="none" w:color="FFFFFF" w:sz="0"/>
            </w:tcBorders>
            <w:shd w:fill="2A2A2A" w:val="clear"/>
            <w:tcMar>
              <w:top w:type="dxa" w:w="80"/>
              <w:left w:type="dxa" w:w="160"/>
              <w:bottom w:type="dxa" w:w="80"/>
              <w:right w:type="dxa" w:w="160"/>
            </w:tcMar>
          </w:tcPr>
          <w:p>
            <w:r>
              <w:rPr>
                <w:rFonts w:ascii="Arial" w:cs="Arial" w:eastAsia="Arial" w:hAnsi="Arial"/>
                <w:b/>
                <w:bCs/>
                <w:color w:val="AAAAAA"/>
                <w:sz w:val="17"/>
                <w:szCs w:val="17"/>
              </w:rPr>
              <w:t xml:space="preserve">LINE OF CREDIT GROWTH</w:t>
            </w:r>
          </w:p>
        </w:tc>
      </w:tr>
      <w:tr>
        <w:tc>
          <w:tcPr>
            <w:tcW w:type="dxa" w:w="4440"/>
            <w:tcBorders>
              <w:top w:val="single" w:color="D4A0A0" w:sz="1"/>
              <w:left w:val="single" w:color="D4A0A0" w:sz="1"/>
              <w:bottom w:val="single" w:color="D4A0A0" w:sz="1"/>
              <w:right w:val="single" w:color="D4A0A0" w:sz="1"/>
            </w:tcBorders>
            <w:shd w:fill="FCF0F0" w:val="clear"/>
            <w:tcMar>
              <w:top w:type="dxa" w:w="100"/>
              <w:left w:type="dxa" w:w="160"/>
              <w:bottom w:type="dxa" w:w="100"/>
              <w:right w:type="dxa" w:w="160"/>
            </w:tcMar>
          </w:tcPr>
          <w:p>
            <w:pPr>
              <w:spacing w:after="40" w:before="0"/>
            </w:pPr>
            <w:r>
              <w:rPr>
                <w:rFonts w:ascii="Arial" w:cs="Arial" w:eastAsia="Arial" w:hAnsi="Arial"/>
                <w:b/>
                <w:bCs/>
                <w:color w:val="993333"/>
                <w:sz w:val="19"/>
                <w:szCs w:val="19"/>
              </w:rPr>
              <w:t xml:space="preserve">Line does not grow</w:t>
            </w:r>
          </w:p>
          <w:p>
            <w:pPr>
              <w:spacing w:after="0" w:before="0"/>
            </w:pPr>
            <w:r>
              <w:rPr>
                <w:rFonts w:ascii="Arial" w:cs="Arial" w:eastAsia="Arial" w:hAnsi="Arial"/>
                <w:color w:val="666666"/>
                <w:sz w:val="18"/>
                <w:szCs w:val="18"/>
              </w:rPr>
              <w:t xml:space="preserve">Unused balance earns nothing. A $200K line is always worth $200K — or less, if the bank reduces it.</w:t>
            </w:r>
          </w:p>
        </w:tc>
        <w:tc>
          <w:tcPr>
            <w:tcW w:type="dxa" w:w="4440"/>
            <w:tcBorders>
              <w:top w:val="single" w:color="9FC9AF" w:sz="1"/>
              <w:left w:val="single" w:color="9FC9AF" w:sz="1"/>
              <w:bottom w:val="single" w:color="9FC9AF" w:sz="1"/>
              <w:right w:val="single" w:color="9FC9AF" w:sz="1"/>
            </w:tcBorders>
            <w:shd w:fill="F0F7F2" w:val="clear"/>
            <w:tcMar>
              <w:top w:type="dxa" w:w="100"/>
              <w:left w:type="dxa" w:w="160"/>
              <w:bottom w:type="dxa" w:w="100"/>
              <w:right w:type="dxa" w:w="160"/>
            </w:tcMar>
          </w:tcPr>
          <w:p>
            <w:pPr>
              <w:spacing w:after="40" w:before="0"/>
            </w:pPr>
            <w:r>
              <w:rPr>
                <w:rFonts w:ascii="Arial" w:cs="Arial" w:eastAsia="Arial" w:hAnsi="Arial"/>
                <w:b/>
                <w:bCs/>
                <w:color w:val="1A6B3A"/>
                <w:sz w:val="19"/>
                <w:szCs w:val="19"/>
              </w:rPr>
              <w:t xml:space="preserve">Unused balance grows automatically</w:t>
            </w:r>
          </w:p>
          <w:p>
            <w:pPr>
              <w:spacing w:after="0" w:before="0"/>
            </w:pPr>
            <w:r>
              <w:rPr>
                <w:rFonts w:ascii="Arial" w:cs="Arial" w:eastAsia="Arial" w:hAnsi="Arial"/>
                <w:color w:val="666666"/>
                <w:sz w:val="18"/>
                <w:szCs w:val="18"/>
              </w:rPr>
              <w:t xml:space="preserve">The available line of credit grows at the same rate as the loan’s interest rate — compounding. A $200K unused HECM LOC at 7% becomes ~$393K in 10 years without a single draw.</w:t>
            </w:r>
          </w:p>
        </w:tc>
      </w:tr>
      <w:tr>
        <w:tc>
          <w:tcPr>
            <w:tcW w:type="dxa" w:w="9360"/>
            <w:gridSpan w:val="2"/>
            <w:tcBorders>
              <w:top w:val="none" w:color="FFFFFF" w:sz="0"/>
              <w:left w:val="none" w:color="FFFFFF" w:sz="0"/>
              <w:bottom w:val="none" w:color="FFFFFF" w:sz="0"/>
              <w:right w:val="none" w:color="FFFFFF" w:sz="0"/>
            </w:tcBorders>
            <w:shd w:fill="2A2A2A" w:val="clear"/>
            <w:tcMar>
              <w:top w:type="dxa" w:w="80"/>
              <w:left w:type="dxa" w:w="160"/>
              <w:bottom w:type="dxa" w:w="80"/>
              <w:right w:type="dxa" w:w="160"/>
            </w:tcMar>
          </w:tcPr>
          <w:p>
            <w:r>
              <w:rPr>
                <w:rFonts w:ascii="Arial" w:cs="Arial" w:eastAsia="Arial" w:hAnsi="Arial"/>
                <w:b/>
                <w:bCs/>
                <w:color w:val="AAAAAA"/>
                <w:sz w:val="17"/>
                <w:szCs w:val="17"/>
              </w:rPr>
              <w:t xml:space="preserve">DURATION &amp; EXPIRATION</w:t>
            </w:r>
          </w:p>
        </w:tc>
      </w:tr>
      <w:tr>
        <w:tc>
          <w:tcPr>
            <w:tcW w:type="dxa" w:w="4440"/>
            <w:tcBorders>
              <w:top w:val="single" w:color="D4A0A0" w:sz="1"/>
              <w:left w:val="single" w:color="D4A0A0" w:sz="1"/>
              <w:bottom w:val="single" w:color="D4A0A0" w:sz="1"/>
              <w:right w:val="single" w:color="D4A0A0" w:sz="1"/>
            </w:tcBorders>
            <w:shd w:fill="FCF0F0" w:val="clear"/>
            <w:tcMar>
              <w:top w:type="dxa" w:w="100"/>
              <w:left w:type="dxa" w:w="160"/>
              <w:bottom w:type="dxa" w:w="100"/>
              <w:right w:type="dxa" w:w="160"/>
            </w:tcMar>
          </w:tcPr>
          <w:p>
            <w:pPr>
              <w:spacing w:after="40" w:before="0"/>
            </w:pPr>
            <w:r>
              <w:rPr>
                <w:rFonts w:ascii="Arial" w:cs="Arial" w:eastAsia="Arial" w:hAnsi="Arial"/>
                <w:b/>
                <w:bCs/>
                <w:color w:val="993333"/>
                <w:sz w:val="19"/>
                <w:szCs w:val="19"/>
              </w:rPr>
              <w:t xml:space="preserve">Draw period expires</w:t>
            </w:r>
          </w:p>
          <w:p>
            <w:pPr>
              <w:spacing w:after="0" w:before="0"/>
            </w:pPr>
            <w:r>
              <w:rPr>
                <w:rFonts w:ascii="Arial" w:cs="Arial" w:eastAsia="Arial" w:hAnsi="Arial"/>
                <w:color w:val="666666"/>
                <w:sz w:val="18"/>
                <w:szCs w:val="18"/>
              </w:rPr>
              <w:t xml:space="preserve">Most HELOCs have a 10-year draw period followed by a repayment period. At year 10, the line closes whether you need it or not.</w:t>
            </w:r>
          </w:p>
        </w:tc>
        <w:tc>
          <w:tcPr>
            <w:tcW w:type="dxa" w:w="4440"/>
            <w:tcBorders>
              <w:top w:val="single" w:color="9FC9AF" w:sz="1"/>
              <w:left w:val="single" w:color="9FC9AF" w:sz="1"/>
              <w:bottom w:val="single" w:color="9FC9AF" w:sz="1"/>
              <w:right w:val="single" w:color="9FC9AF" w:sz="1"/>
            </w:tcBorders>
            <w:shd w:fill="F0F7F2" w:val="clear"/>
            <w:tcMar>
              <w:top w:type="dxa" w:w="100"/>
              <w:left w:type="dxa" w:w="160"/>
              <w:bottom w:type="dxa" w:w="100"/>
              <w:right w:type="dxa" w:w="160"/>
            </w:tcMar>
          </w:tcPr>
          <w:p>
            <w:pPr>
              <w:spacing w:after="40" w:before="0"/>
            </w:pPr>
            <w:r>
              <w:rPr>
                <w:rFonts w:ascii="Arial" w:cs="Arial" w:eastAsia="Arial" w:hAnsi="Arial"/>
                <w:b/>
                <w:bCs/>
                <w:color w:val="1A6B3A"/>
                <w:sz w:val="19"/>
                <w:szCs w:val="19"/>
              </w:rPr>
              <w:t xml:space="preserve">No draw period expiration</w:t>
            </w:r>
          </w:p>
          <w:p>
            <w:pPr>
              <w:spacing w:after="0" w:before="0"/>
            </w:pPr>
            <w:r>
              <w:rPr>
                <w:rFonts w:ascii="Arial" w:cs="Arial" w:eastAsia="Arial" w:hAnsi="Arial"/>
                <w:color w:val="666666"/>
                <w:sz w:val="18"/>
                <w:szCs w:val="18"/>
              </w:rPr>
              <w:t xml:space="preserve">The line remains open for the life of the loan — as long as you live in the home, pay property taxes, and maintain the property.</w:t>
            </w:r>
          </w:p>
        </w:tc>
      </w:tr>
      <w:tr>
        <w:tc>
          <w:tcPr>
            <w:tcW w:type="dxa" w:w="9360"/>
            <w:gridSpan w:val="2"/>
            <w:tcBorders>
              <w:top w:val="none" w:color="FFFFFF" w:sz="0"/>
              <w:left w:val="none" w:color="FFFFFF" w:sz="0"/>
              <w:bottom w:val="none" w:color="FFFFFF" w:sz="0"/>
              <w:right w:val="none" w:color="FFFFFF" w:sz="0"/>
            </w:tcBorders>
            <w:shd w:fill="2A2A2A" w:val="clear"/>
            <w:tcMar>
              <w:top w:type="dxa" w:w="80"/>
              <w:left w:type="dxa" w:w="160"/>
              <w:bottom w:type="dxa" w:w="80"/>
              <w:right w:type="dxa" w:w="160"/>
            </w:tcMar>
          </w:tcPr>
          <w:p>
            <w:r>
              <w:rPr>
                <w:rFonts w:ascii="Arial" w:cs="Arial" w:eastAsia="Arial" w:hAnsi="Arial"/>
                <w:b/>
                <w:bCs/>
                <w:color w:val="AAAAAA"/>
                <w:sz w:val="17"/>
                <w:szCs w:val="17"/>
              </w:rPr>
              <w:t xml:space="preserve">UPFRONT COST</w:t>
            </w:r>
          </w:p>
        </w:tc>
      </w:tr>
      <w:tr>
        <w:tc>
          <w:tcPr>
            <w:tcW w:type="dxa" w:w="4440"/>
            <w:tcBorders>
              <w:top w:val="single" w:color="D4BC70" w:sz="1"/>
              <w:left w:val="single" w:color="D4BC70" w:sz="1"/>
              <w:bottom w:val="single" w:color="D4BC70" w:sz="1"/>
              <w:right w:val="single" w:color="D4BC70" w:sz="1"/>
            </w:tcBorders>
            <w:shd w:fill="FEFAEE" w:val="clear"/>
            <w:tcMar>
              <w:top w:type="dxa" w:w="100"/>
              <w:left w:type="dxa" w:w="160"/>
              <w:bottom w:type="dxa" w:w="100"/>
              <w:right w:type="dxa" w:w="160"/>
            </w:tcMar>
          </w:tcPr>
          <w:p>
            <w:pPr>
              <w:spacing w:after="40" w:before="0"/>
            </w:pPr>
            <w:r>
              <w:rPr>
                <w:rFonts w:ascii="Arial" w:cs="Arial" w:eastAsia="Arial" w:hAnsi="Arial"/>
                <w:b/>
                <w:bCs/>
                <w:color w:val="7A5500"/>
                <w:sz w:val="19"/>
                <w:szCs w:val="19"/>
              </w:rPr>
              <w:t xml:space="preserve">Low origination cost</w:t>
            </w:r>
          </w:p>
          <w:p>
            <w:pPr>
              <w:spacing w:after="0" w:before="0"/>
            </w:pPr>
            <w:r>
              <w:rPr>
                <w:rFonts w:ascii="Arial" w:cs="Arial" w:eastAsia="Arial" w:hAnsi="Arial"/>
                <w:color w:val="666666"/>
                <w:sz w:val="18"/>
                <w:szCs w:val="18"/>
              </w:rPr>
              <w:t xml:space="preserve">Typically low or no fees — the one genuine advantage. Fast to set up while healthy and employed.</w:t>
            </w:r>
          </w:p>
        </w:tc>
        <w:tc>
          <w:tcPr>
            <w:tcW w:type="dxa" w:w="4440"/>
            <w:tcBorders>
              <w:top w:val="single" w:color="D4BC70" w:sz="1"/>
              <w:left w:val="single" w:color="D4BC70" w:sz="1"/>
              <w:bottom w:val="single" w:color="D4BC70" w:sz="1"/>
              <w:right w:val="single" w:color="D4BC70" w:sz="1"/>
            </w:tcBorders>
            <w:shd w:fill="FEFAEE" w:val="clear"/>
            <w:tcMar>
              <w:top w:type="dxa" w:w="100"/>
              <w:left w:type="dxa" w:w="160"/>
              <w:bottom w:type="dxa" w:w="100"/>
              <w:right w:type="dxa" w:w="160"/>
            </w:tcMar>
          </w:tcPr>
          <w:p>
            <w:pPr>
              <w:spacing w:after="40" w:before="0"/>
            </w:pPr>
            <w:r>
              <w:rPr>
                <w:rFonts w:ascii="Arial" w:cs="Arial" w:eastAsia="Arial" w:hAnsi="Arial"/>
                <w:b/>
                <w:bCs/>
                <w:color w:val="7A5500"/>
                <w:sz w:val="19"/>
                <w:szCs w:val="19"/>
              </w:rPr>
              <w:t xml:space="preserve">Higher upfront cost</w:t>
            </w:r>
          </w:p>
          <w:p>
            <w:pPr>
              <w:spacing w:after="0" w:before="0"/>
            </w:pPr>
            <w:r>
              <w:rPr>
                <w:rFonts w:ascii="Arial" w:cs="Arial" w:eastAsia="Arial" w:hAnsi="Arial"/>
                <w:color w:val="666666"/>
                <w:sz w:val="18"/>
                <w:szCs w:val="18"/>
              </w:rPr>
              <w:t xml:space="preserve">FHA mortgage insurance premium + origination fee at closing. Significant — but a one-time cost in exchange for a federally protected, growing, permanent line of credit.</w:t>
            </w:r>
          </w:p>
        </w:tc>
      </w:tr>
    </w:tbl>
    <w:p>
      <w:pPr>
        <w:spacing w:after="400" w:before="0"/>
      </w:pPr>
      <w:r>
        <w:t xml:space="preserve"/>
      </w:r>
    </w:p>
    <w:p>
      <w:pPr>
        <w:spacing w:after="60" w:before="280"/>
      </w:pPr>
      <w:r>
        <w:rPr>
          <w:rFonts w:ascii="Arial" w:cs="Arial" w:eastAsia="Arial" w:hAnsi="Arial"/>
          <w:b/>
          <w:bCs/>
          <w:color w:val="8B0000"/>
          <w:sz w:val="18"/>
          <w:szCs w:val="18"/>
        </w:rPr>
        <w:t xml:space="preserve">SECTION 2 — WHERE THE HELOC FAILS, THE HECM PROTECTS</w:t>
      </w:r>
    </w:p>
    <w:p>
      <w:pPr>
        <w:pBdr>
          <w:bottom w:val="single" w:color="8B0000" w:sz="12" w:space="1"/>
        </w:pBdr>
        <w:spacing w:after="100" w:before="0"/>
      </w:pPr>
      <w:r>
        <w:t xml:space="preserve"/>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0"/>
        <w:gridCol w:w="3800"/>
        <w:gridCol w:w="3800"/>
      </w:tblGrid>
      <w:tr>
        <w:trPr>
          <w:tblHeader/>
        </w:trPr>
        <w:tc>
          <w:tcPr>
            <w:tcW w:type="dxa" w:w="1760"/>
            <w:tcBorders>
              <w:top w:val="none" w:color="FFFFFF" w:sz="0"/>
              <w:left w:val="none" w:color="FFFFFF" w:sz="0"/>
              <w:bottom w:val="none" w:color="FFFFFF" w:sz="0"/>
              <w:right w:val="none" w:color="FFFFFF" w:sz="0"/>
            </w:tcBorders>
            <w:shd w:fill="1A1A1A" w:val="clear"/>
            <w:tcMar>
              <w:top w:type="dxa" w:w="100"/>
              <w:left w:type="dxa" w:w="160"/>
              <w:bottom w:type="dxa" w:w="100"/>
              <w:right w:type="dxa" w:w="160"/>
            </w:tcMar>
          </w:tcPr>
          <w:p>
            <w:r>
              <w:rPr>
                <w:rFonts w:ascii="Arial" w:cs="Arial" w:eastAsia="Arial" w:hAnsi="Arial"/>
                <w:b/>
                <w:bCs/>
                <w:color w:val="B0B0B0"/>
                <w:sz w:val="18"/>
                <w:szCs w:val="18"/>
              </w:rPr>
              <w:t xml:space="preserve">SCENARIO</w:t>
            </w:r>
          </w:p>
        </w:tc>
        <w:tc>
          <w:tcPr>
            <w:tcW w:type="dxa" w:w="3800"/>
            <w:tcBorders>
              <w:top w:val="none" w:color="FFFFFF" w:sz="0"/>
              <w:left w:val="none" w:color="FFFFFF" w:sz="0"/>
              <w:bottom w:val="none" w:color="FFFFFF" w:sz="0"/>
              <w:right w:val="none" w:color="FFFFFF" w:sz="0"/>
            </w:tcBorders>
            <w:shd w:fill="CC2222" w:val="clear"/>
            <w:tcMar>
              <w:top w:type="dxa" w:w="100"/>
              <w:left w:type="dxa" w:w="160"/>
              <w:bottom w:type="dxa" w:w="100"/>
              <w:right w:type="dxa" w:w="160"/>
            </w:tcMar>
          </w:tcPr>
          <w:p>
            <w:r>
              <w:rPr>
                <w:rFonts w:ascii="Arial" w:cs="Arial" w:eastAsia="Arial" w:hAnsi="Arial"/>
                <w:b/>
                <w:bCs/>
                <w:color w:val="FFFFFF"/>
                <w:sz w:val="18"/>
                <w:szCs w:val="18"/>
              </w:rPr>
              <w:t xml:space="preserve">HELOC OUTCOME</w:t>
            </w:r>
          </w:p>
        </w:tc>
        <w:tc>
          <w:tcPr>
            <w:tcW w:type="dxa" w:w="3800"/>
            <w:tcBorders>
              <w:top w:val="none" w:color="FFFFFF" w:sz="0"/>
              <w:left w:val="none" w:color="FFFFFF" w:sz="0"/>
              <w:bottom w:val="none" w:color="FFFFFF" w:sz="0"/>
              <w:right w:val="none" w:color="FFFFFF" w:sz="0"/>
            </w:tcBorders>
            <w:shd w:fill="1A6B3A" w:val="clear"/>
            <w:tcMar>
              <w:top w:type="dxa" w:w="100"/>
              <w:left w:type="dxa" w:w="160"/>
              <w:bottom w:type="dxa" w:w="100"/>
              <w:right w:type="dxa" w:w="160"/>
            </w:tcMar>
          </w:tcPr>
          <w:p>
            <w:r>
              <w:rPr>
                <w:rFonts w:ascii="Arial" w:cs="Arial" w:eastAsia="Arial" w:hAnsi="Arial"/>
                <w:b/>
                <w:bCs/>
                <w:color w:val="FFFFFF"/>
                <w:sz w:val="18"/>
                <w:szCs w:val="18"/>
              </w:rPr>
              <w:t xml:space="preserve">HECM LOC OUTCOME</w:t>
            </w:r>
          </w:p>
        </w:tc>
      </w:tr>
      <w:tr>
        <w:tc>
          <w:tcPr>
            <w:tcW w:type="dxa" w:w="1760"/>
            <w:tcBorders>
              <w:top w:val="single" w:color="D0D0D0" w:sz="1"/>
              <w:left w:val="single" w:color="D0D0D0" w:sz="1"/>
              <w:bottom w:val="single" w:color="D0D0D0" w:sz="1"/>
              <w:right w:val="single" w:color="D0D0D0" w:sz="1"/>
            </w:tcBorders>
            <w:shd w:fill="F8F8F8" w:val="clear"/>
            <w:tcMar>
              <w:top w:type="dxa" w:w="100"/>
              <w:left w:type="dxa" w:w="160"/>
              <w:bottom w:type="dxa" w:w="100"/>
              <w:right w:type="dxa" w:w="160"/>
            </w:tcMar>
            <w:vAlign w:val="center"/>
          </w:tcPr>
          <w:p>
            <w:r>
              <w:rPr>
                <w:rFonts w:ascii="Arial" w:cs="Arial" w:eastAsia="Arial" w:hAnsi="Arial"/>
                <w:b/>
                <w:bCs/>
                <w:color w:val="1A1A1A"/>
                <w:sz w:val="19"/>
                <w:szCs w:val="19"/>
              </w:rPr>
              <w:t xml:space="preserve">LTC Event</w:t>
            </w:r>
          </w:p>
        </w:tc>
        <w:tc>
          <w:tcPr>
            <w:tcW w:type="dxa" w:w="3800"/>
            <w:tcBorders>
              <w:top w:val="single" w:color="D4A0A0" w:sz="1"/>
              <w:left w:val="single" w:color="D4A0A0" w:sz="1"/>
              <w:bottom w:val="single" w:color="D4A0A0" w:sz="1"/>
              <w:right w:val="single" w:color="D4A0A0" w:sz="1"/>
            </w:tcBorders>
            <w:shd w:fill="FCF0F0" w:val="clear"/>
            <w:tcMar>
              <w:top w:type="dxa" w:w="100"/>
              <w:left w:type="dxa" w:w="160"/>
              <w:bottom w:type="dxa" w:w="100"/>
              <w:right w:type="dxa" w:w="160"/>
            </w:tcMar>
          </w:tcPr>
          <w:p>
            <w:pPr>
              <w:spacing w:after="40" w:before="0"/>
            </w:pPr>
            <w:r>
              <w:rPr>
                <w:rFonts w:ascii="Arial" w:cs="Arial" w:eastAsia="Arial" w:hAnsi="Arial"/>
                <w:color w:val="993333"/>
                <w:sz w:val="18"/>
                <w:szCs w:val="18"/>
              </w:rPr>
              <w:t xml:space="preserve">Income stops due to disability — bank may freeze line.</w:t>
            </w:r>
          </w:p>
          <w:p>
            <w:pPr>
              <w:spacing w:after="40" w:before="0"/>
            </w:pPr>
            <w:r>
              <w:rPr>
                <w:rFonts w:ascii="Arial" w:cs="Arial" w:eastAsia="Arial" w:hAnsi="Arial"/>
                <w:color w:val="993333"/>
                <w:sz w:val="18"/>
                <w:szCs w:val="18"/>
              </w:rPr>
              <w:t xml:space="preserve">Monthly interest creates cash flow pressure on fixed income.</w:t>
            </w:r>
          </w:p>
        </w:tc>
        <w:tc>
          <w:tcPr>
            <w:tcW w:type="dxa" w:w="3800"/>
            <w:tcBorders>
              <w:top w:val="single" w:color="9FC9AF" w:sz="1"/>
              <w:left w:val="single" w:color="9FC9AF" w:sz="1"/>
              <w:bottom w:val="single" w:color="9FC9AF" w:sz="1"/>
              <w:right w:val="single" w:color="9FC9AF" w:sz="1"/>
            </w:tcBorders>
            <w:shd w:fill="F0F7F2" w:val="clear"/>
            <w:tcMar>
              <w:top w:type="dxa" w:w="100"/>
              <w:left w:type="dxa" w:w="160"/>
              <w:bottom w:type="dxa" w:w="100"/>
              <w:right w:type="dxa" w:w="160"/>
            </w:tcMar>
          </w:tcPr>
          <w:p>
            <w:pPr>
              <w:spacing w:after="40" w:before="0"/>
            </w:pPr>
            <w:r>
              <w:rPr>
                <w:rFonts w:ascii="Arial" w:cs="Arial" w:eastAsia="Arial" w:hAnsi="Arial"/>
                <w:color w:val="1A6B3A"/>
                <w:sz w:val="18"/>
                <w:szCs w:val="18"/>
              </w:rPr>
              <w:t xml:space="preserve">No payment required. No income test.</w:t>
            </w:r>
          </w:p>
          <w:p>
            <w:pPr>
              <w:spacing w:after="40" w:before="0"/>
            </w:pPr>
            <w:r>
              <w:rPr>
                <w:rFonts w:ascii="Arial" w:cs="Arial" w:eastAsia="Arial" w:hAnsi="Arial"/>
                <w:color w:val="1A6B3A"/>
                <w:sz w:val="18"/>
                <w:szCs w:val="18"/>
              </w:rPr>
              <w:t xml:space="preserve">Line remains fully accessible.</w:t>
            </w:r>
          </w:p>
          <w:p>
            <w:pPr>
              <w:spacing w:after="40" w:before="0"/>
            </w:pPr>
            <w:r>
              <w:rPr>
                <w:rFonts w:ascii="Arial" w:cs="Arial" w:eastAsia="Arial" w:hAnsi="Arial"/>
                <w:color w:val="1A6B3A"/>
                <w:sz w:val="18"/>
                <w:szCs w:val="18"/>
              </w:rPr>
              <w:t xml:space="preserve">Draws are tax-free. Funds care directly with no creditor risk.</w:t>
            </w:r>
          </w:p>
        </w:tc>
      </w:tr>
      <w:tr>
        <w:tc>
          <w:tcPr>
            <w:tcW w:type="dxa" w:w="1760"/>
            <w:tcBorders>
              <w:top w:val="single" w:color="D0D0D0" w:sz="1"/>
              <w:left w:val="single" w:color="D0D0D0" w:sz="1"/>
              <w:bottom w:val="single" w:color="D0D0D0" w:sz="1"/>
              <w:right w:val="single" w:color="D0D0D0" w:sz="1"/>
            </w:tcBorders>
            <w:shd w:fill="F8F8F8" w:val="clear"/>
            <w:tcMar>
              <w:top w:type="dxa" w:w="100"/>
              <w:left w:type="dxa" w:w="160"/>
              <w:bottom w:type="dxa" w:w="100"/>
              <w:right w:type="dxa" w:w="160"/>
            </w:tcMar>
            <w:vAlign w:val="center"/>
          </w:tcPr>
          <w:p>
            <w:r>
              <w:rPr>
                <w:rFonts w:ascii="Arial" w:cs="Arial" w:eastAsia="Arial" w:hAnsi="Arial"/>
                <w:b/>
                <w:bCs/>
                <w:color w:val="1A1A1A"/>
                <w:sz w:val="19"/>
                <w:szCs w:val="19"/>
              </w:rPr>
              <w:t xml:space="preserve">Market Downturn</w:t>
            </w:r>
          </w:p>
        </w:tc>
        <w:tc>
          <w:tcPr>
            <w:tcW w:type="dxa" w:w="3800"/>
            <w:tcBorders>
              <w:top w:val="single" w:color="D4A0A0" w:sz="1"/>
              <w:left w:val="single" w:color="D4A0A0" w:sz="1"/>
              <w:bottom w:val="single" w:color="D4A0A0" w:sz="1"/>
              <w:right w:val="single" w:color="D4A0A0" w:sz="1"/>
            </w:tcBorders>
            <w:shd w:fill="FCF0F0" w:val="clear"/>
            <w:tcMar>
              <w:top w:type="dxa" w:w="100"/>
              <w:left w:type="dxa" w:w="160"/>
              <w:bottom w:type="dxa" w:w="100"/>
              <w:right w:type="dxa" w:w="160"/>
            </w:tcMar>
          </w:tcPr>
          <w:p>
            <w:pPr>
              <w:spacing w:after="40" w:before="0"/>
            </w:pPr>
            <w:r>
              <w:rPr>
                <w:rFonts w:ascii="Arial" w:cs="Arial" w:eastAsia="Arial" w:hAnsi="Arial"/>
                <w:color w:val="993333"/>
                <w:sz w:val="18"/>
                <w:szCs w:val="18"/>
              </w:rPr>
              <w:t xml:space="preserve">Bank may cite declining home values to reduce or close the line.</w:t>
            </w:r>
          </w:p>
          <w:p>
            <w:pPr>
              <w:spacing w:after="40" w:before="0"/>
            </w:pPr>
            <w:r>
              <w:rPr>
                <w:rFonts w:ascii="Arial" w:cs="Arial" w:eastAsia="Arial" w:hAnsi="Arial"/>
                <w:color w:val="993333"/>
                <w:sz w:val="18"/>
                <w:szCs w:val="18"/>
              </w:rPr>
              <w:t xml:space="preserve">You need liquidity to avoid selling investments at a loss.</w:t>
            </w:r>
          </w:p>
        </w:tc>
        <w:tc>
          <w:tcPr>
            <w:tcW w:type="dxa" w:w="3800"/>
            <w:tcBorders>
              <w:top w:val="single" w:color="9FC9AF" w:sz="1"/>
              <w:left w:val="single" w:color="9FC9AF" w:sz="1"/>
              <w:bottom w:val="single" w:color="9FC9AF" w:sz="1"/>
              <w:right w:val="single" w:color="9FC9AF" w:sz="1"/>
            </w:tcBorders>
            <w:shd w:fill="F0F7F2" w:val="clear"/>
            <w:tcMar>
              <w:top w:type="dxa" w:w="100"/>
              <w:left w:type="dxa" w:w="160"/>
              <w:bottom w:type="dxa" w:w="100"/>
              <w:right w:type="dxa" w:w="160"/>
            </w:tcMar>
          </w:tcPr>
          <w:p>
            <w:pPr>
              <w:spacing w:after="40" w:before="0"/>
            </w:pPr>
            <w:r>
              <w:rPr>
                <w:rFonts w:ascii="Arial" w:cs="Arial" w:eastAsia="Arial" w:hAnsi="Arial"/>
                <w:color w:val="1A6B3A"/>
                <w:sz w:val="18"/>
                <w:szCs w:val="18"/>
              </w:rPr>
              <w:t xml:space="preserve">Legally cannot be reduced due to market conditions.</w:t>
            </w:r>
          </w:p>
          <w:p>
            <w:pPr>
              <w:spacing w:after="40" w:before="0"/>
            </w:pPr>
            <w:r>
              <w:rPr>
                <w:rFonts w:ascii="Arial" w:cs="Arial" w:eastAsia="Arial" w:hAnsi="Arial"/>
                <w:color w:val="1A6B3A"/>
                <w:sz w:val="18"/>
                <w:szCs w:val="18"/>
              </w:rPr>
              <w:t xml:space="preserve">Acts as standby buffer: avoid drawing a depressed portfolio by using the LOC instead.</w:t>
            </w:r>
          </w:p>
        </w:tc>
      </w:tr>
      <w:tr>
        <w:tc>
          <w:tcPr>
            <w:tcW w:type="dxa" w:w="1760"/>
            <w:tcBorders>
              <w:top w:val="single" w:color="D0D0D0" w:sz="1"/>
              <w:left w:val="single" w:color="D0D0D0" w:sz="1"/>
              <w:bottom w:val="single" w:color="D0D0D0" w:sz="1"/>
              <w:right w:val="single" w:color="D0D0D0" w:sz="1"/>
            </w:tcBorders>
            <w:shd w:fill="F8F8F8" w:val="clear"/>
            <w:tcMar>
              <w:top w:type="dxa" w:w="100"/>
              <w:left w:type="dxa" w:w="160"/>
              <w:bottom w:type="dxa" w:w="100"/>
              <w:right w:type="dxa" w:w="160"/>
            </w:tcMar>
            <w:vAlign w:val="center"/>
          </w:tcPr>
          <w:p>
            <w:r>
              <w:rPr>
                <w:rFonts w:ascii="Arial" w:cs="Arial" w:eastAsia="Arial" w:hAnsi="Arial"/>
                <w:b/>
                <w:bCs/>
                <w:color w:val="1A1A1A"/>
                <w:sz w:val="19"/>
                <w:szCs w:val="19"/>
              </w:rPr>
              <w:t xml:space="preserve">Cognitive Decline</w:t>
            </w:r>
          </w:p>
        </w:tc>
        <w:tc>
          <w:tcPr>
            <w:tcW w:type="dxa" w:w="3800"/>
            <w:tcBorders>
              <w:top w:val="single" w:color="D4A0A0" w:sz="1"/>
              <w:left w:val="single" w:color="D4A0A0" w:sz="1"/>
              <w:bottom w:val="single" w:color="D4A0A0" w:sz="1"/>
              <w:right w:val="single" w:color="D4A0A0" w:sz="1"/>
            </w:tcBorders>
            <w:shd w:fill="FCF0F0" w:val="clear"/>
            <w:tcMar>
              <w:top w:type="dxa" w:w="100"/>
              <w:left w:type="dxa" w:w="160"/>
              <w:bottom w:type="dxa" w:w="100"/>
              <w:right w:type="dxa" w:w="160"/>
            </w:tcMar>
          </w:tcPr>
          <w:p>
            <w:pPr>
              <w:spacing w:after="40" w:before="0"/>
            </w:pPr>
            <w:r>
              <w:rPr>
                <w:rFonts w:ascii="Arial" w:cs="Arial" w:eastAsia="Arial" w:hAnsi="Arial"/>
                <w:color w:val="993333"/>
                <w:sz w:val="18"/>
                <w:szCs w:val="18"/>
              </w:rPr>
              <w:t xml:space="preserve">Renewal or re-qualification may require competent signature.</w:t>
            </w:r>
          </w:p>
          <w:p>
            <w:pPr>
              <w:spacing w:after="40" w:before="0"/>
            </w:pPr>
            <w:r>
              <w:rPr>
                <w:rFonts w:ascii="Arial" w:cs="Arial" w:eastAsia="Arial" w:hAnsi="Arial"/>
                <w:color w:val="993333"/>
                <w:sz w:val="18"/>
                <w:szCs w:val="18"/>
              </w:rPr>
              <w:t xml:space="preserve">A borrower with dementia or under guardianship may lose access entirely.</w:t>
            </w:r>
          </w:p>
        </w:tc>
        <w:tc>
          <w:tcPr>
            <w:tcW w:type="dxa" w:w="3800"/>
            <w:tcBorders>
              <w:top w:val="single" w:color="9FC9AF" w:sz="1"/>
              <w:left w:val="single" w:color="9FC9AF" w:sz="1"/>
              <w:bottom w:val="single" w:color="9FC9AF" w:sz="1"/>
              <w:right w:val="single" w:color="9FC9AF" w:sz="1"/>
            </w:tcBorders>
            <w:shd w:fill="F0F7F2" w:val="clear"/>
            <w:tcMar>
              <w:top w:type="dxa" w:w="100"/>
              <w:left w:type="dxa" w:w="160"/>
              <w:bottom w:type="dxa" w:w="100"/>
              <w:right w:type="dxa" w:w="160"/>
            </w:tcMar>
          </w:tcPr>
          <w:p>
            <w:pPr>
              <w:spacing w:after="40" w:before="0"/>
            </w:pPr>
            <w:r>
              <w:rPr>
                <w:rFonts w:ascii="Arial" w:cs="Arial" w:eastAsia="Arial" w:hAnsi="Arial"/>
                <w:color w:val="1A6B3A"/>
                <w:sz w:val="18"/>
                <w:szCs w:val="18"/>
              </w:rPr>
              <w:t xml:space="preserve">Established HECM LOC continues operating.</w:t>
            </w:r>
          </w:p>
          <w:p>
            <w:pPr>
              <w:spacing w:after="40" w:before="0"/>
            </w:pPr>
            <w:r>
              <w:rPr>
                <w:rFonts w:ascii="Arial" w:cs="Arial" w:eastAsia="Arial" w:hAnsi="Arial"/>
                <w:color w:val="1A6B3A"/>
                <w:sz w:val="18"/>
                <w:szCs w:val="18"/>
              </w:rPr>
              <w:t xml:space="preserve">A designated POA or trusted agent can make draws without triggering re-qualification.</w:t>
            </w:r>
          </w:p>
        </w:tc>
      </w:tr>
    </w:tbl>
    <w:p>
      <w:pPr>
        <w:spacing w:after="400" w:before="0"/>
      </w:pPr>
      <w:r>
        <w:t xml:space="preserve"/>
      </w:r>
    </w:p>
    <w:p>
      <w:pPr>
        <w:spacing w:after="60" w:before="280"/>
      </w:pPr>
      <w:r>
        <w:rPr>
          <w:rFonts w:ascii="Arial" w:cs="Arial" w:eastAsia="Arial" w:hAnsi="Arial"/>
          <w:b/>
          <w:bCs/>
          <w:color w:val="8B0000"/>
          <w:sz w:val="18"/>
          <w:szCs w:val="18"/>
        </w:rPr>
        <w:t xml:space="preserve">SECTION 3 — THE COMPOUNDING LOC: WHAT “LETTING IT SIT” ACTUALLY DOES</w:t>
      </w:r>
    </w:p>
    <w:p>
      <w:pPr>
        <w:pBdr>
          <w:bottom w:val="single" w:color="8B0000" w:sz="12" w:space="1"/>
        </w:pBdr>
        <w:spacing w:after="100" w:before="0"/>
      </w:pPr>
      <w:r>
        <w:t xml:space="preserve"/>
      </w:r>
    </w:p>
    <w:p>
      <w:pPr>
        <w:spacing w:after="120" w:before="0"/>
      </w:pPr>
      <w:r>
        <w:t xml:space="preserve"/>
      </w:r>
    </w:p>
    <w:p>
      <w:pPr>
        <w:spacing w:after="80" w:before="0"/>
      </w:pPr>
      <w:r>
        <w:rPr>
          <w:rFonts w:ascii="Arial" w:cs="Arial" w:eastAsia="Arial" w:hAnsi="Arial"/>
          <w:color w:val="444444"/>
          <w:sz w:val="20"/>
          <w:szCs w:val="20"/>
        </w:rPr>
        <w:t xml:space="preserve">A $200,000 HECM Line of Credit established at age 65, untouched, at a hypothetical 7% growth rate: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shd w:fill="1A1A1A" w:val="clear"/>
            <w:tcMar>
              <w:top w:type="dxa" w:w="80"/>
              <w:left w:type="dxa" w:w="160"/>
              <w:bottom w:type="dxa" w:w="80"/>
              <w:right w:type="dxa" w:w="160"/>
            </w:tcMar>
          </w:tcPr>
          <w:p>
            <w:pPr>
              <w:jc w:val="center"/>
            </w:pPr>
            <w:r>
              <w:rPr>
                <w:rFonts w:ascii="Arial" w:cs="Arial" w:eastAsia="Arial" w:hAnsi="Arial"/>
                <w:b/>
                <w:bCs/>
                <w:color w:val="B0B0B0"/>
                <w:sz w:val="17"/>
                <w:szCs w:val="17"/>
              </w:rPr>
              <w:t xml:space="preserve">AMOUNT</w:t>
            </w:r>
          </w:p>
        </w:tc>
        <w:tc>
          <w:tcPr>
            <w:tcW w:type="dxa" w:w="7560"/>
            <w:tcBorders>
              <w:top w:val="none" w:color="FFFFFF" w:sz="0"/>
              <w:left w:val="none" w:color="FFFFFF" w:sz="0"/>
              <w:bottom w:val="none" w:color="FFFFFF" w:sz="0"/>
              <w:right w:val="none" w:color="FFFFFF" w:sz="0"/>
            </w:tcBorders>
            <w:shd w:fill="1A1A1A" w:val="clear"/>
            <w:tcMar>
              <w:top w:type="dxa" w:w="80"/>
              <w:left w:type="dxa" w:w="160"/>
              <w:bottom w:type="dxa" w:w="80"/>
              <w:right w:type="dxa" w:w="160"/>
            </w:tcMar>
          </w:tcPr>
          <w:p>
            <w:r>
              <w:rPr>
                <w:rFonts w:ascii="Arial" w:cs="Arial" w:eastAsia="Arial" w:hAnsi="Arial"/>
                <w:b/>
                <w:bCs/>
                <w:color w:val="B0B0B0"/>
                <w:sz w:val="17"/>
                <w:szCs w:val="17"/>
              </w:rPr>
              <w:t xml:space="preserve">SCENARIO</w:t>
            </w:r>
          </w:p>
        </w:tc>
      </w:tr>
      <w:tr>
        <w:tc>
          <w:tcPr>
            <w:tcW w:type="dxa" w:w="1800"/>
            <w:tcBorders>
              <w:top w:val="single" w:color="D0D0D0" w:sz="1"/>
              <w:left w:val="single" w:color="D0D0D0" w:sz="1"/>
              <w:bottom w:val="single" w:color="D0D0D0" w:sz="1"/>
              <w:right w:val="single" w:color="D0D0D0" w:sz="1"/>
            </w:tcBorders>
            <w:shd w:fill="F5F5F5" w:val="clear"/>
            <w:tcMar>
              <w:top w:type="dxa" w:w="100"/>
              <w:left w:type="dxa" w:w="160"/>
              <w:bottom w:type="dxa" w:w="100"/>
              <w:right w:type="dxa" w:w="160"/>
            </w:tcMar>
            <w:vAlign w:val="center"/>
          </w:tcPr>
          <w:p>
            <w:pPr>
              <w:jc w:val="center"/>
            </w:pPr>
            <w:r>
              <w:rPr>
                <w:rFonts w:ascii="Arial" w:cs="Arial" w:eastAsia="Arial" w:hAnsi="Arial"/>
                <w:b/>
                <w:bCs/>
                <w:color w:val="8B0000"/>
                <w:sz w:val="32"/>
                <w:szCs w:val="32"/>
              </w:rPr>
              <w:t xml:space="preserve">$200K</w:t>
            </w:r>
          </w:p>
        </w:tc>
        <w:tc>
          <w:tcPr>
            <w:tcW w:type="dxa" w:w="7560"/>
            <w:tcBorders>
              <w:top w:val="single" w:color="D0D0D0" w:sz="1"/>
              <w:left w:val="single" w:color="D0D0D0" w:sz="1"/>
              <w:bottom w:val="single" w:color="D0D0D0" w:sz="1"/>
              <w:right w:val="single" w:color="D0D0D0" w:sz="1"/>
            </w:tcBorders>
            <w:shd w:fill="FFFFFF" w:val="clear"/>
            <w:tcMar>
              <w:top w:type="dxa" w:w="100"/>
              <w:left w:type="dxa" w:w="160"/>
              <w:bottom w:type="dxa" w:w="100"/>
              <w:right w:type="dxa" w:w="160"/>
            </w:tcMar>
            <w:vAlign w:val="center"/>
          </w:tcPr>
          <w:p>
            <w:r>
              <w:rPr>
                <w:rFonts w:ascii="Arial" w:cs="Arial" w:eastAsia="Arial" w:hAnsi="Arial"/>
                <w:color w:val="444444"/>
                <w:sz w:val="20"/>
                <w:szCs w:val="20"/>
              </w:rPr>
              <w:t xml:space="preserve">HECM LOC established at 65, line untouched</w:t>
            </w:r>
          </w:p>
        </w:tc>
      </w:tr>
      <w:tr>
        <w:tc>
          <w:tcPr>
            <w:tcW w:type="dxa" w:w="1800"/>
            <w:tcBorders>
              <w:top w:val="single" w:color="D0D0D0" w:sz="1"/>
              <w:left w:val="single" w:color="D0D0D0" w:sz="1"/>
              <w:bottom w:val="single" w:color="D0D0D0" w:sz="1"/>
              <w:right w:val="single" w:color="D0D0D0" w:sz="1"/>
            </w:tcBorders>
            <w:shd w:fill="F0F7F2" w:val="clear"/>
            <w:tcMar>
              <w:top w:type="dxa" w:w="100"/>
              <w:left w:type="dxa" w:w="160"/>
              <w:bottom w:type="dxa" w:w="100"/>
              <w:right w:type="dxa" w:w="160"/>
            </w:tcMar>
            <w:vAlign w:val="center"/>
          </w:tcPr>
          <w:p>
            <w:pPr>
              <w:jc w:val="center"/>
            </w:pPr>
            <w:r>
              <w:rPr>
                <w:rFonts w:ascii="Arial" w:cs="Arial" w:eastAsia="Arial" w:hAnsi="Arial"/>
                <w:b/>
                <w:bCs/>
                <w:color w:val="1A6B3A"/>
                <w:sz w:val="32"/>
                <w:szCs w:val="32"/>
              </w:rPr>
              <w:t xml:space="preserve">$393K</w:t>
            </w:r>
          </w:p>
        </w:tc>
        <w:tc>
          <w:tcPr>
            <w:tcW w:type="dxa" w:w="7560"/>
            <w:tcBorders>
              <w:top w:val="single" w:color="D0D0D0" w:sz="1"/>
              <w:left w:val="single" w:color="D0D0D0" w:sz="1"/>
              <w:bottom w:val="single" w:color="D0D0D0" w:sz="1"/>
              <w:right w:val="single" w:color="D0D0D0" w:sz="1"/>
            </w:tcBorders>
            <w:shd w:fill="FFFFFF" w:val="clear"/>
            <w:tcMar>
              <w:top w:type="dxa" w:w="100"/>
              <w:left w:type="dxa" w:w="160"/>
              <w:bottom w:type="dxa" w:w="100"/>
              <w:right w:type="dxa" w:w="160"/>
            </w:tcMar>
            <w:vAlign w:val="center"/>
          </w:tcPr>
          <w:p>
            <w:r>
              <w:rPr>
                <w:rFonts w:ascii="Arial" w:cs="Arial" w:eastAsia="Arial" w:hAnsi="Arial"/>
                <w:color w:val="444444"/>
                <w:sz w:val="20"/>
                <w:szCs w:val="20"/>
              </w:rPr>
              <w:t xml:space="preserve">Available at 75 — 10 years of compounding at ~7%</w:t>
            </w:r>
          </w:p>
        </w:tc>
      </w:tr>
      <w:tr>
        <w:tc>
          <w:tcPr>
            <w:tcW w:type="dxa" w:w="1800"/>
            <w:tcBorders>
              <w:top w:val="single" w:color="D0D0D0" w:sz="1"/>
              <w:left w:val="single" w:color="D0D0D0" w:sz="1"/>
              <w:bottom w:val="single" w:color="D0D0D0" w:sz="1"/>
              <w:right w:val="single" w:color="D0D0D0" w:sz="1"/>
            </w:tcBorders>
            <w:shd w:fill="F0F7F2" w:val="clear"/>
            <w:tcMar>
              <w:top w:type="dxa" w:w="100"/>
              <w:left w:type="dxa" w:w="160"/>
              <w:bottom w:type="dxa" w:w="100"/>
              <w:right w:type="dxa" w:w="160"/>
            </w:tcMar>
            <w:vAlign w:val="center"/>
          </w:tcPr>
          <w:p>
            <w:pPr>
              <w:jc w:val="center"/>
            </w:pPr>
            <w:r>
              <w:rPr>
                <w:rFonts w:ascii="Arial" w:cs="Arial" w:eastAsia="Arial" w:hAnsi="Arial"/>
                <w:b/>
                <w:bCs/>
                <w:color w:val="1A6B3A"/>
                <w:sz w:val="32"/>
                <w:szCs w:val="32"/>
              </w:rPr>
              <w:t xml:space="preserve">$771K</w:t>
            </w:r>
          </w:p>
        </w:tc>
        <w:tc>
          <w:tcPr>
            <w:tcW w:type="dxa" w:w="7560"/>
            <w:tcBorders>
              <w:top w:val="single" w:color="D0D0D0" w:sz="1"/>
              <w:left w:val="single" w:color="D0D0D0" w:sz="1"/>
              <w:bottom w:val="single" w:color="D0D0D0" w:sz="1"/>
              <w:right w:val="single" w:color="D0D0D0" w:sz="1"/>
            </w:tcBorders>
            <w:shd w:fill="FFFFFF" w:val="clear"/>
            <w:tcMar>
              <w:top w:type="dxa" w:w="100"/>
              <w:left w:type="dxa" w:w="160"/>
              <w:bottom w:type="dxa" w:w="100"/>
              <w:right w:type="dxa" w:w="160"/>
            </w:tcMar>
            <w:vAlign w:val="center"/>
          </w:tcPr>
          <w:p>
            <w:r>
              <w:rPr>
                <w:rFonts w:ascii="Arial" w:cs="Arial" w:eastAsia="Arial" w:hAnsi="Arial"/>
                <w:color w:val="444444"/>
                <w:sz w:val="20"/>
                <w:szCs w:val="20"/>
              </w:rPr>
              <w:t xml:space="preserve">Available at 85 — 20 years compounded</w:t>
            </w:r>
          </w:p>
        </w:tc>
      </w:tr>
      <w:tr>
        <w:tc>
          <w:tcPr>
            <w:tcW w:type="dxa" w:w="1800"/>
            <w:tcBorders>
              <w:top w:val="single" w:color="D0D0D0" w:sz="1"/>
              <w:left w:val="single" w:color="D0D0D0" w:sz="1"/>
              <w:bottom w:val="single" w:color="D0D0D0" w:sz="1"/>
              <w:right w:val="single" w:color="D0D0D0" w:sz="1"/>
            </w:tcBorders>
            <w:shd w:fill="FCF0F0" w:val="clear"/>
            <w:tcMar>
              <w:top w:type="dxa" w:w="100"/>
              <w:left w:type="dxa" w:w="160"/>
              <w:bottom w:type="dxa" w:w="100"/>
              <w:right w:type="dxa" w:w="160"/>
            </w:tcMar>
            <w:vAlign w:val="center"/>
          </w:tcPr>
          <w:p>
            <w:pPr>
              <w:jc w:val="center"/>
            </w:pPr>
            <w:r>
              <w:rPr>
                <w:rFonts w:ascii="Arial" w:cs="Arial" w:eastAsia="Arial" w:hAnsi="Arial"/>
                <w:b/>
                <w:bCs/>
                <w:color w:val="993333"/>
                <w:sz w:val="32"/>
                <w:szCs w:val="32"/>
              </w:rPr>
              <w:t xml:space="preserve">$200K</w:t>
            </w:r>
          </w:p>
        </w:tc>
        <w:tc>
          <w:tcPr>
            <w:tcW w:type="dxa" w:w="7560"/>
            <w:tcBorders>
              <w:top w:val="single" w:color="D0D0D0" w:sz="1"/>
              <w:left w:val="single" w:color="D0D0D0" w:sz="1"/>
              <w:bottom w:val="single" w:color="D0D0D0" w:sz="1"/>
              <w:right w:val="single" w:color="D0D0D0" w:sz="1"/>
            </w:tcBorders>
            <w:shd w:fill="FFFFFF" w:val="clear"/>
            <w:tcMar>
              <w:top w:type="dxa" w:w="100"/>
              <w:left w:type="dxa" w:w="160"/>
              <w:bottom w:type="dxa" w:w="100"/>
              <w:right w:type="dxa" w:w="160"/>
            </w:tcMar>
            <w:vAlign w:val="center"/>
          </w:tcPr>
          <w:p>
            <w:r>
              <w:rPr>
                <w:rFonts w:ascii="Arial" w:cs="Arial" w:eastAsia="Arial" w:hAnsi="Arial"/>
                <w:color w:val="444444"/>
                <w:sz w:val="20"/>
                <w:szCs w:val="20"/>
              </w:rPr>
              <w:t xml:space="preserve">HELOC comparison — unchanged after 10 years, then closed</w:t>
            </w:r>
          </w:p>
        </w:tc>
      </w:tr>
    </w:tbl>
    <w:p>
      <w:pPr>
        <w:spacing w:after="3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5B8EC2" w:sz="24"/>
              <w:bottom w:val="none" w:color="FFFFFF" w:sz="0"/>
              <w:right w:val="none" w:color="FFFFFF" w:sz="0"/>
            </w:tcBorders>
            <w:shd w:fill="EEF4FB" w:val="clear"/>
            <w:tcMar>
              <w:top w:type="dxa" w:w="120"/>
              <w:left w:type="dxa" w:w="200"/>
              <w:bottom w:type="dxa" w:w="120"/>
              <w:right w:type="dxa" w:w="200"/>
            </w:tcMar>
          </w:tcPr>
          <w:p>
            <w:pPr>
              <w:spacing w:after="80" w:before="0"/>
            </w:pPr>
            <w:r>
              <w:rPr>
                <w:rFonts w:ascii="Arial" w:cs="Arial" w:eastAsia="Arial" w:hAnsi="Arial"/>
                <w:b/>
                <w:bCs/>
                <w:color w:val="1A4A80"/>
                <w:sz w:val="20"/>
                <w:szCs w:val="20"/>
              </w:rPr>
              <w:t xml:space="preserve">The compounding line is not theoretical.</w:t>
            </w:r>
          </w:p>
          <w:p>
            <w:pPr>
              <w:spacing w:after="60" w:before="0"/>
            </w:pPr>
            <w:r>
              <w:rPr>
                <w:rFonts w:ascii="Arial" w:cs="Arial" w:eastAsia="Arial" w:hAnsi="Arial"/>
                <w:color w:val="666666"/>
                <w:sz w:val="19"/>
                <w:szCs w:val="19"/>
              </w:rPr>
              <w:t xml:space="preserve">The growth of an unused HECM Line of Credit is governed by the loan’s interest rate — the same rate used to calculate what you’d owe if you drew on it. The amount available to you grows in real dollars, accessible on demand, with no bank committee approval required.</w:t>
            </w:r>
          </w:p>
          <w:p>
            <w:pPr>
              <w:spacing w:after="60" w:before="0"/>
            </w:pPr>
            <w:r>
              <w:rPr>
                <w:rFonts w:ascii="Arial" w:cs="Arial" w:eastAsia="Arial" w:hAnsi="Arial"/>
                <w:color w:val="666666"/>
                <w:sz w:val="19"/>
                <w:szCs w:val="19"/>
              </w:rPr>
              <w:t xml:space="preserve">A HELOC left unused for 10 years is still worth $200,000 — and then it closes.</w:t>
            </w:r>
          </w:p>
        </w:tc>
      </w:tr>
    </w:tbl>
    <w:p>
      <w:pPr>
        <w:spacing w:after="400" w:before="0"/>
      </w:pPr>
      <w:r>
        <w:t xml:space="preserve"/>
      </w:r>
    </w:p>
    <w:p>
      <w:pPr>
        <w:spacing w:after="60" w:before="280"/>
      </w:pPr>
      <w:r>
        <w:rPr>
          <w:rFonts w:ascii="Arial" w:cs="Arial" w:eastAsia="Arial" w:hAnsi="Arial"/>
          <w:b/>
          <w:bCs/>
          <w:color w:val="8B0000"/>
          <w:sz w:val="18"/>
          <w:szCs w:val="18"/>
        </w:rPr>
        <w:t xml:space="preserve">SECTION 4 — THE 401(K) TAX OFFSET STRATEGY</w:t>
      </w:r>
    </w:p>
    <w:p>
      <w:pPr>
        <w:pBdr>
          <w:bottom w:val="single" w:color="8B0000" w:sz="12" w:space="1"/>
        </w:pBdr>
        <w:spacing w:after="100" w:before="0"/>
      </w:pPr>
      <w:r>
        <w:t xml:space="preserve"/>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40"/>
        <w:gridCol w:w="4440"/>
      </w:tblGrid>
      <w:tr>
        <w:tc>
          <w:tcPr>
            <w:tcW w:type="dxa" w:w="4440"/>
            <w:tcBorders>
              <w:top w:val="none" w:color="FFFFFF" w:sz="0"/>
              <w:left w:val="none" w:color="FFFFFF" w:sz="0"/>
              <w:bottom w:val="none" w:color="FFFFFF" w:sz="0"/>
              <w:right w:val="none" w:color="FFFFFF" w:sz="0"/>
            </w:tcBorders>
            <w:shd w:fill="CC2222" w:val="clear"/>
            <w:tcMar>
              <w:top w:type="dxa" w:w="100"/>
              <w:left w:type="dxa" w:w="160"/>
              <w:bottom w:type="dxa" w:w="100"/>
              <w:right w:type="dxa" w:w="160"/>
            </w:tcMar>
            <w:vAlign w:val="center"/>
          </w:tcPr>
          <w:p>
            <w:pPr>
              <w:spacing w:after="40" w:before="0"/>
            </w:pPr>
            <w:r>
              <w:rPr>
                <w:rFonts w:ascii="Arial" w:cs="Arial" w:eastAsia="Arial" w:hAnsi="Arial"/>
                <w:b/>
                <w:bCs/>
                <w:color w:val="FFFFFF"/>
                <w:sz w:val="22"/>
                <w:szCs w:val="22"/>
              </w:rPr>
              <w:t xml:space="preserve">Without HECM LOC</w:t>
            </w:r>
          </w:p>
          <w:p>
            <w:pPr>
              <w:spacing w:after="0" w:before="0"/>
            </w:pPr>
            <w:r>
              <w:rPr>
                <w:rFonts w:ascii="Arial" w:cs="Arial" w:eastAsia="Arial" w:hAnsi="Arial"/>
                <w:i/>
                <w:iCs/>
                <w:color w:val="AAAAAA"/>
                <w:sz w:val="17"/>
                <w:szCs w:val="17"/>
              </w:rPr>
              <w:t xml:space="preserve">Traditional 401(k) draw approach</w:t>
            </w:r>
          </w:p>
        </w:tc>
        <w:tc>
          <w:tcPr>
            <w:tcW w:type="dxa" w:w="4440"/>
            <w:tcBorders>
              <w:top w:val="none" w:color="FFFFFF" w:sz="0"/>
              <w:left w:val="none" w:color="FFFFFF" w:sz="0"/>
              <w:bottom w:val="none" w:color="FFFFFF" w:sz="0"/>
              <w:right w:val="none" w:color="FFFFFF" w:sz="0"/>
            </w:tcBorders>
            <w:shd w:fill="1A6B3A" w:val="clear"/>
            <w:tcMar>
              <w:top w:type="dxa" w:w="100"/>
              <w:left w:type="dxa" w:w="160"/>
              <w:bottom w:type="dxa" w:w="100"/>
              <w:right w:type="dxa" w:w="160"/>
            </w:tcMar>
            <w:vAlign w:val="center"/>
          </w:tcPr>
          <w:p>
            <w:pPr>
              <w:spacing w:after="40" w:before="0"/>
            </w:pPr>
            <w:r>
              <w:rPr>
                <w:rFonts w:ascii="Arial" w:cs="Arial" w:eastAsia="Arial" w:hAnsi="Arial"/>
                <w:b/>
                <w:bCs/>
                <w:color w:val="FFFFFF"/>
                <w:sz w:val="22"/>
                <w:szCs w:val="22"/>
              </w:rPr>
              <w:t xml:space="preserve">With HECM LOC</w:t>
            </w:r>
          </w:p>
          <w:p>
            <w:pPr>
              <w:spacing w:after="0" w:before="0"/>
            </w:pPr>
            <w:r>
              <w:rPr>
                <w:rFonts w:ascii="Arial" w:cs="Arial" w:eastAsia="Arial" w:hAnsi="Arial"/>
                <w:i/>
                <w:iCs/>
                <w:color w:val="AAAAAA"/>
                <w:sz w:val="17"/>
                <w:szCs w:val="17"/>
              </w:rPr>
              <w:t xml:space="preserve">Coordinated tax-offset strategy</w:t>
            </w:r>
          </w:p>
        </w:tc>
      </w:tr>
      <w:tr>
        <w:tc>
          <w:tcPr>
            <w:tcW w:type="dxa" w:w="4440"/>
            <w:tcBorders>
              <w:top w:val="single" w:color="D4A0A0" w:sz="1"/>
              <w:left w:val="single" w:color="D4A0A0" w:sz="1"/>
              <w:bottom w:val="single" w:color="D4A0A0" w:sz="1"/>
              <w:right w:val="single" w:color="D4A0A0" w:sz="1"/>
            </w:tcBorders>
            <w:shd w:fill="FCF0F0" w:val="clear"/>
            <w:tcMar>
              <w:top w:type="dxa" w:w="100"/>
              <w:left w:type="dxa" w:w="160"/>
              <w:bottom w:type="dxa" w:w="100"/>
              <w:right w:type="dxa" w:w="160"/>
            </w:tcMar>
          </w:tcPr>
          <w:p>
            <w:pPr>
              <w:spacing w:after="60" w:before="0"/>
            </w:pPr>
            <w:r>
              <w:rPr>
                <w:rFonts w:ascii="Arial" w:cs="Arial" w:eastAsia="Arial" w:hAnsi="Arial"/>
                <w:b/>
                <w:bCs/>
                <w:color w:val="993333"/>
                <w:sz w:val="19"/>
                <w:szCs w:val="19"/>
              </w:rPr>
              <w:t xml:space="preserve">Draw $80K/yr from 401(k) to live on</w:t>
            </w:r>
          </w:p>
          <w:p>
            <w:pPr>
              <w:spacing w:after="40" w:before="0"/>
            </w:pPr>
            <w:r>
              <w:rPr>
                <w:rFonts w:ascii="Arial" w:cs="Arial" w:eastAsia="Arial" w:hAnsi="Arial"/>
                <w:color w:val="666666"/>
                <w:sz w:val="18"/>
                <w:szCs w:val="18"/>
              </w:rPr>
              <w:t xml:space="preserve">Full $80K is ordinary income</w:t>
            </w:r>
          </w:p>
          <w:p>
            <w:pPr>
              <w:spacing w:after="40" w:before="0"/>
            </w:pPr>
            <w:r>
              <w:rPr>
                <w:rFonts w:ascii="Arial" w:cs="Arial" w:eastAsia="Arial" w:hAnsi="Arial"/>
                <w:color w:val="666666"/>
                <w:sz w:val="18"/>
                <w:szCs w:val="18"/>
              </w:rPr>
              <w:t xml:space="preserve">Pay full tax rate on every dollar</w:t>
            </w:r>
          </w:p>
          <w:p>
            <w:pPr>
              <w:spacing w:after="40" w:before="0"/>
            </w:pPr>
            <w:r>
              <w:rPr>
                <w:rFonts w:ascii="Arial" w:cs="Arial" w:eastAsia="Arial" w:hAnsi="Arial"/>
                <w:color w:val="666666"/>
                <w:sz w:val="18"/>
                <w:szCs w:val="18"/>
              </w:rPr>
              <w:t xml:space="preserve">Raise AGI → trigger IRMAA surcharges</w:t>
            </w:r>
          </w:p>
          <w:p>
            <w:pPr>
              <w:spacing w:after="0" w:before="0"/>
            </w:pPr>
            <w:r>
              <w:rPr>
                <w:rFonts w:ascii="Arial" w:cs="Arial" w:eastAsia="Arial" w:hAnsi="Arial"/>
                <w:color w:val="666666"/>
                <w:sz w:val="18"/>
                <w:szCs w:val="18"/>
              </w:rPr>
              <w:t xml:space="preserve">Portfolio depletes at full withdrawal rate</w:t>
            </w:r>
          </w:p>
        </w:tc>
        <w:tc>
          <w:tcPr>
            <w:tcW w:type="dxa" w:w="4440"/>
            <w:tcBorders>
              <w:top w:val="single" w:color="9FC9AF" w:sz="1"/>
              <w:left w:val="single" w:color="9FC9AF" w:sz="1"/>
              <w:bottom w:val="single" w:color="9FC9AF" w:sz="1"/>
              <w:right w:val="single" w:color="9FC9AF" w:sz="1"/>
            </w:tcBorders>
            <w:shd w:fill="F0F7F2" w:val="clear"/>
            <w:tcMar>
              <w:top w:type="dxa" w:w="100"/>
              <w:left w:type="dxa" w:w="160"/>
              <w:bottom w:type="dxa" w:w="100"/>
              <w:right w:type="dxa" w:w="160"/>
            </w:tcMar>
          </w:tcPr>
          <w:p>
            <w:pPr>
              <w:spacing w:after="60" w:before="0"/>
            </w:pPr>
            <w:r>
              <w:rPr>
                <w:rFonts w:ascii="Arial" w:cs="Arial" w:eastAsia="Arial" w:hAnsi="Arial"/>
                <w:b/>
                <w:bCs/>
                <w:color w:val="1A6B3A"/>
                <w:sz w:val="19"/>
                <w:szCs w:val="19"/>
              </w:rPr>
              <w:t xml:space="preserve">Draw $40K from 401(k) + $40K from HECM LOC (tax-free)</w:t>
            </w:r>
          </w:p>
          <w:p>
            <w:pPr>
              <w:spacing w:after="40" w:before="0"/>
            </w:pPr>
            <w:r>
              <w:rPr>
                <w:rFonts w:ascii="Arial" w:cs="Arial" w:eastAsia="Arial" w:hAnsi="Arial"/>
                <w:color w:val="666666"/>
                <w:sz w:val="18"/>
                <w:szCs w:val="18"/>
              </w:rPr>
              <w:t xml:space="preserve">AGI cut in half — lower tax bracket</w:t>
            </w:r>
          </w:p>
          <w:p>
            <w:pPr>
              <w:spacing w:after="40" w:before="0"/>
            </w:pPr>
            <w:r>
              <w:rPr>
                <w:rFonts w:ascii="Arial" w:cs="Arial" w:eastAsia="Arial" w:hAnsi="Arial"/>
                <w:color w:val="666666"/>
                <w:sz w:val="18"/>
                <w:szCs w:val="18"/>
              </w:rPr>
              <w:t xml:space="preserve">Lower or eliminate Medicare IRMAA premium surcharges</w:t>
            </w:r>
          </w:p>
          <w:p>
            <w:pPr>
              <w:spacing w:after="40" w:before="0"/>
            </w:pPr>
            <w:r>
              <w:rPr>
                <w:rFonts w:ascii="Arial" w:cs="Arial" w:eastAsia="Arial" w:hAnsi="Arial"/>
                <w:color w:val="666666"/>
                <w:sz w:val="18"/>
                <w:szCs w:val="18"/>
              </w:rPr>
              <w:t xml:space="preserve">Portfolio depletes at half the rate</w:t>
            </w:r>
          </w:p>
          <w:p>
            <w:pPr>
              <w:spacing w:after="0" w:before="0"/>
            </w:pPr>
            <w:r>
              <w:rPr>
                <w:rFonts w:ascii="Arial" w:cs="Arial" w:eastAsia="Arial" w:hAnsi="Arial"/>
                <w:color w:val="666666"/>
                <w:sz w:val="18"/>
                <w:szCs w:val="18"/>
              </w:rPr>
              <w:t xml:space="preserve">HECM LOC paydown rebuilds line dollar-for-dollar</w:t>
            </w:r>
          </w:p>
        </w:tc>
      </w:tr>
    </w:tbl>
    <w:p>
      <w:pPr>
        <w:spacing w:after="400" w:before="0"/>
      </w:pPr>
      <w:r>
        <w:t xml:space="preserve"/>
      </w:r>
    </w:p>
    <w:p>
      <w:pPr>
        <w:spacing w:after="60" w:before="280"/>
      </w:pPr>
      <w:r>
        <w:rPr>
          <w:rFonts w:ascii="Arial" w:cs="Arial" w:eastAsia="Arial" w:hAnsi="Arial"/>
          <w:b/>
          <w:bCs/>
          <w:color w:val="8B0000"/>
          <w:sz w:val="18"/>
          <w:szCs w:val="18"/>
        </w:rPr>
        <w:t xml:space="preserve">SECTION 5 — THE ADVISOR’S FRAMING</w:t>
      </w:r>
    </w:p>
    <w:p>
      <w:pPr>
        <w:pBdr>
          <w:bottom w:val="single" w:color="8B0000" w:sz="12" w:space="1"/>
        </w:pBdr>
        <w:spacing w:after="100" w:before="0"/>
      </w:pPr>
      <w:r>
        <w:t xml:space="preserve"/>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5B8EC2" w:sz="24"/>
              <w:bottom w:val="none" w:color="FFFFFF" w:sz="0"/>
              <w:right w:val="none" w:color="FFFFFF" w:sz="0"/>
            </w:tcBorders>
            <w:shd w:fill="EEF4FB" w:val="clear"/>
            <w:tcMar>
              <w:top w:type="dxa" w:w="120"/>
              <w:left w:type="dxa" w:w="200"/>
              <w:bottom w:type="dxa" w:w="120"/>
              <w:right w:type="dxa" w:w="200"/>
            </w:tcMar>
          </w:tcPr>
          <w:p>
            <w:pPr>
              <w:spacing w:after="80" w:before="0"/>
            </w:pPr>
            <w:r>
              <w:rPr>
                <w:rFonts w:ascii="Arial" w:cs="Arial" w:eastAsia="Arial" w:hAnsi="Arial"/>
                <w:b/>
                <w:bCs/>
                <w:color w:val="1A4A80"/>
                <w:sz w:val="20"/>
                <w:szCs w:val="20"/>
              </w:rPr>
              <w:t xml:space="preserve">How to present this to the self-insured client:</w:t>
            </w:r>
          </w:p>
          <w:p>
            <w:pPr>
              <w:spacing w:after="60" w:before="0"/>
            </w:pPr>
            <w:r>
              <w:rPr>
                <w:rFonts w:ascii="Arial" w:cs="Arial" w:eastAsia="Arial" w:hAnsi="Arial"/>
                <w:color w:val="666666"/>
                <w:sz w:val="19"/>
                <w:szCs w:val="19"/>
              </w:rPr>
              <w:t xml:space="preserve">You already have the right instinct — keep things simple and use leverage selectively. A HECM LOC is not debt in the traditional sense. It is a federally insured, government-regulated line of credit secured by an asset you already own, that grows compounding while you don’t need it and can never be taken away.</w:t>
            </w:r>
          </w:p>
          <w:p>
            <w:pPr>
              <w:spacing w:after="60" w:before="0"/>
            </w:pPr>
            <w:r>
              <w:rPr>
                <w:rFonts w:ascii="Arial" w:cs="Arial" w:eastAsia="Arial" w:hAnsi="Arial"/>
                <w:color w:val="666666"/>
                <w:sz w:val="19"/>
                <w:szCs w:val="19"/>
              </w:rPr>
              <w:t xml:space="preserve">Your HELOC can be.</w:t>
            </w:r>
          </w:p>
          <w:p>
            <w:pPr>
              <w:spacing w:after="60" w:before="0"/>
            </w:pPr>
            <w:r>
              <w:rPr>
                <w:rFonts w:ascii="Arial" w:cs="Arial" w:eastAsia="Arial" w:hAnsi="Arial"/>
                <w:color w:val="666666"/>
                <w:sz w:val="19"/>
                <w:szCs w:val="19"/>
              </w:rPr>
              <w:t xml:space="preserve">The question is not “should I pay this upfront cost?” The question is: “What is the price of a line of credit that cannot be frozen, grows automatically, requires no payment, and is available whether I’m healthy or not?”</w:t>
            </w:r>
          </w:p>
          <w:p>
            <w:pPr>
              <w:spacing w:after="60" w:before="0"/>
            </w:pPr>
            <w:r>
              <w:rPr>
                <w:rFonts w:ascii="Arial" w:cs="Arial" w:eastAsia="Arial" w:hAnsi="Arial"/>
                <w:color w:val="666666"/>
                <w:sz w:val="19"/>
                <w:szCs w:val="19"/>
              </w:rPr>
              <w:t xml:space="preserve">For most people at 65, that price is worth paying once.</w:t>
            </w:r>
          </w:p>
        </w:tc>
      </w:tr>
    </w:tbl>
    <w:p>
      <w:pPr>
        <w:spacing w:after="320" w:before="0"/>
      </w:pPr>
      <w:r>
        <w:t xml:space="preserve"/>
      </w:r>
    </w:p>
    <w:p>
      <w:pPr>
        <w:pStyle w:val="Heading2"/>
      </w:pPr>
      <w:r>
        <w:rPr>
          <w:rFonts w:ascii="Arial" w:cs="Arial" w:eastAsia="Arial" w:hAnsi="Arial"/>
          <w:b/>
          <w:bCs/>
          <w:color w:val="1A1A1A"/>
          <w:sz w:val="26"/>
          <w:szCs w:val="26"/>
        </w:rPr>
        <w:t xml:space="preserve">Key Points to Reinforce</w:t>
      </w:r>
    </w:p>
    <w:p>
      <w:pPr>
        <w:pStyle w:val="ListParagraph"/>
        <w:numPr>
          <w:ilvl w:val="0"/>
          <w:numId w:val="2"/>
        </w:numPr>
        <w:spacing w:after="60" w:before="0"/>
      </w:pPr>
      <w:r>
        <w:rPr>
          <w:rFonts w:ascii="Arial" w:cs="Arial" w:eastAsia="Arial" w:hAnsi="Arial"/>
          <w:color w:val="444444"/>
          <w:sz w:val="20"/>
          <w:szCs w:val="20"/>
        </w:rPr>
        <w:t xml:space="preserve">A HELOC requires YOU to be healthy, qualified, and income-producing to access it. A HECM does not.</w:t>
      </w:r>
    </w:p>
    <w:p>
      <w:pPr>
        <w:pStyle w:val="ListParagraph"/>
        <w:numPr>
          <w:ilvl w:val="0"/>
          <w:numId w:val="2"/>
        </w:numPr>
        <w:spacing w:after="60" w:before="0"/>
      </w:pPr>
      <w:r>
        <w:rPr>
          <w:rFonts w:ascii="Arial" w:cs="Arial" w:eastAsia="Arial" w:hAnsi="Arial"/>
          <w:color w:val="444444"/>
          <w:sz w:val="20"/>
          <w:szCs w:val="20"/>
        </w:rPr>
        <w:t xml:space="preserve">Banks froze or reduced HELOCs on millions of healthy accounts in 2008–2009 — a HECM LOC is protected by federal statute from this action.</w:t>
      </w:r>
    </w:p>
    <w:p>
      <w:pPr>
        <w:pStyle w:val="ListParagraph"/>
        <w:numPr>
          <w:ilvl w:val="0"/>
          <w:numId w:val="2"/>
        </w:numPr>
        <w:spacing w:after="60" w:before="0"/>
      </w:pPr>
      <w:r>
        <w:rPr>
          <w:rFonts w:ascii="Arial" w:cs="Arial" w:eastAsia="Arial" w:hAnsi="Arial"/>
          <w:color w:val="444444"/>
          <w:sz w:val="20"/>
          <w:szCs w:val="20"/>
        </w:rPr>
        <w:t xml:space="preserve">The upfront cost of a HECM is a one-time investment in a permanently accessible, federally protected, compounding line of credit.</w:t>
      </w:r>
    </w:p>
    <w:p>
      <w:pPr>
        <w:pStyle w:val="ListParagraph"/>
        <w:numPr>
          <w:ilvl w:val="0"/>
          <w:numId w:val="2"/>
        </w:numPr>
        <w:spacing w:after="60" w:before="0"/>
      </w:pPr>
      <w:r>
        <w:rPr>
          <w:rFonts w:ascii="Arial" w:cs="Arial" w:eastAsia="Arial" w:hAnsi="Arial"/>
          <w:color w:val="444444"/>
          <w:sz w:val="20"/>
          <w:szCs w:val="20"/>
        </w:rPr>
        <w:t xml:space="preserve">Every dollar drawn from the HECM LOC is tax-free. Every dollar drawn from a 401(k) to replace it is ordinary income.</w:t>
      </w:r>
    </w:p>
    <w:p>
      <w:pPr>
        <w:pStyle w:val="ListParagraph"/>
        <w:numPr>
          <w:ilvl w:val="0"/>
          <w:numId w:val="2"/>
        </w:numPr>
        <w:spacing w:after="60" w:before="0"/>
      </w:pPr>
      <w:r>
        <w:rPr>
          <w:rFonts w:ascii="Arial" w:cs="Arial" w:eastAsia="Arial" w:hAnsi="Arial"/>
          <w:color w:val="444444"/>
          <w:sz w:val="20"/>
          <w:szCs w:val="20"/>
        </w:rPr>
        <w:t xml:space="preserve">The HECM LOC is not debt management — it is liquidity architecture for the retirement years when the margin for error is lowest.</w:t>
      </w:r>
    </w:p>
    <w:p>
      <w:pPr>
        <w:spacing w:after="4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1A" w:val="clear"/>
            <w:tcMar>
              <w:top w:type="dxa" w:w="200"/>
              <w:left w:type="dxa" w:w="320"/>
              <w:bottom w:type="dxa" w:w="200"/>
              <w:right w:type="dxa" w:w="320"/>
            </w:tcMar>
          </w:tcPr>
          <w:p>
            <w:pPr>
              <w:spacing w:after="60" w:before="0"/>
              <w:jc w:val="center"/>
            </w:pPr>
            <w:r>
              <w:rPr>
                <w:rFonts w:ascii="Arial" w:cs="Arial" w:eastAsia="Arial" w:hAnsi="Arial"/>
                <w:i/>
                <w:iCs/>
                <w:color w:val="B0B0B0"/>
                <w:sz w:val="20"/>
                <w:szCs w:val="20"/>
              </w:rPr>
              <w:t xml:space="preserve">“The goal is not higher returns.</w:t>
            </w:r>
          </w:p>
          <w:p>
            <w:pPr>
              <w:spacing w:after="100" w:before="0"/>
              <w:jc w:val="center"/>
            </w:pPr>
            <w:r>
              <w:rPr>
                <w:rFonts w:ascii="Arial" w:cs="Arial" w:eastAsia="Arial" w:hAnsi="Arial"/>
                <w:b/>
                <w:bCs/>
                <w:color w:val="FFFFFF"/>
                <w:sz w:val="22"/>
                <w:szCs w:val="22"/>
              </w:rPr>
              <w:t xml:space="preserve">The goal is never being forced into a bad decision.”</w:t>
            </w:r>
          </w:p>
          <w:p>
            <w:pPr>
              <w:spacing w:after="0" w:before="0"/>
              <w:jc w:val="center"/>
            </w:pPr>
            <w:r>
              <w:rPr>
                <w:rFonts w:ascii="Arial" w:cs="Arial" w:eastAsia="Arial" w:hAnsi="Arial"/>
                <w:color w:val="888888"/>
                <w:sz w:val="17"/>
                <w:szCs w:val="17"/>
              </w:rPr>
              <w:t xml:space="preserve">— JCS Agency · Failure-Proof Retirement System™</w:t>
            </w:r>
          </w:p>
        </w:tc>
      </w:tr>
    </w:tbl>
    <w:sectPr>
      <w:headerReference w:type="default" r:id="rId7"/>
      <w:footerReference w:type="default" r:id="rId8"/>
      <w:pgSz w:w="12240" w:h="15840" w:orient="portrait"/>
      <w:pgMar w:top="72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0D0" w:sz="4" w:space="1"/>
      </w:pBdr>
      <w:spacing w:before="80"/>
      <w:jc w:val="center"/>
    </w:pPr>
    <w:r>
      <w:rPr>
        <w:rFonts w:ascii="Arial" w:cs="Arial" w:eastAsia="Arial" w:hAnsi="Arial"/>
        <w:color w:val="B0B0B0"/>
        <w:sz w:val="16"/>
        <w:szCs w:val="16"/>
      </w:rPr>
      <w:t xml:space="preserve">HELOC vs. HECM Line of Credit  |  For Illustration Purposes Only  |  Not a solicitation or guarantee of product performance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1A1A1A" w:val="clear"/>
          <w:tcMar>
            <w:top w:type="dxa" w:w="140"/>
            <w:left w:type="dxa" w:w="200"/>
            <w:bottom w:type="dxa" w:w="140"/>
            <w:right w:type="dxa" w:w="200"/>
          </w:tcMar>
        </w:tcPr>
        <w:p>
          <w:pPr>
            <w:jc w:val="left"/>
          </w:pPr>
          <w:r>
            <w:rPr>
              <w:rFonts w:ascii="Arial" w:cs="Arial" w:eastAsia="Arial" w:hAnsi="Arial"/>
              <w:b/>
              <w:bCs/>
              <w:color w:val="FFFFFF"/>
              <w:sz w:val="22"/>
              <w:szCs w:val="22"/>
            </w:rPr>
            <w:t xml:space="preserve">JCS AGENCY</w:t>
          </w:r>
          <w:r>
            <w:rPr>
              <w:rFonts w:ascii="Arial" w:cs="Arial" w:eastAsia="Arial" w:hAnsi="Arial"/>
              <w:color w:val="B0B0B0"/>
              <w:sz w:val="18"/>
              <w:szCs w:val="18"/>
            </w:rPr>
            <w:t xml:space="preserve">   |   FAILURE-PROOF RETIREMENT SYSTEM™</w:t>
          </w:r>
          <w:r>
            <w:rPr>
              <w:rFonts w:ascii="Arial" w:cs="Arial" w:eastAsia="Arial" w:hAnsi="Arial"/>
              <w:color w:val="666666"/>
              <w:sz w:val="16"/>
              <w:szCs w:val="16"/>
            </w:rPr>
            <w:t xml:space="preserve">   |   CONFIDENTIAL CLIENT BRIEF</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44444"/>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0"/>
      <w:outlineLvl w:val="0"/>
    </w:pPr>
    <w:rPr>
      <w:rFonts w:ascii="Arial" w:cs="Arial" w:eastAsia="Arial" w:hAnsi="Arial"/>
      <w:b/>
      <w:bCs/>
      <w:color w:val="FFFFFF"/>
      <w:sz w:val="40"/>
      <w:szCs w:val="40"/>
    </w:rPr>
  </w:style>
  <w:style w:type="paragraph" w:styleId="Heading2">
    <w:name w:val="Heading 2"/>
    <w:basedOn w:val="Normal"/>
    <w:next w:val="Normal"/>
    <w:qFormat/>
    <w:pPr>
      <w:spacing w:after="120" w:before="240"/>
      <w:outlineLvl w:val="1"/>
    </w:pPr>
    <w:rPr>
      <w:rFonts w:ascii="Arial" w:cs="Arial" w:eastAsia="Arial" w:hAnsi="Arial"/>
      <w:b/>
      <w:bCs/>
      <w:color w:val="1A1A1A"/>
      <w:sz w:val="26"/>
      <w:szCs w:val="26"/>
    </w:rPr>
  </w:style>
  <w:style w:type="paragraph" w:styleId="Heading3">
    <w:name w:val="Heading 3"/>
    <w:basedOn w:val="Normal"/>
    <w:next w:val="Normal"/>
    <w:qFormat/>
    <w:pPr>
      <w:spacing w:after="80" w:before="200"/>
      <w:outlineLvl w:val="2"/>
    </w:pPr>
    <w:rPr>
      <w:rFonts w:ascii="Arial" w:cs="Arial" w:eastAsia="Arial" w:hAnsi="Arial"/>
      <w:b/>
      <w:bCs/>
      <w:color w:val="8B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2026-05-08T03:30:16.609Z</dcterms:created>
  <dcterms:modified xsi:type="dcterms:W3CDTF">2026-05-08T03:30:16.628Z</dcterms:modified>
</cp:coreProperties>
</file>

<file path=docProps/custom.xml><?xml version="1.0" encoding="utf-8"?>
<Properties xmlns="http://schemas.openxmlformats.org/officeDocument/2006/custom-properties" xmlns:vt="http://schemas.openxmlformats.org/officeDocument/2006/docPropsVTypes"/>
</file>