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E-COMMERCE SALES ANALYSIS</w:t>
      </w:r>
    </w:p>
    <w:p>
      <w:pPr>
        <w:pBdr>
          <w:bottom w:val="single" w:color="2E86AB" w:sz="16" w:space="6"/>
        </w:pBdr>
        <w:spacing w:after="200"/>
      </w:pPr>
      <w:r>
        <w:rPr>
          <w:rFonts w:ascii="Calibri" w:cs="Calibri" w:eastAsia="Calibri" w:hAnsi="Calibri"/>
          <w:b/>
          <w:bCs/>
          <w:color w:val="2E86AB"/>
          <w:sz w:val="30"/>
          <w:szCs w:val="30"/>
        </w:rPr>
        <w:t xml:space="preserve">2023 – 2025</w:t>
      </w:r>
    </w:p>
    <w:p>
      <w:pPr>
        <w:spacing w:after="40"/>
      </w:pPr>
      <w:r>
        <w:rPr>
          <w:rFonts w:ascii="Calibri" w:cs="Calibri" w:eastAsia="Calibri" w:hAnsi="Calibri"/>
          <w:i/>
          <w:iCs/>
          <w:color w:val="595959"/>
          <w:sz w:val="22"/>
          <w:szCs w:val="22"/>
        </w:rPr>
        <w:t xml:space="preserve">SQL-Based Data Analytics Portfolio Project</w:t>
      </w:r>
    </w:p>
    <w:p>
      <w:pPr>
        <w:spacing w:after="280"/>
      </w:pPr>
      <w:r>
        <w:rPr>
          <w:rFonts w:ascii="Calibri" w:cs="Calibri" w:eastAsia="Calibri" w:hAnsi="Calibri"/>
          <w:color w:val="595959"/>
          <w:sz w:val="19"/>
          <w:szCs w:val="19"/>
        </w:rPr>
        <w:t xml:space="preserve">All tables and metrics in this report were produced using SQL queries against the e-commerce transactions dataset.</w:t>
      </w:r>
    </w:p>
    <w:p>
      <w:pPr>
        <w:pStyle w:val="Heading1"/>
        <w:pBdr>
          <w:bottom w:val="single" w:color="2E86AB" w:sz="8" w:space="4"/>
        </w:pBdr>
        <w:spacing w:after="160" w:before="420"/>
      </w:pPr>
      <w:r>
        <w:rPr>
          <w:rFonts w:ascii="Calibri" w:cs="Calibri" w:eastAsia="Calibri" w:hAnsi="Calibri"/>
          <w:b/>
          <w:bCs/>
          <w:color w:val="2E86AB"/>
          <w:sz w:val="26"/>
          <w:szCs w:val="26"/>
        </w:rPr>
        <w:t xml:space="preserve">1. </w:t>
      </w:r>
      <w:r>
        <w:rPr>
          <w:rFonts w:ascii="Calibri" w:cs="Calibri" w:eastAsia="Calibri" w:hAnsi="Calibri"/>
          <w:b/>
          <w:bCs/>
          <w:color w:val="1F3864"/>
          <w:sz w:val="26"/>
          <w:szCs w:val="26"/>
        </w:rPr>
        <w:t xml:space="preserve">Key Metrics</w:t>
      </w:r>
    </w:p>
    <w:p>
      <w:pPr>
        <w:spacing w:after="160"/>
      </w:pPr>
      <w:r>
        <w:rPr>
          <w:rFonts w:ascii="Calibri" w:cs="Calibri" w:eastAsia="Calibri" w:hAnsi="Calibri"/>
          <w:i/>
          <w:iCs/>
          <w:color w:val="595959"/>
          <w:sz w:val="20"/>
          <w:szCs w:val="20"/>
        </w:rPr>
        <w:t xml:space="preserve">Overall performance summary across the full analyzed period (October 2023 – October 2025).</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56"/>
        <w:gridCol w:w="4710"/>
      </w:tblGrid>
      <w:tr>
        <w:trPr>
          <w:tblHeader/>
        </w:trPr>
        <w:tc>
          <w:tcPr>
            <w:tcW w:type="dxa" w:w="575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Metric</w:t>
            </w:r>
          </w:p>
        </w:tc>
        <w:tc>
          <w:tcPr>
            <w:tcW w:type="dxa" w:w="471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Value</w:t>
            </w:r>
          </w:p>
        </w:tc>
      </w:tr>
      <w:tr>
        <w:tc>
          <w:tcPr>
            <w:tcW w:type="dxa" w:w="575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Revenue</w:t>
            </w:r>
          </w:p>
        </w:tc>
        <w:tc>
          <w:tcPr>
            <w:tcW w:type="dxa" w:w="471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533,666,024</w:t>
            </w:r>
          </w:p>
        </w:tc>
      </w:tr>
      <w:tr>
        <w:tc>
          <w:tcPr>
            <w:tcW w:type="dxa" w:w="575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Profit</w:t>
            </w:r>
          </w:p>
        </w:tc>
        <w:tc>
          <w:tcPr>
            <w:tcW w:type="dxa" w:w="471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79,708,735</w:t>
            </w:r>
          </w:p>
        </w:tc>
      </w:tr>
      <w:tr>
        <w:tc>
          <w:tcPr>
            <w:tcW w:type="dxa" w:w="575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Orders</w:t>
            </w:r>
          </w:p>
        </w:tc>
        <w:tc>
          <w:tcPr>
            <w:tcW w:type="dxa" w:w="471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5,000</w:t>
            </w:r>
          </w:p>
        </w:tc>
      </w:tr>
      <w:tr>
        <w:tc>
          <w:tcPr>
            <w:tcW w:type="dxa" w:w="575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Customers</w:t>
            </w:r>
          </w:p>
        </w:tc>
        <w:tc>
          <w:tcPr>
            <w:tcW w:type="dxa" w:w="471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4,844</w:t>
            </w:r>
          </w:p>
        </w:tc>
      </w:tr>
      <w:tr>
        <w:tc>
          <w:tcPr>
            <w:tcW w:type="dxa" w:w="575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Average Order Value (AOV)</w:t>
            </w:r>
          </w:p>
        </w:tc>
        <w:tc>
          <w:tcPr>
            <w:tcW w:type="dxa" w:w="471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106,733</w:t>
            </w:r>
          </w:p>
        </w:tc>
      </w:tr>
      <w:tr>
        <w:tc>
          <w:tcPr>
            <w:tcW w:type="dxa" w:w="575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Average Margin</w:t>
            </w:r>
          </w:p>
        </w:tc>
        <w:tc>
          <w:tcPr>
            <w:tcW w:type="dxa" w:w="471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The overall numbers point to a stable, moderately profitable business built on relatively large basket sizes rather than sheer transaction volume. A 15% margin combined with an AOV above 100,000 suggests the business is self-funding: profit generated is sufficient to sustain current operations without relying on external capital.</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Given the AOV is already high, a natural next step would be to test cross-sell or bundling strategies to lift basket size further, rather than focusing purely on acquiring more customers.</w:t>
      </w:r>
    </w:p>
    <w:p>
      <w:pPr>
        <w:pStyle w:val="Heading1"/>
        <w:pBdr>
          <w:bottom w:val="single" w:color="2E86AB" w:sz="8" w:space="4"/>
        </w:pBdr>
        <w:spacing w:after="160" w:before="420"/>
      </w:pPr>
      <w:r>
        <w:rPr>
          <w:rFonts w:ascii="Calibri" w:cs="Calibri" w:eastAsia="Calibri" w:hAnsi="Calibri"/>
          <w:b/>
          <w:bCs/>
          <w:color w:val="2E86AB"/>
          <w:sz w:val="26"/>
          <w:szCs w:val="26"/>
        </w:rPr>
        <w:t xml:space="preserve">2. </w:t>
      </w:r>
      <w:r>
        <w:rPr>
          <w:rFonts w:ascii="Calibri" w:cs="Calibri" w:eastAsia="Calibri" w:hAnsi="Calibri"/>
          <w:b/>
          <w:bCs/>
          <w:color w:val="1F3864"/>
          <w:sz w:val="26"/>
          <w:szCs w:val="26"/>
        </w:rPr>
        <w:t xml:space="preserve">Monthly Sales Dynamics</w:t>
      </w:r>
    </w:p>
    <w:p>
      <w:pPr>
        <w:spacing w:after="160"/>
      </w:pPr>
      <w:r>
        <w:rPr>
          <w:rFonts w:ascii="Calibri" w:cs="Calibri" w:eastAsia="Calibri" w:hAnsi="Calibri"/>
          <w:i/>
          <w:iCs/>
          <w:color w:val="595959"/>
          <w:sz w:val="20"/>
          <w:szCs w:val="20"/>
        </w:rPr>
        <w:t xml:space="preserve">Revenue, profit and order volume trends on a month-by-month basis.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667"/>
        <w:gridCol w:w="2667"/>
        <w:gridCol w:w="2666"/>
      </w:tblGrid>
      <w:tr>
        <w:trPr>
          <w:tblHeader/>
        </w:trPr>
        <w:tc>
          <w:tcPr>
            <w:tcW w:type="dxa" w:w="24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Month</w:t>
            </w:r>
          </w:p>
        </w:tc>
        <w:tc>
          <w:tcPr>
            <w:tcW w:type="dxa" w:w="2667"/>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Revenue</w:t>
            </w:r>
          </w:p>
        </w:tc>
        <w:tc>
          <w:tcPr>
            <w:tcW w:type="dxa" w:w="2667"/>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Profit</w:t>
            </w:r>
          </w:p>
        </w:tc>
        <w:tc>
          <w:tcPr>
            <w:tcW w:type="dxa" w:w="26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2023-10</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21,307,522</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3,106,231</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202</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2023-11</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22,040,269</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3,387,740</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204</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2023-12</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20,624,240</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2,989,331</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195</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2024-01</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21,477,241</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3,104,254</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222</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2024-02</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19,853,397</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2,941,449</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196</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2024-03</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21,571,015</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3,235,675</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199</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2024-04</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22,214,781</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3,241,580</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214</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2024-05</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24,744,787</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3,692,959</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217</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21,368,963</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3,261,199</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201</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2024-07</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24,019,284</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3,486,946</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220</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2024-08</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23,299,895</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3,404,785</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230</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2024-09</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22,480,182</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3,292,918</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208</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2024-10</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23,607,627</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3,601,282</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218</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2024-11</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22,036,248</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3,286,992</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188</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2024-12</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24,806,786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3,855,730</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219</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2025-01</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21,520,802</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3,255,994</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220</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2025-02</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19,902,446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2,970,431</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178</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2025-03</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22,602,989</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3,533,884</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229</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2025-04</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21,653,818</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3,150,564</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200</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2025-05</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26,010,929</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3,979,357</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234</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21,155,496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3,184,539</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203</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2025-07</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22,526,568</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3,439,384</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187</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2025-08</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23,317,916</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3,456,953</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w:t>
            </w:r>
          </w:p>
        </w:tc>
      </w:tr>
      <w:tr>
        <w:tc>
          <w:tcPr>
            <w:tcW w:type="dxa" w:w="2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2025-09</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18,131,497</w:t>
            </w:r>
          </w:p>
        </w:tc>
        <w:tc>
          <w:tcPr>
            <w:tcW w:type="dxa" w:w="2667"/>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2,677,364</w:t>
            </w:r>
          </w:p>
        </w:tc>
        <w:tc>
          <w:tcPr>
            <w:tcW w:type="dxa" w:w="26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185</w:t>
            </w:r>
          </w:p>
        </w:tc>
      </w:tr>
      <w:tr>
        <w:tc>
          <w:tcPr>
            <w:tcW w:type="dxa" w:w="2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2025-10*</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1,391,328</w:t>
            </w:r>
          </w:p>
        </w:tc>
        <w:tc>
          <w:tcPr>
            <w:tcW w:type="dxa" w:w="2667"/>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171,194</w:t>
            </w:r>
          </w:p>
        </w:tc>
        <w:tc>
          <w:tcPr>
            <w:tcW w:type="dxa" w:w="26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w:t>
            </w:r>
          </w:p>
        </w:tc>
      </w:tr>
    </w:tbl>
    <w:p>
      <w:pPr>
        <w:spacing w:after="160" w:before="80"/>
      </w:pPr>
      <w:r>
        <w:rPr>
          <w:rFonts w:ascii="Calibri" w:cs="Calibri" w:eastAsia="Calibri" w:hAnsi="Calibri"/>
          <w:i/>
          <w:iCs/>
          <w:color w:val="595959"/>
          <w:sz w:val="18"/>
          <w:szCs w:val="18"/>
        </w:rPr>
        <w:t xml:space="preserve">* October 2025 is a partial month.</w:t>
      </w:r>
    </w:p>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Monthly revenue is consistently stable across the full period, generally holding in the 20–25M range with no sharp structural breaks. A handful of isolated dips are visible (e.g., Feb 2025, Jul 2025, Sep 2025), but they fall within normal month-to-month variance rather than signaling a trend reversal.</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Explaining these dips with confidence would require additional context beyond this dataset (seasonality, marketing activity, external market factors), so they are flagged here as points of interest rather than conclusions.</w:t>
      </w:r>
    </w:p>
    <w:p>
      <w:pPr>
        <w:pStyle w:val="Heading1"/>
        <w:pBdr>
          <w:bottom w:val="single" w:color="2E86AB" w:sz="8" w:space="4"/>
        </w:pBdr>
        <w:spacing w:after="160" w:before="420"/>
      </w:pPr>
      <w:r>
        <w:rPr>
          <w:rFonts w:ascii="Calibri" w:cs="Calibri" w:eastAsia="Calibri" w:hAnsi="Calibri"/>
          <w:b/>
          <w:bCs/>
          <w:color w:val="2E86AB"/>
          <w:sz w:val="26"/>
          <w:szCs w:val="26"/>
        </w:rPr>
        <w:t xml:space="preserve">3. </w:t>
      </w:r>
      <w:r>
        <w:rPr>
          <w:rFonts w:ascii="Calibri" w:cs="Calibri" w:eastAsia="Calibri" w:hAnsi="Calibri"/>
          <w:b/>
          <w:bCs/>
          <w:color w:val="1F3864"/>
          <w:sz w:val="26"/>
          <w:szCs w:val="26"/>
        </w:rPr>
        <w:t xml:space="preserve">Revenue, Profit, Orders and Margin by Category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1750"/>
        <w:gridCol w:w="1150"/>
        <w:gridCol w:w="1300"/>
        <w:gridCol w:w="1466"/>
        <w:gridCol w:w="1000"/>
      </w:tblGrid>
      <w:tr>
        <w:trPr>
          <w:tblHeader/>
        </w:trPr>
        <w:tc>
          <w:tcPr>
            <w:tcW w:type="dxa" w:w="1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Category</w:t>
            </w:r>
          </w:p>
        </w:tc>
        <w:tc>
          <w:tcPr>
            <w:tcW w:type="dxa" w:w="1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Revenue</w:t>
            </w:r>
          </w:p>
        </w:tc>
        <w:tc>
          <w:tcPr>
            <w:tcW w:type="dxa" w:w="17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Profit</w:t>
            </w:r>
          </w:p>
        </w:tc>
        <w:tc>
          <w:tcPr>
            <w:tcW w:type="dxa" w:w="11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3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Customers</w:t>
            </w:r>
          </w:p>
        </w:tc>
        <w:tc>
          <w:tcPr>
            <w:tcW w:type="dxa" w:w="14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AOV</w:t>
            </w:r>
          </w:p>
        </w:tc>
        <w:tc>
          <w:tcPr>
            <w:tcW w:type="dxa" w:w="10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Margin</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Beauty</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50,803,410</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7,213,436</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460</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460</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110,442</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Books</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54,932,643</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8,076,273</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528</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524</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104,039</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Clothing</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55,053,908</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8,445,750</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511</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510</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107,738</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Electronics</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52,587,884</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8,042,134</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111,415</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Furniture</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56,647,188</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8,693,087</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527</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107,490</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Groceries</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47,883,103</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7,075,333</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470</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468</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101,879</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Home Decor</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57,233,222</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8,556,847</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515</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513</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111,132</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Kitchen</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54,227,902</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7,879,573</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528</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527</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102,704</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Sports</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52,069,397</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7,739,430</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511</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509</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101,897</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Toys</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52,227,366</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7,986,871</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478</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477</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109,262</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Kitchen and Books lead in order volume, pointing to stronger demand and a broader customer base for these categories, even though their revenue is not the highest overall.</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Furniture and Home Decor lead in total profit. Furniture's result is driven mainly by strong order volume and revenue rather than an exceptionally high AOV — at 107,490 its AOV is close to the overall average (106,733). Home Decor and Electronics, by contrast, carry the highest AOV among all categories.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Beauty stands out as the weakest category: it has the fewest orders and customers, and the only margin one point below the rest (14% vs. 15% elsewhere). This gap is large enough relative to the average to be worth a closer look — for example, whether pricing or cost structure differs for this category.</w:t>
      </w:r>
    </w:p>
    <w:p>
      <w:pPr>
        <w:pStyle w:val="Heading1"/>
        <w:pBdr>
          <w:bottom w:val="single" w:color="2E86AB" w:sz="8" w:space="4"/>
        </w:pBdr>
        <w:spacing w:after="160" w:before="420"/>
      </w:pPr>
      <w:r>
        <w:rPr>
          <w:rFonts w:ascii="Calibri" w:cs="Calibri" w:eastAsia="Calibri" w:hAnsi="Calibri"/>
          <w:b/>
          <w:bCs/>
          <w:color w:val="2E86AB"/>
          <w:sz w:val="26"/>
          <w:szCs w:val="26"/>
        </w:rPr>
        <w:t xml:space="preserve">4. </w:t>
      </w:r>
      <w:r>
        <w:rPr>
          <w:rFonts w:ascii="Calibri" w:cs="Calibri" w:eastAsia="Calibri" w:hAnsi="Calibri"/>
          <w:b/>
          <w:bCs/>
          <w:color w:val="1F3864"/>
          <w:sz w:val="26"/>
          <w:szCs w:val="26"/>
        </w:rPr>
        <w:t xml:space="preserve">Top-5 Categories by Revenue and Profit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1750"/>
        <w:gridCol w:w="1150"/>
        <w:gridCol w:w="1300"/>
        <w:gridCol w:w="1466"/>
        <w:gridCol w:w="1000"/>
      </w:tblGrid>
      <w:tr>
        <w:trPr>
          <w:tblHeader/>
        </w:trPr>
        <w:tc>
          <w:tcPr>
            <w:tcW w:type="dxa" w:w="1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Category</w:t>
            </w:r>
          </w:p>
        </w:tc>
        <w:tc>
          <w:tcPr>
            <w:tcW w:type="dxa" w:w="1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Revenue</w:t>
            </w:r>
          </w:p>
        </w:tc>
        <w:tc>
          <w:tcPr>
            <w:tcW w:type="dxa" w:w="17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Profit</w:t>
            </w:r>
          </w:p>
        </w:tc>
        <w:tc>
          <w:tcPr>
            <w:tcW w:type="dxa" w:w="11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3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Customers</w:t>
            </w:r>
          </w:p>
        </w:tc>
        <w:tc>
          <w:tcPr>
            <w:tcW w:type="dxa" w:w="14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AOV</w:t>
            </w:r>
          </w:p>
        </w:tc>
        <w:tc>
          <w:tcPr>
            <w:tcW w:type="dxa" w:w="10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Margin</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Furniture</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56,647,188</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8,693,087</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527</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107,490</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Home Decor</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57,233,222</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8,556,847</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515</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513</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111,132</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Clothing</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55,053,908</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8,445,750</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511</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510</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107,738</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Books</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54,932,643</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8,076,273</w:t>
            </w:r>
          </w:p>
        </w:tc>
        <w:tc>
          <w:tcPr>
            <w:tcW w:type="dxa" w:w="11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528</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524</w:t>
            </w:r>
          </w:p>
        </w:tc>
        <w:tc>
          <w:tcPr>
            <w:tcW w:type="dxa" w:w="14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104,039</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Electronics</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52,587,884</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8,042,134</w:t>
            </w:r>
          </w:p>
        </w:tc>
        <w:tc>
          <w:tcPr>
            <w:tcW w:type="dxa" w:w="11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4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111,415</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The top-5 pattern largely confirms the category-level picture above. One point worth highlighting: Electronics sustains strong profit despite not leading in order volume, driven by the highest AOV among all categories — a reminder that revenue leadership and profit leadership don't always come from the same driver (volume vs. basket size).</w:t>
      </w:r>
    </w:p>
    <w:p>
      <w:pPr>
        <w:pStyle w:val="Heading1"/>
        <w:pBdr>
          <w:bottom w:val="single" w:color="2E86AB" w:sz="8" w:space="4"/>
        </w:pBdr>
        <w:spacing w:after="160" w:before="420"/>
      </w:pPr>
      <w:r>
        <w:rPr>
          <w:rFonts w:ascii="Calibri" w:cs="Calibri" w:eastAsia="Calibri" w:hAnsi="Calibri"/>
          <w:b/>
          <w:bCs/>
          <w:color w:val="2E86AB"/>
          <w:sz w:val="26"/>
          <w:szCs w:val="26"/>
        </w:rPr>
        <w:t xml:space="preserve">5. </w:t>
      </w:r>
      <w:r>
        <w:rPr>
          <w:rFonts w:ascii="Calibri" w:cs="Calibri" w:eastAsia="Calibri" w:hAnsi="Calibri"/>
          <w:b/>
          <w:bCs/>
          <w:color w:val="1F3864"/>
          <w:sz w:val="26"/>
          <w:szCs w:val="26"/>
        </w:rPr>
        <w:t xml:space="preserve">Regional Breakdown</w:t>
      </w:r>
    </w:p>
    <w:p>
      <w:pPr>
        <w:spacing w:after="160"/>
      </w:pPr>
      <w:r>
        <w:rPr>
          <w:rFonts w:ascii="Calibri" w:cs="Calibri" w:eastAsia="Calibri" w:hAnsi="Calibri"/>
          <w:i/>
          <w:iCs/>
          <w:color w:val="595959"/>
          <w:sz w:val="20"/>
          <w:szCs w:val="20"/>
        </w:rPr>
        <w:t xml:space="preserve">Revenue, average check and margin by region.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750"/>
        <w:gridCol w:w="1200"/>
        <w:gridCol w:w="1350"/>
        <w:gridCol w:w="1600"/>
        <w:gridCol w:w="966"/>
      </w:tblGrid>
      <w:tr>
        <w:trPr>
          <w:tblHeader/>
        </w:trPr>
        <w:tc>
          <w:tcPr>
            <w:tcW w:type="dxa" w:w="17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Region</w:t>
            </w:r>
          </w:p>
        </w:tc>
        <w:tc>
          <w:tcPr>
            <w:tcW w:type="dxa" w:w="1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Revenue</w:t>
            </w:r>
          </w:p>
        </w:tc>
        <w:tc>
          <w:tcPr>
            <w:tcW w:type="dxa" w:w="17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Profit</w:t>
            </w:r>
          </w:p>
        </w:tc>
        <w:tc>
          <w:tcPr>
            <w:tcW w:type="dxa" w:w="12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3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Customers</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AOV</w:t>
            </w:r>
          </w:p>
        </w:tc>
        <w:tc>
          <w:tcPr>
            <w:tcW w:type="dxa" w:w="9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Margin</w:t>
            </w:r>
          </w:p>
        </w:tc>
      </w:tr>
      <w:tr>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North</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143,578,246</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21,343,004</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1,288</w:t>
            </w:r>
          </w:p>
        </w:tc>
        <w:tc>
          <w:tcPr>
            <w:tcW w:type="dxa" w:w="13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1,283</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111,474</w:t>
            </w:r>
          </w:p>
        </w:tc>
        <w:tc>
          <w:tcPr>
            <w:tcW w:type="dxa" w:w="9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East</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135,811,638</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20,532,558</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1,256</w:t>
            </w:r>
          </w:p>
        </w:tc>
        <w:tc>
          <w:tcPr>
            <w:tcW w:type="dxa" w:w="13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1,249</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108,130</w:t>
            </w:r>
          </w:p>
        </w:tc>
        <w:tc>
          <w:tcPr>
            <w:tcW w:type="dxa" w:w="9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West</w:t>
            </w:r>
          </w:p>
        </w:tc>
        <w:tc>
          <w:tcPr>
            <w:tcW w:type="dxa" w:w="1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131,045,973</w:t>
            </w:r>
          </w:p>
        </w:tc>
        <w:tc>
          <w:tcPr>
            <w:tcW w:type="dxa" w:w="17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19,580,123</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1,241</w:t>
            </w:r>
          </w:p>
        </w:tc>
        <w:tc>
          <w:tcPr>
            <w:tcW w:type="dxa" w:w="13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1,232</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105,597</w:t>
            </w:r>
          </w:p>
        </w:tc>
        <w:tc>
          <w:tcPr>
            <w:tcW w:type="dxa" w:w="9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South</w:t>
            </w:r>
          </w:p>
        </w:tc>
        <w:tc>
          <w:tcPr>
            <w:tcW w:type="dxa" w:w="1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123,230,167</w:t>
            </w:r>
          </w:p>
        </w:tc>
        <w:tc>
          <w:tcPr>
            <w:tcW w:type="dxa" w:w="17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18,253,049</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1,215</w:t>
            </w:r>
          </w:p>
        </w:tc>
        <w:tc>
          <w:tcPr>
            <w:tcW w:type="dxa" w:w="13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1,206</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101,424</w:t>
            </w:r>
          </w:p>
        </w:tc>
        <w:tc>
          <w:tcPr>
            <w:tcW w:type="dxa" w:w="9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North is the strongest region across every metric — revenue, profit, orders, customers and AOV — with no single dimension where another region overtakes it. In absolute terms the gap between the top and bottom region is meaningful: about 20.3M in revenue and about 3.1M in profit between North and South.</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That said, customers are fairly evenly split across regions (roughly 25% each), so the gap is not extreme enough on its own to justify reallocating resources away from any single region. South's noticeably lower AOV likely reflects its category mix rather than a standalone regional issue — see Section 6.</w:t>
      </w:r>
    </w:p>
    <w:p>
      <w:pPr>
        <w:pStyle w:val="Heading1"/>
        <w:pBdr>
          <w:bottom w:val="single" w:color="2E86AB" w:sz="8" w:space="4"/>
        </w:pBdr>
        <w:spacing w:after="160" w:before="420"/>
      </w:pPr>
      <w:r>
        <w:rPr>
          <w:rFonts w:ascii="Calibri" w:cs="Calibri" w:eastAsia="Calibri" w:hAnsi="Calibri"/>
          <w:b/>
          <w:bCs/>
          <w:color w:val="2E86AB"/>
          <w:sz w:val="26"/>
          <w:szCs w:val="26"/>
        </w:rPr>
        <w:t xml:space="preserve">6. </w:t>
      </w:r>
      <w:r>
        <w:rPr>
          <w:rFonts w:ascii="Calibri" w:cs="Calibri" w:eastAsia="Calibri" w:hAnsi="Calibri"/>
          <w:b/>
          <w:bCs/>
          <w:color w:val="1F3864"/>
          <w:sz w:val="26"/>
          <w:szCs w:val="26"/>
        </w:rPr>
        <w:t xml:space="preserve">Category's Leading Region</w:t>
      </w:r>
    </w:p>
    <w:p>
      <w:pPr>
        <w:spacing w:after="160"/>
      </w:pPr>
      <w:r>
        <w:rPr>
          <w:rFonts w:ascii="Calibri" w:cs="Calibri" w:eastAsia="Calibri" w:hAnsi="Calibri"/>
          <w:i/>
          <w:iCs/>
          <w:color w:val="595959"/>
          <w:sz w:val="20"/>
          <w:szCs w:val="20"/>
        </w:rPr>
        <w:t xml:space="preserve">Each category paired with its single strongest-performing region. Figures are the category's overall totals (as in Section 3); the region column identifies where that category performs best, rather than a full per-region recalculation.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1500"/>
        <w:gridCol w:w="1300"/>
        <w:gridCol w:w="1450"/>
        <w:gridCol w:w="1000"/>
        <w:gridCol w:w="1266"/>
        <w:gridCol w:w="1650"/>
      </w:tblGrid>
      <w:tr>
        <w:trPr>
          <w:tblHeader/>
        </w:trPr>
        <w:tc>
          <w:tcPr>
            <w:tcW w:type="dxa" w:w="14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Category</w:t>
            </w:r>
          </w:p>
        </w:tc>
        <w:tc>
          <w:tcPr>
            <w:tcW w:type="dxa" w:w="9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Leading Region</w:t>
            </w:r>
          </w:p>
        </w:tc>
        <w:tc>
          <w:tcPr>
            <w:tcW w:type="dxa" w:w="15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Revenue</w:t>
            </w:r>
          </w:p>
        </w:tc>
        <w:tc>
          <w:tcPr>
            <w:tcW w:type="dxa" w:w="13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Profit</w:t>
            </w:r>
          </w:p>
        </w:tc>
        <w:tc>
          <w:tcPr>
            <w:tcW w:type="dxa" w:w="14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0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Cust.</w:t>
            </w:r>
          </w:p>
        </w:tc>
        <w:tc>
          <w:tcPr>
            <w:tcW w:type="dxa" w:w="12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AOV</w:t>
            </w:r>
          </w:p>
        </w:tc>
        <w:tc>
          <w:tcPr>
            <w:tcW w:type="dxa" w:w="165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Margin</w:t>
            </w:r>
          </w:p>
        </w:tc>
      </w:tr>
      <w:tr>
        <w:tc>
          <w:tcPr>
            <w:tcW w:type="dxa" w:w="14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Furniture</w:t>
            </w:r>
          </w:p>
        </w:tc>
        <w:tc>
          <w:tcPr>
            <w:tcW w:type="dxa" w:w="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West</w:t>
            </w:r>
          </w:p>
        </w:tc>
        <w:tc>
          <w:tcPr>
            <w:tcW w:type="dxa" w:w="15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56,647,188</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8,693,087</w:t>
            </w:r>
          </w:p>
        </w:tc>
        <w:tc>
          <w:tcPr>
            <w:tcW w:type="dxa" w:w="14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527</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w:t>
            </w:r>
          </w:p>
        </w:tc>
        <w:tc>
          <w:tcPr>
            <w:tcW w:type="dxa" w:w="12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107,490</w:t>
            </w:r>
          </w:p>
        </w:tc>
        <w:tc>
          <w:tcPr>
            <w:tcW w:type="dxa" w:w="16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Home Decor</w:t>
            </w:r>
          </w:p>
        </w:tc>
        <w:tc>
          <w:tcPr>
            <w:tcW w:type="dxa" w:w="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North</w:t>
            </w:r>
          </w:p>
        </w:tc>
        <w:tc>
          <w:tcPr>
            <w:tcW w:type="dxa" w:w="15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57,233,222</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8,556,847</w:t>
            </w:r>
          </w:p>
        </w:tc>
        <w:tc>
          <w:tcPr>
            <w:tcW w:type="dxa" w:w="14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515</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513</w:t>
            </w:r>
          </w:p>
        </w:tc>
        <w:tc>
          <w:tcPr>
            <w:tcW w:type="dxa" w:w="12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111,132</w:t>
            </w:r>
          </w:p>
        </w:tc>
        <w:tc>
          <w:tcPr>
            <w:tcW w:type="dxa" w:w="16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Clothing</w:t>
            </w:r>
          </w:p>
        </w:tc>
        <w:tc>
          <w:tcPr>
            <w:tcW w:type="dxa" w:w="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West</w:t>
            </w:r>
          </w:p>
        </w:tc>
        <w:tc>
          <w:tcPr>
            <w:tcW w:type="dxa" w:w="15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55,053,908</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8,445,750</w:t>
            </w:r>
          </w:p>
        </w:tc>
        <w:tc>
          <w:tcPr>
            <w:tcW w:type="dxa" w:w="14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511</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510</w:t>
            </w:r>
          </w:p>
        </w:tc>
        <w:tc>
          <w:tcPr>
            <w:tcW w:type="dxa" w:w="12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107,738</w:t>
            </w:r>
          </w:p>
        </w:tc>
        <w:tc>
          <w:tcPr>
            <w:tcW w:type="dxa" w:w="16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Books</w:t>
            </w:r>
          </w:p>
        </w:tc>
        <w:tc>
          <w:tcPr>
            <w:tcW w:type="dxa" w:w="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South</w:t>
            </w:r>
          </w:p>
        </w:tc>
        <w:tc>
          <w:tcPr>
            <w:tcW w:type="dxa" w:w="15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54,932,643</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8,076,273</w:t>
            </w:r>
          </w:p>
        </w:tc>
        <w:tc>
          <w:tcPr>
            <w:tcW w:type="dxa" w:w="14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528</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524</w:t>
            </w:r>
          </w:p>
        </w:tc>
        <w:tc>
          <w:tcPr>
            <w:tcW w:type="dxa" w:w="12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104,039</w:t>
            </w:r>
          </w:p>
        </w:tc>
        <w:tc>
          <w:tcPr>
            <w:tcW w:type="dxa" w:w="16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Electronics</w:t>
            </w:r>
          </w:p>
        </w:tc>
        <w:tc>
          <w:tcPr>
            <w:tcW w:type="dxa" w:w="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East</w:t>
            </w:r>
          </w:p>
        </w:tc>
        <w:tc>
          <w:tcPr>
            <w:tcW w:type="dxa" w:w="15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52,587,884</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8,042,134</w:t>
            </w:r>
          </w:p>
        </w:tc>
        <w:tc>
          <w:tcPr>
            <w:tcW w:type="dxa" w:w="14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472</w:t>
            </w:r>
          </w:p>
        </w:tc>
        <w:tc>
          <w:tcPr>
            <w:tcW w:type="dxa" w:w="12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111,415</w:t>
            </w:r>
          </w:p>
        </w:tc>
        <w:tc>
          <w:tcPr>
            <w:tcW w:type="dxa" w:w="16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Toys</w:t>
            </w:r>
          </w:p>
        </w:tc>
        <w:tc>
          <w:tcPr>
            <w:tcW w:type="dxa" w:w="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North</w:t>
            </w:r>
          </w:p>
        </w:tc>
        <w:tc>
          <w:tcPr>
            <w:tcW w:type="dxa" w:w="15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52,227,366</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7,986,871</w:t>
            </w:r>
          </w:p>
        </w:tc>
        <w:tc>
          <w:tcPr>
            <w:tcW w:type="dxa" w:w="14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478</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477</w:t>
            </w:r>
          </w:p>
        </w:tc>
        <w:tc>
          <w:tcPr>
            <w:tcW w:type="dxa" w:w="12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109,262</w:t>
            </w:r>
          </w:p>
        </w:tc>
        <w:tc>
          <w:tcPr>
            <w:tcW w:type="dxa" w:w="16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Kitchen</w:t>
            </w:r>
          </w:p>
        </w:tc>
        <w:tc>
          <w:tcPr>
            <w:tcW w:type="dxa" w:w="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East</w:t>
            </w:r>
          </w:p>
        </w:tc>
        <w:tc>
          <w:tcPr>
            <w:tcW w:type="dxa" w:w="15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54,227,902</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7,879,573</w:t>
            </w:r>
          </w:p>
        </w:tc>
        <w:tc>
          <w:tcPr>
            <w:tcW w:type="dxa" w:w="14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528</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527</w:t>
            </w:r>
          </w:p>
        </w:tc>
        <w:tc>
          <w:tcPr>
            <w:tcW w:type="dxa" w:w="12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102,704</w:t>
            </w:r>
          </w:p>
        </w:tc>
        <w:tc>
          <w:tcPr>
            <w:tcW w:type="dxa" w:w="16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Sports</w:t>
            </w:r>
          </w:p>
        </w:tc>
        <w:tc>
          <w:tcPr>
            <w:tcW w:type="dxa" w:w="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East</w:t>
            </w:r>
          </w:p>
        </w:tc>
        <w:tc>
          <w:tcPr>
            <w:tcW w:type="dxa" w:w="15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52,069,397</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7,739,430</w:t>
            </w:r>
          </w:p>
        </w:tc>
        <w:tc>
          <w:tcPr>
            <w:tcW w:type="dxa" w:w="14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511</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509</w:t>
            </w:r>
          </w:p>
        </w:tc>
        <w:tc>
          <w:tcPr>
            <w:tcW w:type="dxa" w:w="12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101,897</w:t>
            </w:r>
          </w:p>
        </w:tc>
        <w:tc>
          <w:tcPr>
            <w:tcW w:type="dxa" w:w="16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r>
        <w:tc>
          <w:tcPr>
            <w:tcW w:type="dxa" w:w="14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Beauty</w:t>
            </w:r>
          </w:p>
        </w:tc>
        <w:tc>
          <w:tcPr>
            <w:tcW w:type="dxa" w:w="9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South</w:t>
            </w:r>
          </w:p>
        </w:tc>
        <w:tc>
          <w:tcPr>
            <w:tcW w:type="dxa" w:w="15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50,803,410</w:t>
            </w:r>
          </w:p>
        </w:tc>
        <w:tc>
          <w:tcPr>
            <w:tcW w:type="dxa" w:w="13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7,213,436</w:t>
            </w:r>
          </w:p>
        </w:tc>
        <w:tc>
          <w:tcPr>
            <w:tcW w:type="dxa" w:w="14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460</w:t>
            </w:r>
          </w:p>
        </w:tc>
        <w:tc>
          <w:tcPr>
            <w:tcW w:type="dxa" w:w="10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460</w:t>
            </w:r>
          </w:p>
        </w:tc>
        <w:tc>
          <w:tcPr>
            <w:tcW w:type="dxa" w:w="12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110,442</w:t>
            </w:r>
          </w:p>
        </w:tc>
        <w:tc>
          <w:tcPr>
            <w:tcW w:type="dxa" w:w="165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w:t>
            </w:r>
          </w:p>
        </w:tc>
      </w:tr>
      <w:tr>
        <w:tc>
          <w:tcPr>
            <w:tcW w:type="dxa" w:w="14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Groceries</w:t>
            </w:r>
          </w:p>
        </w:tc>
        <w:tc>
          <w:tcPr>
            <w:tcW w:type="dxa" w:w="9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North</w:t>
            </w:r>
          </w:p>
        </w:tc>
        <w:tc>
          <w:tcPr>
            <w:tcW w:type="dxa" w:w="15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47,883,103</w:t>
            </w:r>
          </w:p>
        </w:tc>
        <w:tc>
          <w:tcPr>
            <w:tcW w:type="dxa" w:w="13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7,075,333</w:t>
            </w:r>
          </w:p>
        </w:tc>
        <w:tc>
          <w:tcPr>
            <w:tcW w:type="dxa" w:w="14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470</w:t>
            </w:r>
          </w:p>
        </w:tc>
        <w:tc>
          <w:tcPr>
            <w:tcW w:type="dxa" w:w="10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468</w:t>
            </w:r>
          </w:p>
        </w:tc>
        <w:tc>
          <w:tcPr>
            <w:tcW w:type="dxa" w:w="12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101,879</w:t>
            </w:r>
          </w:p>
        </w:tc>
        <w:tc>
          <w:tcPr>
            <w:tcW w:type="dxa" w:w="165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Beauty's leading region is South — the same region with the lowest AOV overall (Section 5). Since Beauty is also the weakest category by margin and order volume (Section 3), this pairing is consistent with South's lower average metrics being a category-mix effect rather than a standalone regional weakness. Confirming this with certainty would require a true category-within-region breakdown, which is a natural next step for this analysis rather than a conclusion drawn here.</w:t>
      </w:r>
    </w:p>
    <w:p>
      <w:pPr>
        <w:pStyle w:val="Heading1"/>
        <w:pBdr>
          <w:bottom w:val="single" w:color="2E86AB" w:sz="8" w:space="4"/>
        </w:pBdr>
        <w:spacing w:after="160" w:before="420"/>
      </w:pPr>
      <w:r>
        <w:rPr>
          <w:rFonts w:ascii="Calibri" w:cs="Calibri" w:eastAsia="Calibri" w:hAnsi="Calibri"/>
          <w:b/>
          <w:bCs/>
          <w:color w:val="2E86AB"/>
          <w:sz w:val="26"/>
          <w:szCs w:val="26"/>
        </w:rPr>
        <w:t xml:space="preserve">7. </w:t>
      </w:r>
      <w:r>
        <w:rPr>
          <w:rFonts w:ascii="Calibri" w:cs="Calibri" w:eastAsia="Calibri" w:hAnsi="Calibri"/>
          <w:b/>
          <w:bCs/>
          <w:color w:val="1F3864"/>
          <w:sz w:val="26"/>
          <w:szCs w:val="26"/>
        </w:rPr>
        <w:t xml:space="preserve">Discount Impact Analysis</w:t>
      </w:r>
    </w:p>
    <w:p>
      <w:pPr>
        <w:spacing w:after="160"/>
      </w:pPr>
      <w:r>
        <w:rPr>
          <w:rFonts w:ascii="Calibri" w:cs="Calibri" w:eastAsia="Calibri" w:hAnsi="Calibri"/>
          <w:i/>
          <w:iCs/>
          <w:color w:val="595959"/>
          <w:sz w:val="20"/>
          <w:szCs w:val="20"/>
        </w:rPr>
        <w:t xml:space="preserve">Objective: understand how discount size affects sales volume and profitability.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6"/>
        <w:gridCol w:w="1200"/>
        <w:gridCol w:w="1800"/>
        <w:gridCol w:w="1600"/>
        <w:gridCol w:w="1700"/>
        <w:gridCol w:w="1600"/>
      </w:tblGrid>
      <w:tr>
        <w:trPr>
          <w:tblHeader/>
        </w:trPr>
        <w:tc>
          <w:tcPr>
            <w:tcW w:type="dxa" w:w="25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Discount</w:t>
            </w:r>
          </w:p>
        </w:tc>
        <w:tc>
          <w:tcPr>
            <w:tcW w:type="dxa" w:w="12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8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Sales</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Check</w:t>
            </w:r>
          </w:p>
        </w:tc>
        <w:tc>
          <w:tcPr>
            <w:tcW w:type="dxa" w:w="17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Profit</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Margin</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0%</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998</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117,106,034</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117,341</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17,266,609</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5%</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978</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112,096,122</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114,618</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17,059,183</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10%</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1,020</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110,572,966</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108,405</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16,562,543</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15.0%</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15%</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983</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97,285,450</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98,968</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14,575,952</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15.0%</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1,021</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96,605,452</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94,618</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14,244,449</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14.8%</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The relationship between discount size and profitability is not linear. The highest discount tier (20%) does not translate into higher sales — it produces the lowest total sales and the lowest margin (14.8%) of all tiers, driven by a lower average check. Order counts are broadly similar across all discount levels, so the differentiator is check size and margin, not volume.</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The 0% discount tier generates the highest profit overall. This pattern is worth exploring further at the category level in future analysis, but cannot be confirmed with the current dataset alone.</w:t>
      </w:r>
    </w:p>
    <w:p>
      <w:pPr>
        <w:pStyle w:val="Heading1"/>
        <w:pBdr>
          <w:bottom w:val="single" w:color="2E86AB" w:sz="8" w:space="4"/>
        </w:pBdr>
        <w:spacing w:after="160" w:before="420"/>
      </w:pPr>
      <w:r>
        <w:rPr>
          <w:rFonts w:ascii="Calibri" w:cs="Calibri" w:eastAsia="Calibri" w:hAnsi="Calibri"/>
          <w:b/>
          <w:bCs/>
          <w:color w:val="2E86AB"/>
          <w:sz w:val="26"/>
          <w:szCs w:val="26"/>
        </w:rPr>
        <w:t xml:space="preserve">8. </w:t>
      </w:r>
      <w:r>
        <w:rPr>
          <w:rFonts w:ascii="Calibri" w:cs="Calibri" w:eastAsia="Calibri" w:hAnsi="Calibri"/>
          <w:b/>
          <w:bCs/>
          <w:color w:val="1F3864"/>
          <w:sz w:val="26"/>
          <w:szCs w:val="26"/>
        </w:rPr>
        <w:t xml:space="preserve">Payment Methods Analysis</w:t>
      </w:r>
    </w:p>
    <w:p>
      <w:pPr>
        <w:spacing w:after="160"/>
      </w:pPr>
      <w:r>
        <w:rPr>
          <w:rFonts w:ascii="Calibri" w:cs="Calibri" w:eastAsia="Calibri" w:hAnsi="Calibri"/>
          <w:i/>
          <w:iCs/>
          <w:color w:val="595959"/>
          <w:sz w:val="20"/>
          <w:szCs w:val="20"/>
        </w:rPr>
        <w:t xml:space="preserve">Objective: explore payment methods used by customers and identify differences in order value and margin.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6"/>
        <w:gridCol w:w="1200"/>
        <w:gridCol w:w="1800"/>
        <w:gridCol w:w="1600"/>
        <w:gridCol w:w="1700"/>
        <w:gridCol w:w="1600"/>
      </w:tblGrid>
      <w:tr>
        <w:trPr>
          <w:tblHeader/>
        </w:trPr>
        <w:tc>
          <w:tcPr>
            <w:tcW w:type="dxa" w:w="25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Payment Mode</w:t>
            </w:r>
          </w:p>
        </w:tc>
        <w:tc>
          <w:tcPr>
            <w:tcW w:type="dxa" w:w="12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8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Sales</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Check</w:t>
            </w:r>
          </w:p>
        </w:tc>
        <w:tc>
          <w:tcPr>
            <w:tcW w:type="dxa" w:w="17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Profit</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Margin</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Net Banking</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1,010</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111,465,516</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110,362</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16,964,120</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COD</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1,005</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108,881,396</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108,340</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16,575,846</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15.1%</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Credit Card</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994</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106,027,145</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106,667</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15,658,639</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Debit Card</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1,003</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105,346,382</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105,031</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15,479,323</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UPI</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988</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101,945,586</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103,184</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15,030,807</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14.9%</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Performance is very consistent across all five payment methods, with no method standing out as materially stronger or weaker on sales, average check, or margin. This uniformity is itself a notable finding for a dataset of this size — it suggests payment method has little independent effect on customer behavior here, though a larger dataset would be needed to confirm this with confidence.</w:t>
      </w:r>
    </w:p>
    <w:p>
      <w:pPr>
        <w:pStyle w:val="Heading1"/>
        <w:pBdr>
          <w:bottom w:val="single" w:color="2E86AB" w:sz="8" w:space="4"/>
        </w:pBdr>
        <w:spacing w:after="160" w:before="420"/>
      </w:pPr>
      <w:r>
        <w:rPr>
          <w:rFonts w:ascii="Calibri" w:cs="Calibri" w:eastAsia="Calibri" w:hAnsi="Calibri"/>
          <w:b/>
          <w:bCs/>
          <w:color w:val="2E86AB"/>
          <w:sz w:val="26"/>
          <w:szCs w:val="26"/>
        </w:rPr>
        <w:t xml:space="preserve">9. </w:t>
      </w:r>
      <w:r>
        <w:rPr>
          <w:rFonts w:ascii="Calibri" w:cs="Calibri" w:eastAsia="Calibri" w:hAnsi="Calibri"/>
          <w:b/>
          <w:bCs/>
          <w:color w:val="1F3864"/>
          <w:sz w:val="26"/>
          <w:szCs w:val="26"/>
        </w:rPr>
        <w:t xml:space="preserve">Top-10 Customers by Revenue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6"/>
        <w:gridCol w:w="1200"/>
        <w:gridCol w:w="1800"/>
        <w:gridCol w:w="1600"/>
        <w:gridCol w:w="1700"/>
        <w:gridCol w:w="1600"/>
      </w:tblGrid>
      <w:tr>
        <w:trPr>
          <w:tblHeader/>
        </w:trPr>
        <w:tc>
          <w:tcPr>
            <w:tcW w:type="dxa" w:w="2566"/>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Customer Name</w:t>
            </w:r>
          </w:p>
        </w:tc>
        <w:tc>
          <w:tcPr>
            <w:tcW w:type="dxa" w:w="12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Orders</w:t>
            </w:r>
          </w:p>
        </w:tc>
        <w:tc>
          <w:tcPr>
            <w:tcW w:type="dxa" w:w="18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Sales</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Check</w:t>
            </w:r>
          </w:p>
        </w:tc>
        <w:tc>
          <w:tcPr>
            <w:tcW w:type="dxa" w:w="17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Total Profit</w:t>
            </w:r>
          </w:p>
        </w:tc>
        <w:tc>
          <w:tcPr>
            <w:tcW w:type="dxa" w:w="1600"/>
            <w:tcBorders>
              <w:top w:val="single" w:color="1F3864" w:sz="2"/>
              <w:left w:val="single" w:color="1F3864" w:sz="2"/>
              <w:bottom w:val="single" w:color="1F3864" w:sz="2"/>
              <w:right w:val="single" w:color="1F3864" w:sz="2"/>
            </w:tcBorders>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Avg Margin</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Aaryahi Madan</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650,152</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216,717</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107,156</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14.8%</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Kimaya Vala</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490,935</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245,468</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43,004</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8.9%</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Badal Rao</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485,698</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242,849</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31,990</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6.4%</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Adira Dhingra</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479,389</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239,695</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64,959</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12.8%</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Sumer Mann</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469,937</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234,969</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99,925</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21.5%</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Nayantara Majumdar</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459,764</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229,882</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58,949</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11.2%</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Prerak Shere</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451,862</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225,931</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85,632</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17.4%</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Bhamini Sane</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441,411</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220,705</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79,310</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16.8%</w:t>
            </w:r>
          </w:p>
        </w:tc>
      </w:tr>
      <w:tr>
        <w:tc>
          <w:tcPr>
            <w:tcW w:type="dxa" w:w="2566"/>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Samarth Wagle</w:t>
            </w:r>
          </w:p>
        </w:tc>
        <w:tc>
          <w:tcPr>
            <w:tcW w:type="dxa" w:w="12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427,716</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213,858</w:t>
            </w:r>
          </w:p>
        </w:tc>
        <w:tc>
          <w:tcPr>
            <w:tcW w:type="dxa" w:w="17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63,411</w:t>
            </w:r>
          </w:p>
        </w:tc>
        <w:tc>
          <w:tcPr>
            <w:tcW w:type="dxa" w:w="1600"/>
            <w:tcBorders>
              <w:top w:val="single" w:color="D9D9D9" w:sz="2"/>
              <w:left w:val="single" w:color="D9D9D9" w:sz="2"/>
              <w:bottom w:val="single" w:color="D9D9D9" w:sz="2"/>
              <w:right w:val="single" w:color="D9D9D9" w:sz="2"/>
            </w:tcBorders>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12.9%</w:t>
            </w:r>
          </w:p>
        </w:tc>
      </w:tr>
      <w:tr>
        <w:tc>
          <w:tcPr>
            <w:tcW w:type="dxa" w:w="2566"/>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Arhaan Basu</w:t>
            </w:r>
          </w:p>
        </w:tc>
        <w:tc>
          <w:tcPr>
            <w:tcW w:type="dxa" w:w="12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w:t>
            </w:r>
          </w:p>
        </w:tc>
        <w:tc>
          <w:tcPr>
            <w:tcW w:type="dxa" w:w="18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426,564</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213,282</w:t>
            </w:r>
          </w:p>
        </w:tc>
        <w:tc>
          <w:tcPr>
            <w:tcW w:type="dxa" w:w="17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39,473</w:t>
            </w:r>
          </w:p>
        </w:tc>
        <w:tc>
          <w:tcPr>
            <w:tcW w:type="dxa" w:w="1600"/>
            <w:tcBorders>
              <w:top w:val="single" w:color="D9D9D9" w:sz="2"/>
              <w:left w:val="single" w:color="D9D9D9" w:sz="2"/>
              <w:bottom w:val="single" w:color="D9D9D9" w:sz="2"/>
              <w:right w:val="single" w:color="D9D9D9" w:sz="2"/>
            </w:tcBorders>
            <w:shd w:fill="F2F5F9"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19"/>
                <w:szCs w:val="19"/>
              </w:rPr>
              <w:t xml:space="preserve">9.3%</w:t>
            </w:r>
          </w:p>
        </w:tc>
      </w:tr>
    </w:tbl>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100"/>
        <w:ind w:left="120"/>
      </w:pPr>
      <w:r>
        <w:rPr>
          <w:rFonts w:ascii="Calibri" w:cs="Calibri" w:eastAsia="Calibri" w:hAnsi="Calibri"/>
          <w:color w:val="333333"/>
          <w:sz w:val="19"/>
          <w:szCs w:val="19"/>
        </w:rPr>
        <w:t xml:space="preserve">Even the highest-value customers in this dataset are largely one-time or twice-only buyers — only one customer in the top 10 reordered a third time — confirming that this business is not built around repeat-customer retention, but around a high volume of large, one-off purchases.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Margin varies significantly at the individual level, from about 6% to over 21%, which naturally balances out to the overall 15% average at scale. No specific action is indicated by this table on its own; it is included mainly as a sanity check on the aggregate figures reported elsewhere.</w:t>
      </w:r>
    </w:p>
    <w:p>
      <w:pPr>
        <w:pStyle w:val="Heading1"/>
        <w:pBdr>
          <w:bottom w:val="single" w:color="2E86AB" w:sz="8" w:space="4"/>
        </w:pBdr>
        <w:spacing w:after="160" w:before="420"/>
      </w:pPr>
      <w:r>
        <w:rPr>
          <w:rFonts w:ascii="Calibri" w:cs="Calibri" w:eastAsia="Calibri" w:hAnsi="Calibri"/>
          <w:b/>
          <w:bCs/>
          <w:color w:val="2E86AB"/>
          <w:sz w:val="26"/>
          <w:szCs w:val="26"/>
        </w:rPr>
        <w:t xml:space="preserve">10. </w:t>
      </w:r>
      <w:r>
        <w:rPr>
          <w:rFonts w:ascii="Calibri" w:cs="Calibri" w:eastAsia="Calibri" w:hAnsi="Calibri"/>
          <w:b/>
          <w:bCs/>
          <w:color w:val="1F3864"/>
          <w:sz w:val="26"/>
          <w:szCs w:val="26"/>
        </w:rPr>
        <w:t xml:space="preserve">Visualization</w:t>
      </w:r>
    </w:p>
    <w:p>
      <w:pPr>
        <w:spacing w:after="120"/>
      </w:pPr>
      <w:r>
        <w:rPr>
          <w:rFonts w:ascii="Calibri" w:cs="Calibri" w:eastAsia="Calibri" w:hAnsi="Calibri"/>
          <w:b/>
          <w:bCs/>
          <w:color w:val="1F3864"/>
          <w:sz w:val="20"/>
          <w:szCs w:val="20"/>
        </w:rPr>
        <w:t xml:space="preserve">Dashboard: </w:t>
      </w:r>
      <w:r>
        <w:rPr>
          <w:rFonts w:ascii="Calibri" w:cs="Calibri" w:eastAsia="Calibri" w:hAnsi="Calibri"/>
          <w:color w:val="2E86AB"/>
          <w:sz w:val="19"/>
          <w:szCs w:val="19"/>
          <w:u w:val="single"/>
        </w:rPr>
        <w:t xml:space="preserve">https://datastudio.google.com/reporting/828ef23e-b333-4791-b634-35ed35476d5c</w:t>
      </w:r>
    </w:p>
    <w:p>
      <w:pPr>
        <w:spacing w:after="60" w:before="140"/>
      </w:pPr>
      <w:r>
        <w:rPr>
          <w:rFonts w:ascii="Calibri" w:cs="Calibri" w:eastAsia="Calibri" w:hAnsi="Calibri"/>
          <w:b/>
          <w:bCs/>
          <w:color w:val="1F3864"/>
          <w:sz w:val="20"/>
          <w:szCs w:val="20"/>
        </w:rPr>
        <w:t xml:space="preserve">Insights &amp; Comments</w:t>
      </w:r>
    </w:p>
    <w:p>
      <w:pPr>
        <w:pBdr>
          <w:left w:val="single" w:color="2E86AB" w:sz="14" w:space="8"/>
        </w:pBdr>
        <w:shd w:fill="FAFAFA" w:color="auto" w:val="clear"/>
        <w:spacing w:after="260"/>
        <w:ind w:left="120"/>
      </w:pPr>
      <w:r>
        <w:rPr>
          <w:rFonts w:ascii="Calibri" w:cs="Calibri" w:eastAsia="Calibri" w:hAnsi="Calibri"/>
          <w:color w:val="333333"/>
          <w:sz w:val="19"/>
          <w:szCs w:val="19"/>
        </w:rPr>
        <w:t xml:space="preserve">The dashboard consolidates the key metrics above into a single summary view of overall business performance across the analyzed period.</w:t>
      </w:r>
    </w:p>
    <w:p>
      <w:pPr>
        <w:spacing w:after="60" w:before="100"/>
        <w:jc w:val="center"/>
      </w:pPr>
      <w:r>
        <w:drawing>
          <wp:inline distT="0" distB="0" distL="0" distR="0">
            <wp:extent cx="6629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29400" cy="387667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Looker Studio dashboard — summary view</w:t>
      </w:r>
    </w:p>
    <w:p>
      <w:pPr>
        <w:pStyle w:val="Heading1"/>
        <w:pBdr>
          <w:bottom w:val="single" w:color="2E86AB" w:sz="8" w:space="4"/>
        </w:pBdr>
        <w:spacing w:after="160" w:before="420"/>
      </w:pPr>
      <w:r>
        <w:rPr>
          <w:rFonts w:ascii="Calibri" w:cs="Calibri" w:eastAsia="Calibri" w:hAnsi="Calibri"/>
          <w:b/>
          <w:bCs/>
          <w:color w:val="2E86AB"/>
          <w:sz w:val="26"/>
          <w:szCs w:val="26"/>
        </w:rPr>
        <w:t xml:space="preserve">11. </w:t>
      </w:r>
      <w:r>
        <w:rPr>
          <w:rFonts w:ascii="Calibri" w:cs="Calibri" w:eastAsia="Calibri" w:hAnsi="Calibri"/>
          <w:b/>
          <w:bCs/>
          <w:color w:val="1F3864"/>
          <w:sz w:val="26"/>
          <w:szCs w:val="26"/>
        </w:rPr>
        <w:t xml:space="preserve">Conclusions and Recommendations</w:t>
      </w:r>
    </w:p>
    <w:p>
      <w:pPr>
        <w:spacing w:after="140"/>
      </w:pPr>
      <w:r>
        <w:rPr>
          <w:rFonts w:ascii="Calibri" w:cs="Calibri" w:eastAsia="Calibri" w:hAnsi="Calibri"/>
          <w:color w:val="333333"/>
          <w:sz w:val="20"/>
          <w:szCs w:val="20"/>
        </w:rPr>
        <w:t xml:space="preserve">The business demonstrates strong stability over the full two-year period: consistent margins, a healthy AOV, and no significant structural weaknesses across categories, regions, or payment channels.</w:t>
      </w:r>
    </w:p>
    <w:p>
      <w:pPr>
        <w:spacing w:after="220"/>
      </w:pPr>
      <w:r>
        <w:rPr>
          <w:rFonts w:ascii="Calibri" w:cs="Calibri" w:eastAsia="Calibri" w:hAnsi="Calibri"/>
          <w:color w:val="333333"/>
          <w:sz w:val="20"/>
          <w:szCs w:val="20"/>
        </w:rPr>
        <w:t xml:space="preserve">The main finding worth flagging, however, is that stability has not been accompanied by growth: revenue and profit hold steady but do not trend upward across the two years. Whether this reflects a deliberate choice (a mature market, a conscious focus on margin over expansion) or an unaddressed growth ceiling cannot be determined from this dataset alone, but it is the single most actionable observation in this analysis.</w:t>
      </w:r>
    </w:p>
    <w:p>
      <w:pPr>
        <w:spacing w:after="80"/>
      </w:pPr>
      <w:r>
        <w:rPr>
          <w:rFonts w:ascii="Calibri" w:cs="Calibri" w:eastAsia="Calibri" w:hAnsi="Calibri"/>
          <w:b/>
          <w:bCs/>
          <w:color w:val="1F3864"/>
          <w:sz w:val="21"/>
          <w:szCs w:val="21"/>
        </w:rPr>
        <w:t xml:space="preserve">Recommendations</w:t>
      </w:r>
    </w:p>
    <w:p>
      <w:pPr>
        <w:spacing w:after="90"/>
        <w:ind w:left="240" w:hanging="120"/>
      </w:pPr>
      <w:r>
        <w:rPr>
          <w:rFonts w:ascii="Calibri" w:cs="Calibri" w:eastAsia="Calibri" w:hAnsi="Calibri"/>
          <w:color w:val="333333"/>
          <w:sz w:val="20"/>
          <w:szCs w:val="20"/>
        </w:rPr>
        <w:t xml:space="preserve">–  Investigate the root cause of the growth plateau before treating current stability as sufficient on its own.</w:t>
      </w:r>
    </w:p>
    <w:p>
      <w:pPr>
        <w:spacing w:after="90"/>
        <w:ind w:left="240" w:hanging="120"/>
      </w:pPr>
      <w:r>
        <w:rPr>
          <w:rFonts w:ascii="Calibri" w:cs="Calibri" w:eastAsia="Calibri" w:hAnsi="Calibri"/>
          <w:color w:val="333333"/>
          <w:sz w:val="20"/>
          <w:szCs w:val="20"/>
        </w:rPr>
        <w:t xml:space="preserve">–  Compare the weaker end of the category range (Beauty) against the stronger end (Furniture, Home Decor, Electronics) to identify transferable factors.</w:t>
      </w:r>
    </w:p>
    <w:p>
      <w:pPr>
        <w:spacing w:after="90"/>
        <w:ind w:left="240" w:hanging="120"/>
      </w:pPr>
      <w:r>
        <w:rPr>
          <w:rFonts w:ascii="Calibri" w:cs="Calibri" w:eastAsia="Calibri" w:hAnsi="Calibri"/>
          <w:color w:val="333333"/>
          <w:sz w:val="20"/>
          <w:szCs w:val="20"/>
        </w:rPr>
        <w:t xml:space="preserve">–  Given the consistently high AOV across categories and regions, prioritize cross-sell and bundling experiments over pure customer-acquisition spend.</w:t>
      </w:r>
    </w:p>
    <w:p>
      <w:pPr>
        <w:spacing w:after="200"/>
        <w:ind w:left="240" w:hanging="120"/>
      </w:pPr>
      <w:r>
        <w:rPr>
          <w:rFonts w:ascii="Calibri" w:cs="Calibri" w:eastAsia="Calibri" w:hAnsi="Calibri"/>
          <w:color w:val="333333"/>
          <w:sz w:val="20"/>
          <w:szCs w:val="20"/>
        </w:rPr>
        <w:t xml:space="preserve">–  Treat the discount- and payment-method-level patterns as starting hypotheses rather than conclusions — a larger, multi-year dataset with additional dimensions (e.g. marketing spend, category-level discount rules) would be needed to confirm them with confidence.</w:t>
      </w:r>
    </w:p>
    <w:p>
      <w:pPr>
        <w:spacing w:before="100"/>
      </w:pPr>
      <w:r>
        <w:rPr>
          <w:rFonts w:ascii="Calibri" w:cs="Calibri" w:eastAsia="Calibri" w:hAnsi="Calibri"/>
          <w:i/>
          <w:iCs/>
          <w:color w:val="595959"/>
          <w:sz w:val="18"/>
          <w:szCs w:val="18"/>
        </w:rPr>
        <w:t xml:space="preserve">Overall, this analysis is based on a single 5,000-row transaction table covering 2023–2025; broader conclusions about the business would require additional data (marketing activity, cost breakdowns, customer acquisition channels) that falls outside the scope of what was available here.</w:t>
      </w:r>
    </w:p>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E-commerce Sales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1fd3699c12d96d50d9c97956d471b87064b6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2026-10-01T06:02:33.793Z</dcterms:created>
  <dcterms:modified xsi:type="dcterms:W3CDTF">2026-10-01T06:02:33.798Z</dcterms:modified>
</cp:coreProperties>
</file>

<file path=docProps/custom.xml><?xml version="1.0" encoding="utf-8"?>
<Properties xmlns="http://schemas.openxmlformats.org/officeDocument/2006/custom-properties" xmlns:vt="http://schemas.openxmlformats.org/officeDocument/2006/docPropsVTypes"/>
</file>