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2545"/>
          <w:sz w:val="36"/>
        </w:rPr>
        <w:t>R158 Public DOCX Fixture</w:t>
      </w:r>
    </w:p>
    <w:p>
      <w:r>
        <w:t>Goal: verify local DOCX creation and structural inspection without customer-private data.</w:t>
      </w:r>
    </w:p>
    <w:p>
      <w:pPr>
        <w:pStyle w:val="Heading1"/>
      </w:pPr>
      <w:r>
        <w:t>Evidence Boundary</w:t>
      </w:r>
    </w:p>
    <w:p>
      <w:r>
        <w:t>This file is generated only for R158 local invocation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Check</w:t>
            </w:r>
          </w:p>
        </w:tc>
        <w:tc>
          <w:tcPr>
            <w:tcW w:type="dxa" w:w="4680"/>
          </w:tcPr>
          <w:p>
            <w:r>
              <w:t>Status</w:t>
            </w:r>
          </w:p>
        </w:tc>
      </w:tr>
      <w:tr>
        <w:tc>
          <w:tcPr>
            <w:tcW w:type="dxa" w:w="4680"/>
          </w:tcPr>
          <w:p>
            <w:r>
              <w:t>Private data</w:t>
            </w:r>
          </w:p>
        </w:tc>
        <w:tc>
          <w:tcPr>
            <w:tcW w:type="dxa" w:w="468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