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E01FF" w14:textId="3423967D" w:rsidR="00283EDB" w:rsidRDefault="006B26A3" w:rsidP="006B26A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Лабораторная работа №6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450F713" w14:textId="6A8186A4" w:rsidR="006B26A3" w:rsidRDefault="006B26A3" w:rsidP="006B26A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#1</w:t>
      </w:r>
    </w:p>
    <w:p w14:paraId="179B6449" w14:textId="77777777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B26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030B2" wp14:editId="0DF06C54">
            <wp:extent cx="4262284" cy="301761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284" cy="30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F830" w14:textId="77777777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6173B91" w14:textId="3F62FE71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B26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DD74B2" wp14:editId="0961C1A7">
            <wp:extent cx="5825613" cy="3633613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7077" cy="36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10CE" w14:textId="69D803AB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B26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A5C113" wp14:editId="4F41FE90">
            <wp:extent cx="3302102" cy="3967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480" cy="39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00D" w14:textId="38D41CA2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2DF9A4E" w14:textId="684CC2E2" w:rsidR="006B26A3" w:rsidRDefault="006B26A3" w:rsidP="006B26A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#2</w:t>
      </w:r>
    </w:p>
    <w:p w14:paraId="63DD4E30" w14:textId="40F7A7FD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26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FD48F0" wp14:editId="781E6438">
            <wp:extent cx="5940425" cy="4225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142" w14:textId="2FEA1803" w:rsidR="006B26A3" w:rsidRDefault="006B26A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26A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5C6AF3" wp14:editId="42C8E446">
            <wp:extent cx="5940425" cy="1687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8FA" w14:textId="60436BD4" w:rsidR="006B26A3" w:rsidRDefault="006B26A3" w:rsidP="006B26A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#3</w:t>
      </w:r>
    </w:p>
    <w:p w14:paraId="158C80C8" w14:textId="60D5A8E9" w:rsidR="006B26A3" w:rsidRDefault="0096264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26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8E9585" wp14:editId="740E3A0B">
            <wp:extent cx="5940425" cy="5038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E8A7" w14:textId="28ABC4E5" w:rsidR="00962643" w:rsidRDefault="0096264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26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5A639A" wp14:editId="1C0937BB">
            <wp:extent cx="5940425" cy="34207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555D" w14:textId="6CC16C46" w:rsidR="00962643" w:rsidRDefault="0096264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26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8697E1" wp14:editId="2158F526">
            <wp:extent cx="5940425" cy="229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9F7B" w14:textId="0A063A57" w:rsidR="00962643" w:rsidRDefault="00962643" w:rsidP="006B26A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26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3B2D68" wp14:editId="1822CC59">
            <wp:extent cx="5940425" cy="2945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E470" w14:textId="56ED998A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281FE4" w14:textId="425C6916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CD44D4B" w14:textId="77777777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7A61748" w14:textId="77777777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7EC1DB" w14:textId="77777777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8DFB5AB" w14:textId="77777777" w:rsidR="00962643" w:rsidRDefault="00962643" w:rsidP="00962643">
      <w:pPr>
        <w:tabs>
          <w:tab w:val="center" w:pos="4677"/>
          <w:tab w:val="left" w:pos="769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384330" w14:textId="5949230F" w:rsidR="00962643" w:rsidRDefault="009626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D2CA4B" w14:textId="39E5A80B" w:rsidR="00962643" w:rsidRDefault="00962643" w:rsidP="0096264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4"/>
        <w:gridCol w:w="1921"/>
        <w:gridCol w:w="2323"/>
        <w:gridCol w:w="2279"/>
        <w:gridCol w:w="2268"/>
      </w:tblGrid>
      <w:tr w:rsidR="00DD2AB9" w:rsidRPr="006F4B80" w14:paraId="419C234B" w14:textId="77777777" w:rsidTr="005503A7">
        <w:tc>
          <w:tcPr>
            <w:tcW w:w="594" w:type="dxa"/>
          </w:tcPr>
          <w:p w14:paraId="088A4460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№, п/п</w:t>
            </w:r>
          </w:p>
        </w:tc>
        <w:tc>
          <w:tcPr>
            <w:tcW w:w="2701" w:type="dxa"/>
          </w:tcPr>
          <w:p w14:paraId="3B6DCFE5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Наименование параметра</w:t>
            </w:r>
          </w:p>
        </w:tc>
        <w:tc>
          <w:tcPr>
            <w:tcW w:w="1743" w:type="dxa"/>
          </w:tcPr>
          <w:p w14:paraId="7ECD66CB" w14:textId="77777777" w:rsidR="00962643" w:rsidRPr="009F1920" w:rsidRDefault="00962643" w:rsidP="005503A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920">
              <w:rPr>
                <w:rFonts w:ascii="Times New Roman" w:hAnsi="Times New Roman" w:cs="Times New Roman"/>
                <w:sz w:val="28"/>
                <w:szCs w:val="28"/>
                <w:shd w:val="clear" w:color="auto" w:fill="FCFCFC"/>
              </w:rPr>
              <w:t>Активный аудит</w:t>
            </w:r>
          </w:p>
        </w:tc>
        <w:tc>
          <w:tcPr>
            <w:tcW w:w="2152" w:type="dxa"/>
          </w:tcPr>
          <w:p w14:paraId="28ED7B73" w14:textId="77777777" w:rsidR="00962643" w:rsidRPr="009F1920" w:rsidRDefault="00962643" w:rsidP="005503A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920">
              <w:rPr>
                <w:rFonts w:ascii="Times New Roman" w:hAnsi="Times New Roman" w:cs="Times New Roman"/>
                <w:sz w:val="28"/>
                <w:szCs w:val="28"/>
                <w:shd w:val="clear" w:color="auto" w:fill="FCFCFC"/>
              </w:rPr>
              <w:t>Экспертный аудит</w:t>
            </w:r>
          </w:p>
        </w:tc>
        <w:tc>
          <w:tcPr>
            <w:tcW w:w="2155" w:type="dxa"/>
          </w:tcPr>
          <w:p w14:paraId="39A5AE70" w14:textId="77777777" w:rsidR="00962643" w:rsidRPr="009F1920" w:rsidRDefault="00962643" w:rsidP="005503A7">
            <w:pPr>
              <w:pStyle w:val="a4"/>
              <w:shd w:val="clear" w:color="auto" w:fill="FCFCFC"/>
              <w:spacing w:before="0" w:beforeAutospacing="0" w:after="0" w:afterAutospacing="0"/>
              <w:contextualSpacing/>
              <w:jc w:val="center"/>
              <w:rPr>
                <w:sz w:val="28"/>
                <w:szCs w:val="28"/>
              </w:rPr>
            </w:pPr>
            <w:r w:rsidRPr="009F1920">
              <w:rPr>
                <w:sz w:val="28"/>
                <w:szCs w:val="28"/>
              </w:rPr>
              <w:t xml:space="preserve">Аудит </w:t>
            </w:r>
            <w:r>
              <w:rPr>
                <w:sz w:val="28"/>
                <w:szCs w:val="28"/>
              </w:rPr>
              <w:t>н</w:t>
            </w:r>
            <w:r w:rsidRPr="009F1920">
              <w:rPr>
                <w:sz w:val="28"/>
                <w:szCs w:val="28"/>
              </w:rPr>
              <w:t>а соответствие</w:t>
            </w:r>
          </w:p>
          <w:p w14:paraId="2421D95A" w14:textId="77777777" w:rsidR="00962643" w:rsidRPr="009F1920" w:rsidRDefault="00962643" w:rsidP="005503A7">
            <w:pPr>
              <w:pStyle w:val="a4"/>
              <w:shd w:val="clear" w:color="auto" w:fill="FCFCFC"/>
              <w:spacing w:before="0" w:beforeAutospacing="0" w:after="0" w:afterAutospacing="0"/>
              <w:contextualSpacing/>
              <w:jc w:val="center"/>
              <w:rPr>
                <w:sz w:val="28"/>
                <w:szCs w:val="28"/>
              </w:rPr>
            </w:pPr>
            <w:r w:rsidRPr="009F1920">
              <w:rPr>
                <w:sz w:val="28"/>
                <w:szCs w:val="28"/>
              </w:rPr>
              <w:t>стандартам</w:t>
            </w:r>
          </w:p>
        </w:tc>
      </w:tr>
      <w:tr w:rsidR="00DD2AB9" w:rsidRPr="006F4B80" w14:paraId="3B41DB6B" w14:textId="77777777" w:rsidTr="005503A7">
        <w:tc>
          <w:tcPr>
            <w:tcW w:w="594" w:type="dxa"/>
          </w:tcPr>
          <w:p w14:paraId="1E02C6AB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1" w:type="dxa"/>
          </w:tcPr>
          <w:p w14:paraId="6B8C6077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743" w:type="dxa"/>
          </w:tcPr>
          <w:p w14:paraId="035DA6FA" w14:textId="7F4906CD" w:rsidR="00962643" w:rsidRPr="006F4B80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Исследование состояния защищённости информационных систем с точки зрения злоумышленника</w:t>
            </w:r>
          </w:p>
        </w:tc>
        <w:tc>
          <w:tcPr>
            <w:tcW w:w="2152" w:type="dxa"/>
          </w:tcPr>
          <w:p w14:paraId="3ADB6E1B" w14:textId="14696CAA" w:rsidR="00962643" w:rsidRPr="006F4B80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состояния информационной безопасности информационной системы с идеальным описанием</w:t>
            </w:r>
          </w:p>
        </w:tc>
        <w:tc>
          <w:tcPr>
            <w:tcW w:w="2155" w:type="dxa"/>
          </w:tcPr>
          <w:p w14:paraId="0F1BDEDF" w14:textId="46E02960" w:rsidR="00962643" w:rsidRPr="00A43EE9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с абстрактным описанием</w:t>
            </w:r>
            <w:r w:rsidRPr="00A43EE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приводимым в стандартах</w:t>
            </w:r>
          </w:p>
        </w:tc>
      </w:tr>
      <w:tr w:rsidR="00DD2AB9" w:rsidRPr="006F4B80" w14:paraId="34A377B8" w14:textId="77777777" w:rsidTr="005503A7">
        <w:tc>
          <w:tcPr>
            <w:tcW w:w="594" w:type="dxa"/>
          </w:tcPr>
          <w:p w14:paraId="688B5982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1" w:type="dxa"/>
          </w:tcPr>
          <w:p w14:paraId="44F5AE90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Сфера применения</w:t>
            </w:r>
          </w:p>
        </w:tc>
        <w:tc>
          <w:tcPr>
            <w:tcW w:w="1743" w:type="dxa"/>
          </w:tcPr>
          <w:p w14:paraId="20369817" w14:textId="05DDB8B9" w:rsidR="00962643" w:rsidRPr="00A43EE9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Применяется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IT.</w:t>
            </w:r>
          </w:p>
        </w:tc>
        <w:tc>
          <w:tcPr>
            <w:tcW w:w="2152" w:type="dxa"/>
          </w:tcPr>
          <w:p w14:paraId="697572A9" w14:textId="1D7AA013" w:rsidR="00962643" w:rsidRPr="00A43EE9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Применяется для независимой оценки качества программного обеспечения</w:t>
            </w:r>
            <w:r w:rsidRPr="00A43EE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процессов разработки и управления проектом</w:t>
            </w:r>
          </w:p>
        </w:tc>
        <w:tc>
          <w:tcPr>
            <w:tcW w:w="2155" w:type="dxa"/>
          </w:tcPr>
          <w:p w14:paraId="59BCA219" w14:textId="1F661BF5" w:rsidR="00962643" w:rsidRPr="00A43EE9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Аудит на соответствие стандартам в программировании применяется для проверки того</w:t>
            </w:r>
            <w:r w:rsidRPr="00A43EE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насколько программное обеспечение и процессы разработки соответствуют установленным внутренним и внешним стандартам.</w:t>
            </w:r>
          </w:p>
        </w:tc>
      </w:tr>
      <w:tr w:rsidR="00DD2AB9" w:rsidRPr="006F4B80" w14:paraId="2A415B75" w14:textId="77777777" w:rsidTr="005503A7">
        <w:tc>
          <w:tcPr>
            <w:tcW w:w="594" w:type="dxa"/>
          </w:tcPr>
          <w:p w14:paraId="7E349120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1" w:type="dxa"/>
          </w:tcPr>
          <w:p w14:paraId="41B07D2C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Применяемости</w:t>
            </w:r>
          </w:p>
        </w:tc>
        <w:tc>
          <w:tcPr>
            <w:tcW w:w="1743" w:type="dxa"/>
          </w:tcPr>
          <w:p w14:paraId="2ABEE743" w14:textId="1D614374" w:rsidR="00962643" w:rsidRPr="006F4B80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Применяется для обследования состояния защищённости определённых подсистем информационной безопасности</w:t>
            </w:r>
          </w:p>
        </w:tc>
        <w:tc>
          <w:tcPr>
            <w:tcW w:w="2152" w:type="dxa"/>
          </w:tcPr>
          <w:p w14:paraId="78BACCDA" w14:textId="5ACCE238" w:rsidR="00962643" w:rsidRPr="006F4B80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для независимой оценки различных аспектов разработки и функционирования программного обеспечения</w:t>
            </w:r>
          </w:p>
        </w:tc>
        <w:tc>
          <w:tcPr>
            <w:tcW w:w="2155" w:type="dxa"/>
          </w:tcPr>
          <w:p w14:paraId="3151CD65" w14:textId="2A499380" w:rsidR="00962643" w:rsidRPr="006F4B80" w:rsidRDefault="00A43EE9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Аудит на соответствие стандартам в программировании – это процесс проверки программного обеспечения и процессов его разработки на соответствие различным внутренним и внешним стандартам</w:t>
            </w:r>
            <w:r w:rsidR="000530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0530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Основная цель аудита – убедиться, что разрабатываемое ПО отвечает высоким критериям качества, безопасности и соответствия законодательным и отраслевым требованиям. </w:t>
            </w:r>
          </w:p>
        </w:tc>
      </w:tr>
      <w:tr w:rsidR="00DD2AB9" w:rsidRPr="006F4B80" w14:paraId="1B28CCC7" w14:textId="77777777" w:rsidTr="005503A7">
        <w:tc>
          <w:tcPr>
            <w:tcW w:w="594" w:type="dxa"/>
          </w:tcPr>
          <w:p w14:paraId="285E6116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1" w:type="dxa"/>
          </w:tcPr>
          <w:p w14:paraId="47BF4AB4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1743" w:type="dxa"/>
          </w:tcPr>
          <w:p w14:paraId="10A1C0B2" w14:textId="6A082561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Ранее обнаружение ошибок, повышенная безопасность, стабильность, оптимизация.</w:t>
            </w:r>
          </w:p>
        </w:tc>
        <w:tc>
          <w:tcPr>
            <w:tcW w:w="2152" w:type="dxa"/>
          </w:tcPr>
          <w:p w14:paraId="286A3652" w14:textId="0AF7D78F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Выявление ошибок, снижение затрат времени, повышенное доверия клиентов, соответствие стандартам.</w:t>
            </w:r>
          </w:p>
        </w:tc>
        <w:tc>
          <w:tcPr>
            <w:tcW w:w="2155" w:type="dxa"/>
          </w:tcPr>
          <w:p w14:paraId="0DB2B079" w14:textId="249F8259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кода, усиление безопасности, оптимизация разработки, улучшение архитектуры, доверие клиентов.</w:t>
            </w:r>
          </w:p>
        </w:tc>
      </w:tr>
      <w:tr w:rsidR="00DD2AB9" w:rsidRPr="006F4B80" w14:paraId="7461E300" w14:textId="77777777" w:rsidTr="005503A7">
        <w:tc>
          <w:tcPr>
            <w:tcW w:w="594" w:type="dxa"/>
          </w:tcPr>
          <w:p w14:paraId="0744B853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1" w:type="dxa"/>
          </w:tcPr>
          <w:p w14:paraId="72600D4F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1743" w:type="dxa"/>
          </w:tcPr>
          <w:p w14:paraId="69EB82A3" w14:textId="2A43E5C2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Высокие затраты времени, излишняя детализация, зависимость от инструментария, ограниченная применимость</w:t>
            </w:r>
          </w:p>
        </w:tc>
        <w:tc>
          <w:tcPr>
            <w:tcW w:w="2152" w:type="dxa"/>
          </w:tcPr>
          <w:p w14:paraId="0AFF99A2" w14:textId="0809FC2D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Зависимость от опыта, высокая стоимость, большой объём кода, трудоёмкость внедрения рекомендаций</w:t>
            </w:r>
          </w:p>
        </w:tc>
        <w:tc>
          <w:tcPr>
            <w:tcW w:w="2155" w:type="dxa"/>
          </w:tcPr>
          <w:p w14:paraId="0AB59D58" w14:textId="3063B81B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Высокие затраты, конфликт интересов, ограниченный охват, жесткое следование стандартам</w:t>
            </w:r>
          </w:p>
        </w:tc>
      </w:tr>
      <w:tr w:rsidR="00DD2AB9" w:rsidRPr="006F4B80" w14:paraId="34832BEB" w14:textId="77777777" w:rsidTr="005503A7">
        <w:tc>
          <w:tcPr>
            <w:tcW w:w="594" w:type="dxa"/>
          </w:tcPr>
          <w:p w14:paraId="6A4E7361" w14:textId="77777777" w:rsidR="00962643" w:rsidRPr="006F4B80" w:rsidRDefault="00962643" w:rsidP="005503A7">
            <w:pPr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1" w:type="dxa"/>
          </w:tcPr>
          <w:p w14:paraId="5EAD3E28" w14:textId="77777777" w:rsidR="00962643" w:rsidRPr="006F4B80" w:rsidRDefault="00962643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B80">
              <w:rPr>
                <w:rFonts w:ascii="Times New Roman" w:hAnsi="Times New Roman" w:cs="Times New Roman"/>
                <w:sz w:val="28"/>
                <w:szCs w:val="28"/>
              </w:rPr>
              <w:t>Описание этапов методики применения на практике</w:t>
            </w:r>
          </w:p>
        </w:tc>
        <w:tc>
          <w:tcPr>
            <w:tcW w:w="1743" w:type="dxa"/>
          </w:tcPr>
          <w:p w14:paraId="37367047" w14:textId="3BD6FD3E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Планирование, Предварительный анализ, статический анализ, Динамический анализ, Оценка архитектуры</w:t>
            </w:r>
            <w:r w:rsidR="00DD2A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D2AB9">
              <w:rPr>
                <w:rFonts w:ascii="Times New Roman" w:hAnsi="Times New Roman" w:cs="Times New Roman"/>
                <w:sz w:val="28"/>
                <w:szCs w:val="28"/>
              </w:rPr>
              <w:t>Документирование. Реализация.</w:t>
            </w:r>
          </w:p>
        </w:tc>
        <w:tc>
          <w:tcPr>
            <w:tcW w:w="2152" w:type="dxa"/>
          </w:tcPr>
          <w:p w14:paraId="3E7E3546" w14:textId="492641A9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целей и объёма аудита, выбор экспертов, сбор и анализ документации, анализ кода, оценка архитектуры</w:t>
            </w:r>
            <w:r w:rsidR="00DD2A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D2AB9">
              <w:rPr>
                <w:rFonts w:ascii="Times New Roman" w:hAnsi="Times New Roman" w:cs="Times New Roman"/>
                <w:sz w:val="28"/>
                <w:szCs w:val="28"/>
              </w:rPr>
              <w:t xml:space="preserve">анализ безопасности, оценка процессов разработки, составление </w:t>
            </w:r>
            <w:r w:rsidR="00DD2A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отчёта, реализация и контроль.</w:t>
            </w:r>
          </w:p>
        </w:tc>
        <w:tc>
          <w:tcPr>
            <w:tcW w:w="2155" w:type="dxa"/>
          </w:tcPr>
          <w:p w14:paraId="0ACEA456" w14:textId="20D3B9CA" w:rsidR="00962643" w:rsidRPr="006F4B80" w:rsidRDefault="0005306F" w:rsidP="005503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Аудит на соответствие стандартам в программировании – это процесс проверки программного обеспечения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процессов его разработки на соответствие установленным внутренним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внешним стандартам.</w:t>
            </w:r>
          </w:p>
        </w:tc>
      </w:tr>
    </w:tbl>
    <w:p w14:paraId="3A6C83CA" w14:textId="77777777" w:rsidR="00962643" w:rsidRPr="00962643" w:rsidRDefault="00962643" w:rsidP="0096264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534285D" w14:textId="77777777" w:rsidR="00962643" w:rsidRPr="00962643" w:rsidRDefault="00962643" w:rsidP="00962643">
      <w:pPr>
        <w:tabs>
          <w:tab w:val="center" w:pos="4677"/>
          <w:tab w:val="left" w:pos="7699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962643" w:rsidRPr="00962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99"/>
    <w:rsid w:val="0005306F"/>
    <w:rsid w:val="00104599"/>
    <w:rsid w:val="00133E6F"/>
    <w:rsid w:val="001F2F99"/>
    <w:rsid w:val="00283EDB"/>
    <w:rsid w:val="00400E96"/>
    <w:rsid w:val="006B26A3"/>
    <w:rsid w:val="00962643"/>
    <w:rsid w:val="00A43EE9"/>
    <w:rsid w:val="00DD2AB9"/>
    <w:rsid w:val="00E8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0B2FB"/>
  <w15:chartTrackingRefBased/>
  <w15:docId w15:val="{4A7E7199-E764-4F4C-AA85-CA5C8AF8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6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2</cp:revision>
  <dcterms:created xsi:type="dcterms:W3CDTF">2025-02-08T05:47:00Z</dcterms:created>
  <dcterms:modified xsi:type="dcterms:W3CDTF">2025-02-08T06:28:00Z</dcterms:modified>
</cp:coreProperties>
</file>