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Aravalli Mobility Pvt Ltd</w:t>
      </w:r>
    </w:p>
    <w:p>
      <w:pPr>
        <w:pStyle w:val="Heading2"/>
      </w:pPr>
      <w:r>
        <w:t>SOP-SC-014: Supply Disruption Response</w:t>
      </w:r>
    </w:p>
    <w:p>
      <w:r>
        <w:t>Owner: Head of Supply Chain Management · Version: 3.2 · Applies to: Manesar plant, all direct-material categories. Effective: 2026-10-01 · Supersedes: none.</w:t>
      </w:r>
    </w:p>
    <w:p>
      <w:pPr>
        <w:pStyle w:val="Heading3"/>
      </w:pPr>
      <w:r>
        <w:t>Section 1 - Purpose and Scope</w:t>
      </w:r>
    </w:p>
    <w:p>
      <w:r>
        <w:t>1.1 This SOP defines the mandatory steps when an external event (port congestion or closure, extreme weather, geopolitical tension, sanctions, supplier force majeure) threatens inbound supply of direct materials.</w:t>
      </w:r>
    </w:p>
    <w:p>
      <w:r>
        <w:t>1.2 Every automated or manual action taken under this SOP must cite the clause that authorises it.</w:t>
      </w:r>
    </w:p>
    <w:p>
      <w:pPr>
        <w:pStyle w:val="Heading3"/>
      </w:pPr>
      <w:r>
        <w:t>Section 2 - Severity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Definition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Response window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L1 - Watch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Expected delay under 7 days, or event not yet confirmed by two independent sources.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Monitor; re-assess within 24 h. No RFQ.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L2 - Material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Expected delay of 7 to 21 days on a named port, lane or supplier.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RFQ trigger test (Section 3) within 8 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L3 - Critical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Expected delay over 21 days, port closure beyond 21 days, blockade, export ban, or supplier force majeure notice.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RFQ trigger test within 4 h; contingency plan mandatory.</w:t>
            </w:r>
          </w:p>
        </w:tc>
      </w:tr>
    </w:tbl>
    <w:p>
      <w:r>
        <w:t>2.2 Where the delay is uncertain, the analyst must use the upper end of the credible estimate (conservative planning principle).</w:t>
      </w:r>
    </w:p>
    <w:p>
      <w:r>
        <w:t>2.3 An event is confirmed only when two independent sources report it. An unconfirmed event is classed L1 and no RFQ is raised.</w:t>
      </w:r>
    </w:p>
    <w:p>
      <w:pPr>
        <w:pStyle w:val="Heading3"/>
      </w:pPr>
      <w:r>
        <w:t>Section 3 - RFQ Trigger Rule</w:t>
      </w:r>
    </w:p>
    <w:p>
      <w:r>
        <w:t>3.1 For each affected part compute days of cover = on-hand quantity / daily consumption.</w:t>
      </w:r>
    </w:p>
    <w:p>
      <w:r>
        <w:t>3.2 An RFQ to an approved backup supplier is mandatory when: days of cover &lt; projected delay (days) + 5-day safety buffer.</w:t>
      </w:r>
    </w:p>
    <w:p>
      <w:r>
        <w:t>3.3 Shortfall units = (projected delay + 5 - days of cover) x daily consumption. RFQ quantity = shortfall units x 1.2, rounded up to the nearest multiple of the backup supplier's MOQ.</w:t>
      </w:r>
    </w:p>
    <w:p>
      <w:r>
        <w:t>3.4 RFQs may only be issued to suppliers listed as APPROVED_BACKUP for that part in the ERP and marked APPROVED on the Approved Vendor List (Vendor Contracts document, Schedule A). CONDITIONAL suppliers require Head of SCM sign-off before an RFQ is released.</w:t>
      </w:r>
    </w:p>
    <w:p>
      <w:r>
        <w:t>3.5 For L3 events affecting a critical part, RFQs must go to at least two approved backups where two exist.</w:t>
      </w:r>
    </w:p>
    <w:p>
      <w:r>
        <w:t>3.6 Parts whose days of cover are equal to or above projected delay + 5 days are placed on part watch status (not an event severity); no RFQ is raised.</w:t>
      </w:r>
    </w:p>
    <w:p>
      <w:r>
        <w:br w:type="page"/>
      </w:r>
    </w:p>
    <w:p>
      <w:pPr>
        <w:pStyle w:val="Heading3"/>
      </w:pPr>
      <w:r>
        <w:t>Section 4 - Contingency Measures</w:t>
      </w:r>
    </w:p>
    <w:p>
      <w:r>
        <w:t>4.1 Expedited freight: Air freight may be authorised for critical parts when the freight premium is below 15% of the affected PO value. The premium is taken from the carrier quote supplied by the buyer; if no quote is available, record freight quote required and do not estimate.</w:t>
      </w:r>
    </w:p>
    <w:p>
      <w:r>
        <w:t>4.2 Safety stock uplift: During any active L2 or L3 event the safety stock target for affected parts is raised by 30% until the event is closed.</w:t>
      </w:r>
    </w:p>
    <w:p>
      <w:r>
        <w:t>4.3 Re-routing: For port-specific events, the buyer shall request the primary supplier to re-route via an alternate export port (e.g. Kaohsiung to Keelung, or trans-shipment via Singapore) before cancelling open POs.</w:t>
      </w:r>
    </w:p>
    <w:p>
      <w:r>
        <w:t>4.4 Open POs: Open POs with the disrupted supplier are not cancelled; they are placed on HOLD-REVIEW and re-dated.</w:t>
      </w:r>
    </w:p>
    <w:p>
      <w:r>
        <w:t>4.5 Production protection: If projected stock-out falls within 7 days, Production Planning must be notified to re-sequence builds toward models not using the affected part. Notification is also required when the projected stock-out falls before the earliest backup supplier can deliver (clause 4.7).</w:t>
      </w:r>
    </w:p>
    <w:p>
      <w:r>
        <w:t>4.6 Capacity shortfall: If a backup supplier's monthly capacity is below the RFQ quantity, the buyer must combine the RFQ with measures 4.1 or 4.3 for the balance.</w:t>
      </w:r>
    </w:p>
    <w:p>
      <w:r>
        <w:t>4.7 Lead time check: If a backup supplier's standard lead time is longer than the part's days of cover, the RFQ must be combined with measure 4.1, and the action record must state the expected stock-out gap in days (lead time minus days of cover).</w:t>
      </w:r>
    </w:p>
    <w:p>
      <w:pPr>
        <w:pStyle w:val="Heading3"/>
      </w:pPr>
      <w:r>
        <w:t>Section 5 - Approval Matrix</w:t>
      </w:r>
    </w:p>
    <w:p>
      <w:r>
        <w:t>5.1 Approval is based on the total estimated value of all RFQs raised in one action record.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18"/>
              </w:rPr>
              <w:t>Total estimated RFQ value (INR)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18"/>
              </w:rPr>
              <w:t>Approving authority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Up to 25,00,000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Operations Manager - Procurement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25,00,001 to 1,00,00,000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Head of Supply Chain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Above 1,00,00,000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Chief Financial Officer</w:t>
            </w:r>
          </w:p>
        </w:tc>
      </w:tr>
    </w:tbl>
    <w:p>
      <w:pPr>
        <w:pStyle w:val="Heading3"/>
      </w:pPr>
      <w:r>
        <w:t>Section 6 - Communication and Records</w:t>
      </w:r>
    </w:p>
    <w:p>
      <w:r>
        <w:t>6.1 The Operations Coordinator must publish an action record (RFQ or contingency plan) to the procurement workflow system within the response window of Section 2.</w:t>
      </w:r>
    </w:p>
    <w:p>
      <w:r>
        <w:t>6.2 The record must include: severity level, affected parts, days of cover, projected delay, shortfall, supplier chosen, quantity, approving authority and policy citations.</w:t>
      </w:r>
    </w:p>
    <w:p>
      <w:r>
        <w:t>6.3 Records are retained for 7 years for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