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ajesh-ramani"/>
    <w:p>
      <w:pPr>
        <w:pStyle w:val="Heading1"/>
      </w:pPr>
      <w:r>
        <w:t xml:space="preserve">RAJESH RAMANI</w:t>
      </w:r>
    </w:p>
    <w:p>
      <w:pPr>
        <w:pStyle w:val="FirstParagraph"/>
      </w:pPr>
      <w:r>
        <w:t xml:space="preserve">Fremont, CA · rajesh_ramani@icloud.com · (408) 806-0359</w:t>
      </w:r>
      <w:r>
        <w:t xml:space="preserve"> </w:t>
      </w:r>
      <w:hyperlink r:id="rId9">
        <w:r>
          <w:rPr>
            <w:rStyle w:val="Hyperlink"/>
          </w:rPr>
          <w:t xml:space="preserve">linkedin.com/in/rvrajesh123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github.com/rrvenkatrama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Re: Senior Principal Technical Program Manager · Data Center Expansion · OCI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led OCI’s Fiber Supply Remediation Program from January to March 2026. That program was the SWAT-style high-priority delivery this role describes: parachuting into a bottleneck blocking hyperscale data center builds, identifying the constraint (single-supplier concentration risk), and driving cross-functional alignment across supply chain, DC design, hardware order management, demand planning, and Stargate DC delivery. Outcome: qualified supplier base expanded from three to seven vendors, with a recurring demand-supply alignment cadence in place to keep critical DC builds on schedule.</w:t>
      </w:r>
    </w:p>
    <w:p>
      <w:pPr>
        <w:pStyle w:val="BodyText"/>
      </w:pPr>
      <w:r>
        <w:t xml:space="preserve">I left OCI in March because I was looking for broader impact across compute, storage, and network infrastructure than I had on the fiber-supply dimension at the time. This Senior Principal TPM role on the data center SWAT team is exactly that scope expansion. Same operating pattern of high-priority, ambiguous, executive-visible delivery, now across the full data center stack OCI is scaling.</w:t>
      </w:r>
    </w:p>
    <w:p>
      <w:pPr>
        <w:pStyle w:val="BodyText"/>
      </w:pPr>
      <w:r>
        <w:t xml:space="preserve">The twelve years before OCI were in Apple infrastructure. I led multi-year programs across compute, storage, network, on-prem cloud, big data, and high-security environments. Managed capital budgets exceeding $20M, consolidated 400+ applications from third-party data centers into Apple-owned facilities, and established PCI-compliant High-Secure Environments for retail and payments workloads. The cross-functional partners on those programs were the same kind of stack this role coordinates: Network Engineering, Platform/Cloud SRE, Database Engineering, Storage Engineering, DC Operations.</w:t>
      </w:r>
    </w:p>
    <w:p>
      <w:pPr>
        <w:pStyle w:val="BodyText"/>
      </w:pPr>
      <w:r>
        <w:t xml:space="preserve">I also built the PMO automation tooling that drove a 50% efficiency gain in program tracking, including executive-level reporting mechanisms aligned with what this role calls out under</w:t>
      </w:r>
      <w:r>
        <w:t xml:space="preserve"> </w:t>
      </w:r>
      <w:r>
        <w:t xml:space="preserve">“program governance, risk management frameworks, and reporting mechanisms.”</w:t>
      </w:r>
    </w:p>
    <w:p>
      <w:pPr>
        <w:pStyle w:val="BodyText"/>
      </w:pPr>
      <w:r>
        <w:t xml:space="preserve">What I bring back to OCI: familiarity with the operating model from the inside, a recent SWAT-style proof point on the Fiber program, and the broader DC infrastructure breadth from Apple that I want to apply at OCI scale. Returning to OCI in this expanded scope is the move I want to make.</w:t>
      </w:r>
    </w:p>
    <w:p>
      <w:pPr>
        <w:pStyle w:val="BodyText"/>
      </w:pPr>
      <w:r>
        <w:t xml:space="preserve">I’d like to talk about the role and what the team is delivering.</w:t>
      </w:r>
    </w:p>
    <w:p>
      <w:pPr>
        <w:pStyle w:val="BodyText"/>
      </w:pPr>
      <w:r>
        <w:t xml:space="preserve">Best,</w:t>
      </w:r>
    </w:p>
    <w:p>
      <w:pPr>
        <w:pStyle w:val="BodyText"/>
      </w:pPr>
      <w:r>
        <w:t xml:space="preserve">Rajesh Ramani</w:t>
      </w:r>
    </w:p>
    <w:bookmarkEnd w:id="11"/>
    <w:sectPr>
      <w:footnotePr>
        <w:numRestart w:val="eachSect"/>
      </w:footnotePr>
      <w:pgMar w:top="720" w:bottom="720" w:left="864" w:right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40" w:line="264" w:lineRule="auto"/>
    </w:pPr>
    <w:rPr>
      <w:sz w:val="20"/>
    </w:rPr>
  </w:style>
  <w:style w:styleId="BodyText" w:type="paragraph">
    <w:name w:val="Body Text"/>
    <w:basedOn w:val="Normal"/>
    <w:link w:val="BodyTextChar"/>
    <w:qFormat/>
    <w:pPr>
      <w:spacing w:after="20" w:before="0" w:line="264" w:lineRule="auto"/>
    </w:pPr>
    <w:rPr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20" w:line="264" w:lineRule="auto"/>
    </w:pPr>
    <w:rPr>
      <w:sz w:val="20"/>
    </w:rPr>
  </w:style>
  <w:style w:customStyle="1" w:styleId="Compact" w:type="paragraph">
    <w:name w:val="Compact"/>
    <w:basedOn w:val="BodyText"/>
    <w:qFormat/>
    <w:pPr>
      <w:spacing w:after="20" w:before="0" w:line="264" w:lineRule="auto"/>
    </w:pPr>
    <w:rPr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0"/>
      <w:contextualSpacing/>
      <w:jc w:val="center"/>
    </w:pPr>
    <w:rPr>
      <w:rFonts w:asciiTheme="majorHAnsi" w:cstheme="majorBidi" w:eastAsiaTheme="majorEastAsia" w:hAnsiTheme="majorHAnsi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0" w:before="80"/>
      <w:outlineLvl w:val="2"/>
    </w:pPr>
    <w:rPr>
      <w:rFonts w:cstheme="majorBidi" w:eastAsiaTheme="majorEastAsia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20" w:before="60"/>
      <w:outlineLvl w:val="3"/>
    </w:pPr>
    <w:rPr>
      <w:rFonts w:cstheme="majorBidi" w:eastAsiaTheme="majorEastAsia"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github.com/rrvenkatrama/" TargetMode="External"/><Relationship Id="rId9" Type="http://schemas.openxmlformats.org/officeDocument/2006/relationships/hyperlink" Target="https://linkedin.com/in/rvrajesh123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thub.com/rrvenkatrama/" TargetMode="External"/><Relationship Id="rId9" Type="http://schemas.openxmlformats.org/officeDocument/2006/relationships/hyperlink" Target="https://linkedin.com/in/rvrajesh1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2026-06-12T19:25:47Z</dcterms:created>
  <dcterms:modified xsi:type="dcterms:W3CDTF">2026-06-12T19:25:47Z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