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rajesh-ramani-pmp"/>
    <w:p>
      <w:pPr>
        <w:pStyle w:val="Heading1"/>
      </w:pPr>
      <w:r>
        <w:t xml:space="preserve">RAJESH RAMANI, PMP</w:t>
      </w:r>
    </w:p>
    <w:p>
      <w:pPr>
        <w:pStyle w:val="FirstParagraph"/>
      </w:pPr>
      <w:r>
        <w:rPr>
          <w:b/>
          <w:bCs/>
        </w:rPr>
        <w:t xml:space="preserve">Senior Technical Program Manager · Data Center Infrastructure (Compute · Storage · Network · Cloud)</w:t>
      </w:r>
      <w:r>
        <w:t xml:space="preserve"> </w:t>
      </w:r>
      <w:r>
        <w:t xml:space="preserve">Fremont, CA, USA</w:t>
      </w:r>
      <w:r>
        <w:t xml:space="preserve"> </w:t>
      </w:r>
      <w:r>
        <w:t xml:space="preserve">rajesh_ramani@icloud.com · (408) 806-0359</w:t>
      </w:r>
      <w:r>
        <w:t xml:space="preserve"> </w:t>
      </w:r>
      <w:hyperlink r:id="rId9">
        <w:r>
          <w:rPr>
            <w:rStyle w:val="Hyperlink"/>
          </w:rPr>
          <w:t xml:space="preserve">linkedin.com/in/rvrajesh123</w:t>
        </w:r>
      </w:hyperlink>
      <w:r>
        <w:t xml:space="preserve"> </w:t>
      </w:r>
      <w:r>
        <w:t xml:space="preserve">·</w:t>
      </w:r>
      <w:r>
        <w:t xml:space="preserve"> </w:t>
      </w:r>
      <w:hyperlink r:id="rId10">
        <w:r>
          <w:rPr>
            <w:rStyle w:val="Hyperlink"/>
          </w:rPr>
          <w:t xml:space="preserve">github.com/rrvenkatrama</w:t>
        </w:r>
      </w:hyperlink>
    </w:p>
    <w:p>
      <w:r>
        <w:pict>
          <v:rect style="width:0;height:1.5pt" o:hralign="center" o:hrstd="t" o:hr="t"/>
        </w:pict>
      </w:r>
    </w:p>
    <w:bookmarkStart w:id="11" w:name="profile-summary"/>
    <w:p>
      <w:pPr>
        <w:pStyle w:val="Heading2"/>
      </w:pPr>
      <w:r>
        <w:t xml:space="preserve">PROFILE SUMMARY</w:t>
      </w:r>
    </w:p>
    <w:p>
      <w:pPr>
        <w:pStyle w:val="FirstParagraph"/>
      </w:pPr>
      <w:r>
        <w:t xml:space="preserve">Senior Technical Program Manager with extensive experience leading large-scale infrastructure, data center, and cloud transformation programs. Proven expertise driving complex, cross-functional infrastructure initiatives in compute, storage, and network capacity planning; building and managing high-security environments; forecasting and roadmap development; and capital budgeting and tracking for multi-million-dollar infrastructure investments. Developed and deployed PMO automation tools to improve reporting efficiency, streamline data center operations, and enhance overall program execution. Currently serving as investor / Agentic AI Product Consultant at a hyperlocal creator/business marketplace startup, applying agentic AI engineering to operational use cases.</w:t>
      </w:r>
    </w:p>
    <w:p>
      <w:r>
        <w:pict>
          <v:rect style="width:0;height:1.5pt" o:hralign="center" o:hrstd="t" o:hr="t"/>
        </w:pict>
      </w:r>
    </w:p>
    <w:bookmarkEnd w:id="11"/>
    <w:bookmarkStart w:id="12" w:name="certifications"/>
    <w:p>
      <w:pPr>
        <w:pStyle w:val="Heading2"/>
      </w:pPr>
      <w:r>
        <w:t xml:space="preserve">CERTIFICATIONS</w:t>
      </w:r>
    </w:p>
    <w:p>
      <w:pPr>
        <w:pStyle w:val="Compact"/>
        <w:numPr>
          <w:ilvl w:val="0"/>
          <w:numId w:val="1001"/>
        </w:numPr>
      </w:pPr>
      <w:r>
        <w:rPr>
          <w:b/>
          <w:bCs/>
        </w:rPr>
        <w:t xml:space="preserve">Project Management Professional (PMI-PMP)</w:t>
      </w:r>
      <w:r>
        <w:t xml:space="preserve"> </w:t>
      </w:r>
      <w:r>
        <w:t xml:space="preserve">— Renewed 2025</w:t>
      </w:r>
    </w:p>
    <w:p>
      <w:pPr>
        <w:pStyle w:val="Compact"/>
        <w:numPr>
          <w:ilvl w:val="0"/>
          <w:numId w:val="1001"/>
        </w:numPr>
      </w:pPr>
      <w:r>
        <w:rPr>
          <w:b/>
          <w:bCs/>
        </w:rPr>
        <w:t xml:space="preserve">AWS Certified Solutions Architect — Associate</w:t>
      </w:r>
    </w:p>
    <w:p>
      <w:pPr>
        <w:pStyle w:val="Compact"/>
        <w:numPr>
          <w:ilvl w:val="0"/>
          <w:numId w:val="1001"/>
        </w:numPr>
      </w:pPr>
      <w:r>
        <w:rPr>
          <w:b/>
          <w:bCs/>
        </w:rPr>
        <w:t xml:space="preserve">KCNA</w:t>
      </w:r>
      <w:r>
        <w:t xml:space="preserve"> </w:t>
      </w:r>
      <w:r>
        <w:t xml:space="preserve">— Kubernetes and Cloud Native Associate</w:t>
      </w:r>
    </w:p>
    <w:p>
      <w:pPr>
        <w:pStyle w:val="Compact"/>
        <w:numPr>
          <w:ilvl w:val="0"/>
          <w:numId w:val="1001"/>
        </w:numPr>
      </w:pPr>
      <w:r>
        <w:rPr>
          <w:b/>
          <w:bCs/>
        </w:rPr>
        <w:t xml:space="preserve">Google Cloud Certified — Cloud Digital Leader</w:t>
      </w:r>
    </w:p>
    <w:p>
      <w:pPr>
        <w:pStyle w:val="Compact"/>
        <w:numPr>
          <w:ilvl w:val="0"/>
          <w:numId w:val="1001"/>
        </w:numPr>
      </w:pPr>
      <w:r>
        <w:rPr>
          <w:b/>
          <w:bCs/>
        </w:rPr>
        <w:t xml:space="preserve">Certified ScrumMaster</w:t>
      </w:r>
    </w:p>
    <w:p>
      <w:r>
        <w:pict>
          <v:rect style="width:0;height:1.5pt" o:hralign="center" o:hrstd="t" o:hr="t"/>
        </w:pict>
      </w:r>
    </w:p>
    <w:bookmarkEnd w:id="12"/>
    <w:bookmarkStart w:id="13" w:name="education"/>
    <w:p>
      <w:pPr>
        <w:pStyle w:val="Heading2"/>
      </w:pPr>
      <w:r>
        <w:t xml:space="preserve">EDUCATION</w:t>
      </w:r>
    </w:p>
    <w:p>
      <w:pPr>
        <w:pStyle w:val="Compact"/>
        <w:numPr>
          <w:ilvl w:val="0"/>
          <w:numId w:val="1002"/>
        </w:numPr>
      </w:pPr>
      <w:r>
        <w:t xml:space="preserve">M.S., Information Systems — California State University, Los Angeles</w:t>
      </w:r>
    </w:p>
    <w:p>
      <w:pPr>
        <w:pStyle w:val="Compact"/>
        <w:numPr>
          <w:ilvl w:val="0"/>
          <w:numId w:val="1002"/>
        </w:numPr>
      </w:pPr>
      <w:r>
        <w:t xml:space="preserve">B.S., Computer Science — National Institute of Technology, India</w:t>
      </w:r>
    </w:p>
    <w:p>
      <w:r>
        <w:pict>
          <v:rect style="width:0;height:1.5pt" o:hralign="center" o:hrstd="t" o:hr="t"/>
        </w:pict>
      </w:r>
    </w:p>
    <w:bookmarkEnd w:id="13"/>
    <w:bookmarkStart w:id="17" w:name="professional-experience"/>
    <w:p>
      <w:pPr>
        <w:pStyle w:val="Heading2"/>
      </w:pPr>
      <w:r>
        <w:t xml:space="preserve">PROFESSIONAL EXPERIENCE</w:t>
      </w:r>
    </w:p>
    <w:bookmarkStart w:id="14" w:name="X97c34984e485401f03aba8360c5b3cb2f67996d"/>
    <w:p>
      <w:pPr>
        <w:pStyle w:val="Heading3"/>
      </w:pPr>
      <w:r>
        <w:t xml:space="preserve">Investor / Agentic AI Product Consultant · Onemyle (Hyperlocal Creator/Business Marketplace Startup)</w:t>
      </w:r>
    </w:p>
    <w:p>
      <w:pPr>
        <w:pStyle w:val="FirstParagraph"/>
      </w:pPr>
      <w:r>
        <w:rPr>
          <w:i/>
          <w:iCs/>
        </w:rPr>
        <w:t xml:space="preserve">Mar 2026 – Present · Remote</w:t>
      </w:r>
    </w:p>
    <w:p>
      <w:pPr>
        <w:pStyle w:val="Compact"/>
        <w:numPr>
          <w:ilvl w:val="0"/>
          <w:numId w:val="1003"/>
        </w:numPr>
      </w:pPr>
      <w:r>
        <w:t xml:space="preserve">Angel investor and product partner. Lead AI strategy, technical architecture, and product direction for the startup.</w:t>
      </w:r>
    </w:p>
    <w:p>
      <w:pPr>
        <w:pStyle w:val="Compact"/>
        <w:numPr>
          <w:ilvl w:val="0"/>
          <w:numId w:val="1003"/>
        </w:numPr>
      </w:pPr>
      <w:r>
        <w:rPr>
          <w:b/>
          <w:bCs/>
        </w:rPr>
        <w:t xml:space="preserve">MatchScout</w:t>
      </w:r>
      <w:r>
        <w:t xml:space="preserve"> </w:t>
      </w:r>
      <w:r>
        <w:t xml:space="preserve">— gig-driven AI recommender for the marketplace; multi-stage retrieval pipeline with an LLM re-ranker on top.</w:t>
      </w:r>
    </w:p>
    <w:p>
      <w:pPr>
        <w:pStyle w:val="Compact"/>
        <w:numPr>
          <w:ilvl w:val="0"/>
          <w:numId w:val="1003"/>
        </w:numPr>
      </w:pPr>
      <w:r>
        <w:rPr>
          <w:b/>
          <w:bCs/>
        </w:rPr>
        <w:t xml:space="preserve">Onemyle User Chatbot</w:t>
      </w:r>
      <w:r>
        <w:t xml:space="preserve"> </w:t>
      </w:r>
      <w:r>
        <w:t xml:space="preserve">— AI-powered local area intelligence assistant for Indian cities. Designed a 3-node deployment (app server · vector DB · GPU node running a local Gemma model) with multi-LLM parallel orchestration (Claude · GPT-4o · Gemini), semantic caching, intent-based routing, and a FastAPI + React stack on systemd user services.</w:t>
      </w:r>
    </w:p>
    <w:bookmarkEnd w:id="14"/>
    <w:bookmarkStart w:id="15" w:name="X9f44201fb6142c5cdbe4d7dc2264ce0a421362d"/>
    <w:p>
      <w:pPr>
        <w:pStyle w:val="Heading3"/>
      </w:pPr>
      <w:r>
        <w:t xml:space="preserve">Principal Program Manager · Oracle Cloud Infrastructure (OCI)</w:t>
      </w:r>
    </w:p>
    <w:p>
      <w:pPr>
        <w:pStyle w:val="FirstParagraph"/>
      </w:pPr>
      <w:r>
        <w:rPr>
          <w:i/>
          <w:iCs/>
        </w:rPr>
        <w:t xml:space="preserve">Fremont, CA · Jan 2026 – Mar 2026</w:t>
      </w:r>
    </w:p>
    <w:p>
      <w:pPr>
        <w:pStyle w:val="Compact"/>
        <w:numPr>
          <w:ilvl w:val="0"/>
          <w:numId w:val="1004"/>
        </w:numPr>
      </w:pPr>
      <w:r>
        <w:rPr>
          <w:b/>
          <w:bCs/>
        </w:rPr>
        <w:t xml:space="preserve">Fiber Supply Remediation Program:</w:t>
      </w:r>
      <w:r>
        <w:t xml:space="preserve"> </w:t>
      </w:r>
      <w:r>
        <w:t xml:space="preserve">Established and led a cross-functional program to resolve bulk fiber supply constraints impacting data center builds; partnered with supply chain, DC design, hardware order management, demand planning, and DC delivery.</w:t>
      </w:r>
    </w:p>
    <w:p>
      <w:pPr>
        <w:pStyle w:val="Compact"/>
        <w:numPr>
          <w:ilvl w:val="0"/>
          <w:numId w:val="1004"/>
        </w:numPr>
      </w:pPr>
      <w:r>
        <w:rPr>
          <w:b/>
          <w:bCs/>
        </w:rPr>
        <w:t xml:space="preserve">Supplier Diversification:</w:t>
      </w:r>
      <w:r>
        <w:t xml:space="preserve"> </w:t>
      </w:r>
      <w:r>
        <w:t xml:space="preserve">Expanded the qualified fiber supplier base from</w:t>
      </w:r>
      <w:r>
        <w:t xml:space="preserve"> </w:t>
      </w:r>
      <w:r>
        <w:rPr>
          <w:b/>
          <w:bCs/>
        </w:rPr>
        <w:t xml:space="preserve">3 to 7 vendors</w:t>
      </w:r>
      <w:r>
        <w:t xml:space="preserve">, materially reducing supply risk and improving build-out resilience for large-scale data center deployments.</w:t>
      </w:r>
    </w:p>
    <w:p>
      <w:pPr>
        <w:pStyle w:val="Compact"/>
        <w:numPr>
          <w:ilvl w:val="0"/>
          <w:numId w:val="1004"/>
        </w:numPr>
      </w:pPr>
      <w:r>
        <w:rPr>
          <w:b/>
          <w:bCs/>
        </w:rPr>
        <w:t xml:space="preserve">Demand–Supply Alignment:</w:t>
      </w:r>
      <w:r>
        <w:t xml:space="preserve"> </w:t>
      </w:r>
      <w:r>
        <w:t xml:space="preserve">Instituted a recurring operating cadence across Stargate DC delivery, forecasting, and supply teams to align demand vs. supply and prioritize critical data center builds.</w:t>
      </w:r>
    </w:p>
    <w:p>
      <w:pPr>
        <w:pStyle w:val="Compact"/>
        <w:numPr>
          <w:ilvl w:val="0"/>
          <w:numId w:val="1004"/>
        </w:numPr>
      </w:pPr>
      <w:r>
        <w:rPr>
          <w:b/>
          <w:bCs/>
        </w:rPr>
        <w:t xml:space="preserve">Planning Tooling:</w:t>
      </w:r>
      <w:r>
        <w:t xml:space="preserve"> </w:t>
      </w:r>
      <w:r>
        <w:t xml:space="preserve">Developed a lightweight estimation tool to rapidly forecast bulk fiber requirements; defined a colocation-provider process to leverage Oracle supply allocations to meet build timelines.</w:t>
      </w:r>
    </w:p>
    <w:bookmarkEnd w:id="15"/>
    <w:bookmarkStart w:id="16" w:name="Xf216f68f4bcaa5faf1d340e855c4f7a78a88ba2"/>
    <w:p>
      <w:pPr>
        <w:pStyle w:val="Heading3"/>
      </w:pPr>
      <w:r>
        <w:t xml:space="preserve">Manager, Technical Program Management · Apple Inc.</w:t>
      </w:r>
    </w:p>
    <w:p>
      <w:pPr>
        <w:pStyle w:val="FirstParagraph"/>
      </w:pPr>
      <w:r>
        <w:rPr>
          <w:i/>
          <w:iCs/>
        </w:rPr>
        <w:t xml:space="preserve">Infrastructure Programs · Software Tools for PMO and DC Operations</w:t>
      </w:r>
      <w:r>
        <w:t xml:space="preserve"> </w:t>
      </w:r>
      <w:r>
        <w:rPr>
          <w:i/>
          <w:iCs/>
        </w:rPr>
        <w:t xml:space="preserve">Sunnyvale, CA · Apr 2011 – Jan 2024 (12+ years, Full-time)</w:t>
      </w:r>
    </w:p>
    <w:p>
      <w:pPr>
        <w:pStyle w:val="Compact"/>
        <w:numPr>
          <w:ilvl w:val="0"/>
          <w:numId w:val="1005"/>
        </w:numPr>
      </w:pPr>
      <w:r>
        <w:rPr>
          <w:b/>
          <w:bCs/>
        </w:rPr>
        <w:t xml:space="preserve">Infrastructure Program Leadership:</w:t>
      </w:r>
      <w:r>
        <w:t xml:space="preserve"> </w:t>
      </w:r>
      <w:r>
        <w:t xml:space="preserve">Led complex, multi-year programs across data center infrastructure, on-premises cloud capacity, large-scale migrations, compute/storage deployment, network operational zones, security hardening, disaster recovery/resiliency, big-data infrastructure buildouts, virtualized database environments, and high-security environments. Managed a team of Engineering Program Managers (EPMs) executing high-visibility initiatives.</w:t>
      </w:r>
    </w:p>
    <w:p>
      <w:pPr>
        <w:pStyle w:val="Compact"/>
        <w:numPr>
          <w:ilvl w:val="0"/>
          <w:numId w:val="1005"/>
        </w:numPr>
      </w:pPr>
      <w:r>
        <w:rPr>
          <w:b/>
          <w:bCs/>
        </w:rPr>
        <w:t xml:space="preserve">Capital Planning &amp; Budgeting:</w:t>
      </w:r>
      <w:r>
        <w:t xml:space="preserve"> </w:t>
      </w:r>
      <w:r>
        <w:t xml:space="preserve">Owned capital budgets</w:t>
      </w:r>
      <w:r>
        <w:t xml:space="preserve"> </w:t>
      </w:r>
      <w:r>
        <w:rPr>
          <w:b/>
          <w:bCs/>
        </w:rPr>
        <w:t xml:space="preserve">exceeding $20M</w:t>
      </w:r>
      <w:r>
        <w:t xml:space="preserve"> </w:t>
      </w:r>
      <w:r>
        <w:t xml:space="preserve">for infrastructure programs. Drove right-sizing of capacity, detailed cost estimation, vendor negotiation alignment with finance and procurement, and CapEx tracking mechanisms.</w:t>
      </w:r>
    </w:p>
    <w:p>
      <w:pPr>
        <w:pStyle w:val="Compact"/>
        <w:numPr>
          <w:ilvl w:val="0"/>
          <w:numId w:val="1005"/>
        </w:numPr>
      </w:pPr>
      <w:r>
        <w:rPr>
          <w:b/>
          <w:bCs/>
        </w:rPr>
        <w:t xml:space="preserve">Cost Optimization &amp; Consolidation:</w:t>
      </w:r>
      <w:r>
        <w:t xml:space="preserve"> </w:t>
      </w:r>
      <w:r>
        <w:t xml:space="preserve">Achieved</w:t>
      </w:r>
      <w:r>
        <w:t xml:space="preserve"> </w:t>
      </w:r>
      <w:r>
        <w:rPr>
          <w:b/>
          <w:bCs/>
        </w:rPr>
        <w:t xml:space="preserve">multi-million-dollar annual cost savings</w:t>
      </w:r>
      <w:r>
        <w:t xml:space="preserve"> </w:t>
      </w:r>
      <w:r>
        <w:t xml:space="preserve">and materially improved resiliency by consolidating</w:t>
      </w:r>
      <w:r>
        <w:t xml:space="preserve"> </w:t>
      </w:r>
      <w:r>
        <w:rPr>
          <w:b/>
          <w:bCs/>
        </w:rPr>
        <w:t xml:space="preserve">400+ applications</w:t>
      </w:r>
      <w:r>
        <w:t xml:space="preserve"> </w:t>
      </w:r>
      <w:r>
        <w:t xml:space="preserve">from high-cost third-party data centers into Apple-owned facilities.</w:t>
      </w:r>
    </w:p>
    <w:p>
      <w:pPr>
        <w:pStyle w:val="Compact"/>
        <w:numPr>
          <w:ilvl w:val="0"/>
          <w:numId w:val="1005"/>
        </w:numPr>
      </w:pPr>
      <w:r>
        <w:rPr>
          <w:b/>
          <w:bCs/>
        </w:rPr>
        <w:t xml:space="preserve">Capacity Planning &amp; Roadmaps:</w:t>
      </w:r>
      <w:r>
        <w:t xml:space="preserve"> </w:t>
      </w:r>
      <w:r>
        <w:t xml:space="preserve">Directed multi-year infrastructure roadmaps and capacity planning across compute, storage, network, DC, and data services. Partnered with engineering leads and application owners to forecast growth, align CapEx with strategic priorities, and proactively scale storage clusters, cloud services, and critical data pipelines.</w:t>
      </w:r>
    </w:p>
    <w:p>
      <w:pPr>
        <w:pStyle w:val="Compact"/>
        <w:numPr>
          <w:ilvl w:val="0"/>
          <w:numId w:val="1005"/>
        </w:numPr>
      </w:pPr>
      <w:r>
        <w:rPr>
          <w:b/>
          <w:bCs/>
        </w:rPr>
        <w:t xml:space="preserve">Security &amp; Compliance:</w:t>
      </w:r>
      <w:r>
        <w:t xml:space="preserve"> </w:t>
      </w:r>
      <w:r>
        <w:t xml:space="preserve">Met</w:t>
      </w:r>
      <w:r>
        <w:t xml:space="preserve"> </w:t>
      </w:r>
      <w:r>
        <w:rPr>
          <w:b/>
          <w:bCs/>
        </w:rPr>
        <w:t xml:space="preserve">PCI-DSS standards</w:t>
      </w:r>
      <w:r>
        <w:t xml:space="preserve"> </w:t>
      </w:r>
      <w:r>
        <w:t xml:space="preserve">for retail and payments workloads by establishing</w:t>
      </w:r>
      <w:r>
        <w:t xml:space="preserve"> </w:t>
      </w:r>
      <w:r>
        <w:rPr>
          <w:b/>
          <w:bCs/>
        </w:rPr>
        <w:t xml:space="preserve">High-Secure Environments (HSEs)</w:t>
      </w:r>
      <w:r>
        <w:t xml:space="preserve"> </w:t>
      </w:r>
      <w:r>
        <w:t xml:space="preserve">— physically and logically isolated network operational zones with strict ingress/egress controls.</w:t>
      </w:r>
    </w:p>
    <w:p>
      <w:pPr>
        <w:pStyle w:val="Compact"/>
        <w:numPr>
          <w:ilvl w:val="0"/>
          <w:numId w:val="1005"/>
        </w:numPr>
      </w:pPr>
      <w:r>
        <w:rPr>
          <w:b/>
          <w:bCs/>
        </w:rPr>
        <w:t xml:space="preserve">PMO Automation (50% efficiency gain):</w:t>
      </w:r>
      <w:r>
        <w:t xml:space="preserve"> </w:t>
      </w:r>
      <w:r>
        <w:t xml:space="preserve">Built a custom PMO portal and DC operations prioritization portal (DCCP) that streamlined project tracking, automated executive reporting, and enabled data-driven decisions across the infrastructure org. Drove</w:t>
      </w:r>
      <w:r>
        <w:t xml:space="preserve"> </w:t>
      </w:r>
      <w:r>
        <w:rPr>
          <w:b/>
          <w:bCs/>
        </w:rPr>
        <w:t xml:space="preserve">50% improvement</w:t>
      </w:r>
      <w:r>
        <w:t xml:space="preserve"> </w:t>
      </w:r>
      <w:r>
        <w:t xml:space="preserve">in program-tracking efficiency.</w:t>
      </w:r>
    </w:p>
    <w:p>
      <w:pPr>
        <w:pStyle w:val="Compact"/>
        <w:numPr>
          <w:ilvl w:val="0"/>
          <w:numId w:val="1005"/>
        </w:numPr>
      </w:pPr>
      <w:r>
        <w:rPr>
          <w:b/>
          <w:bCs/>
        </w:rPr>
        <w:t xml:space="preserve">Product-Launch Readiness:</w:t>
      </w:r>
      <w:r>
        <w:t xml:space="preserve"> </w:t>
      </w:r>
      <w:r>
        <w:t xml:space="preserve">Owned infrastructure readiness for critical Apple product launches; planned and built on-premises cloud and bare-metal-as-a-service infrastructure to absorb launch-day load.</w:t>
      </w:r>
    </w:p>
    <w:p>
      <w:pPr>
        <w:pStyle w:val="Compact"/>
        <w:numPr>
          <w:ilvl w:val="0"/>
          <w:numId w:val="1005"/>
        </w:numPr>
      </w:pPr>
      <w:r>
        <w:rPr>
          <w:b/>
          <w:bCs/>
        </w:rPr>
        <w:t xml:space="preserve">Cross-Functional Partnerships:</w:t>
      </w:r>
      <w:r>
        <w:t xml:space="preserve"> </w:t>
      </w:r>
      <w:r>
        <w:t xml:space="preserve">Network Engineering · Platform SRE · Cloud SRE · Database Engineering · Storage Engineering · Data Center Operations · Apple Online Store · Apple Pay · Retail Apps · iCloud · Applied Machine Learning · Customer Systems · Corporate Systems · GBI · AMP · Joint Mobile Engineering Team.</w:t>
      </w:r>
    </w:p>
    <w:p>
      <w:r>
        <w:pict>
          <v:rect style="width:0;height:1.5pt" o:hralign="center" o:hrstd="t" o:hr="t"/>
        </w:pict>
      </w:r>
    </w:p>
    <w:bookmarkEnd w:id="16"/>
    <w:bookmarkEnd w:id="17"/>
    <w:bookmarkStart w:id="18" w:name="prior-experience-summary"/>
    <w:p>
      <w:pPr>
        <w:pStyle w:val="Heading2"/>
      </w:pPr>
      <w:r>
        <w:t xml:space="preserve">PRIOR EXPERIENCE (Summary)</w:t>
      </w:r>
    </w:p>
    <w:p>
      <w:pPr>
        <w:pStyle w:val="Compact"/>
        <w:numPr>
          <w:ilvl w:val="0"/>
          <w:numId w:val="1006"/>
        </w:numPr>
      </w:pPr>
      <w:r>
        <w:rPr>
          <w:b/>
          <w:bCs/>
        </w:rPr>
        <w:t xml:space="preserve">Senior Project Manager · PayPal</w:t>
      </w:r>
      <w:r>
        <w:t xml:space="preserve"> </w:t>
      </w:r>
      <w:r>
        <w:t xml:space="preserve">(Aug 2010 – Feb 2011, Contract) — Implemented information-security solutions: DDoS prevention, HSMs, bastion infrastructure, real-time fraud-detection traffic analysis.</w:t>
      </w:r>
    </w:p>
    <w:p>
      <w:pPr>
        <w:pStyle w:val="Compact"/>
        <w:numPr>
          <w:ilvl w:val="0"/>
          <w:numId w:val="1006"/>
        </w:numPr>
      </w:pPr>
      <w:r>
        <w:rPr>
          <w:b/>
          <w:bCs/>
        </w:rPr>
        <w:t xml:space="preserve">Delivery Manager · EDS / HP Enterprise Services</w:t>
      </w:r>
      <w:r>
        <w:t xml:space="preserve"> </w:t>
      </w:r>
      <w:r>
        <w:t xml:space="preserve">(2007–2010, Chennai, India) — Led 125+ member team providing 24×7 L1/L2 incident management.</w:t>
      </w:r>
    </w:p>
    <w:p>
      <w:pPr>
        <w:pStyle w:val="Compact"/>
        <w:numPr>
          <w:ilvl w:val="0"/>
          <w:numId w:val="1006"/>
        </w:numPr>
      </w:pPr>
      <w:r>
        <w:rPr>
          <w:b/>
          <w:bCs/>
        </w:rPr>
        <w:t xml:space="preserve">Release Manager · Bank of America</w:t>
      </w:r>
      <w:r>
        <w:t xml:space="preserve"> </w:t>
      </w:r>
      <w:r>
        <w:t xml:space="preserve">(2006–2007, Agoura Hills, CA) — Owned deployment of releases for a loan-origination system.</w:t>
      </w:r>
    </w:p>
    <w:p>
      <w:pPr>
        <w:pStyle w:val="Compact"/>
        <w:numPr>
          <w:ilvl w:val="0"/>
          <w:numId w:val="1006"/>
        </w:numPr>
      </w:pPr>
      <w:r>
        <w:rPr>
          <w:b/>
          <w:bCs/>
        </w:rPr>
        <w:t xml:space="preserve">Chief Technology Officer · iDrive Inc.</w:t>
      </w:r>
      <w:r>
        <w:t xml:space="preserve"> </w:t>
      </w:r>
      <w:r>
        <w:t xml:space="preserve">(1998–2006, Woodland Hills, CA) — Designed and led the development of a commercially successful data-backup product.</w:t>
      </w:r>
    </w:p>
    <w:p>
      <w:r>
        <w:pict>
          <v:rect style="width:0;height:1.5pt" o:hralign="center" o:hrstd="t" o:hr="t"/>
        </w:pict>
      </w:r>
    </w:p>
    <w:bookmarkEnd w:id="18"/>
    <w:bookmarkStart w:id="19" w:name="skills"/>
    <w:p>
      <w:pPr>
        <w:pStyle w:val="Heading2"/>
      </w:pPr>
      <w:r>
        <w:t xml:space="preserve">SKILLS</w:t>
      </w:r>
    </w:p>
    <w:p>
      <w:pPr>
        <w:pStyle w:val="Compact"/>
        <w:numPr>
          <w:ilvl w:val="0"/>
          <w:numId w:val="1007"/>
        </w:numPr>
      </w:pPr>
      <w:r>
        <w:rPr>
          <w:b/>
          <w:bCs/>
        </w:rPr>
        <w:t xml:space="preserve">Infrastructure Programs:</w:t>
      </w:r>
      <w:r>
        <w:t xml:space="preserve"> </w:t>
      </w:r>
      <w:r>
        <w:t xml:space="preserve">Compute · Storage · Network · Data Center · On-Prem Cloud · DR/Resiliency · High-Secure Environments (PCI/HSE) · Capacity Planning · Capital Budgeting · CapEx Tracking · Vendor &amp; Supplier Management · Cross-DC Migrations · Hardware Order Management · Bare-Metal-as-a-Service</w:t>
      </w:r>
    </w:p>
    <w:p>
      <w:pPr>
        <w:pStyle w:val="Compact"/>
        <w:numPr>
          <w:ilvl w:val="0"/>
          <w:numId w:val="1007"/>
        </w:numPr>
      </w:pPr>
      <w:r>
        <w:rPr>
          <w:b/>
          <w:bCs/>
        </w:rPr>
        <w:t xml:space="preserve">Cloud &amp; Modern Infrastructure:</w:t>
      </w:r>
      <w:r>
        <w:t xml:space="preserve"> </w:t>
      </w:r>
      <w:r>
        <w:t xml:space="preserve">AWS (Solutions Architect) · GCP · Kubernetes (KCNA) · NVIDIA AI-in-the-Data-Center · Terraform (familiar)</w:t>
      </w:r>
    </w:p>
    <w:p>
      <w:pPr>
        <w:pStyle w:val="Compact"/>
        <w:numPr>
          <w:ilvl w:val="0"/>
          <w:numId w:val="1007"/>
        </w:numPr>
      </w:pPr>
      <w:r>
        <w:rPr>
          <w:b/>
          <w:bCs/>
        </w:rPr>
        <w:t xml:space="preserve">Program Management:</w:t>
      </w:r>
      <w:r>
        <w:t xml:space="preserve"> </w:t>
      </w:r>
      <w:r>
        <w:t xml:space="preserve">Multi-year roadmaps · Capacity &amp; demand planning · Risk management · Executive reporting · Cross-functional leadership · Agile / Scrum (CSM) · Vendor diversification · Supply-chain alignment</w:t>
      </w:r>
    </w:p>
    <w:p>
      <w:pPr>
        <w:pStyle w:val="Compact"/>
        <w:numPr>
          <w:ilvl w:val="0"/>
          <w:numId w:val="1007"/>
        </w:numPr>
      </w:pPr>
      <w:r>
        <w:rPr>
          <w:b/>
          <w:bCs/>
        </w:rPr>
        <w:t xml:space="preserve">Data &amp; Tooling:</w:t>
      </w:r>
      <w:r>
        <w:t xml:space="preserve"> </w:t>
      </w:r>
      <w:r>
        <w:t xml:space="preserve">SQL · Python · Tableau · Microsoft Excel (advanced modeling) · Wrike · Confluence · JIRA · Microsoft Project · Git/GitHub · Custom PMO portal (designed and built)</w:t>
      </w:r>
    </w:p>
    <w:p>
      <w:pPr>
        <w:pStyle w:val="Compact"/>
        <w:numPr>
          <w:ilvl w:val="0"/>
          <w:numId w:val="1007"/>
        </w:numPr>
      </w:pPr>
      <w:r>
        <w:rPr>
          <w:b/>
          <w:bCs/>
        </w:rPr>
        <w:t xml:space="preserve">Agentic AI (current):</w:t>
      </w:r>
      <w:r>
        <w:t xml:space="preserve"> </w:t>
      </w:r>
      <w:r>
        <w:t xml:space="preserve">Anthropic Claude · OpenAI · Google Gemini · LangGraph · CrewAI · MCP (FastMCP) · RAG (Qdrant · ChromaDB · sentence-transformers) · Pydantic v2 · asyncio · LangSmith observability · pytest CI</w:t>
      </w:r>
    </w:p>
    <w:p>
      <w:r>
        <w:pict>
          <v:rect style="width:0;height:1.5pt" o:hralign="center" o:hrstd="t" o:hr="t"/>
        </w:pict>
      </w:r>
    </w:p>
    <w:bookmarkEnd w:id="19"/>
    <w:bookmarkStart w:id="21" w:name="links"/>
    <w:p>
      <w:pPr>
        <w:pStyle w:val="Heading2"/>
      </w:pPr>
      <w:r>
        <w:t xml:space="preserve">LINKS</w:t>
      </w:r>
    </w:p>
    <w:p>
      <w:pPr>
        <w:pStyle w:val="Compact"/>
        <w:numPr>
          <w:ilvl w:val="0"/>
          <w:numId w:val="1008"/>
        </w:numPr>
      </w:pPr>
      <w:r>
        <w:t xml:space="preserve">LinkedIn:</w:t>
      </w:r>
      <w:r>
        <w:t xml:space="preserve"> </w:t>
      </w:r>
      <w:hyperlink r:id="rId9">
        <w:r>
          <w:rPr>
            <w:rStyle w:val="Hyperlink"/>
          </w:rPr>
          <w:t xml:space="preserve">linkedin.com/in/rvrajesh123</w:t>
        </w:r>
      </w:hyperlink>
    </w:p>
    <w:p>
      <w:pPr>
        <w:pStyle w:val="Compact"/>
        <w:numPr>
          <w:ilvl w:val="0"/>
          <w:numId w:val="1008"/>
        </w:numPr>
      </w:pPr>
      <w:r>
        <w:t xml:space="preserve">GitHub (org):</w:t>
      </w:r>
      <w:r>
        <w:t xml:space="preserve"> </w:t>
      </w:r>
      <w:hyperlink r:id="rId20">
        <w:r>
          <w:rPr>
            <w:rStyle w:val="Hyperlink"/>
          </w:rPr>
          <w:t xml:space="preserve">github.com/Agentic-and-AI-Engineering-Projects</w:t>
        </w:r>
      </w:hyperlink>
    </w:p>
    <w:p>
      <w:pPr>
        <w:pStyle w:val="Compact"/>
        <w:numPr>
          <w:ilvl w:val="0"/>
          <w:numId w:val="1008"/>
        </w:numPr>
      </w:pPr>
      <w:r>
        <w:t xml:space="preserve">GitHub (personal):</w:t>
      </w:r>
      <w:r>
        <w:t xml:space="preserve"> </w:t>
      </w:r>
      <w:hyperlink r:id="rId10">
        <w:r>
          <w:rPr>
            <w:rStyle w:val="Hyperlink"/>
          </w:rPr>
          <w:t xml:space="preserve">github.com/rrvenkatrama</w:t>
        </w:r>
      </w:hyperlink>
    </w:p>
    <w:bookmarkEnd w:id="21"/>
    <w:bookmarkEnd w:id="22"/>
    <w:sectPr>
      <w:footnotePr>
        <w:numRestart w:val="eachSect"/>
      </w:footnotePr>
      <w:pgMar w:top="720" w:bottom="720" w:left="864" w:right="8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40" w:line="264" w:lineRule="auto"/>
    </w:pPr>
    <w:rPr>
      <w:sz w:val="20"/>
    </w:rPr>
  </w:style>
  <w:style w:styleId="BodyText" w:type="paragraph">
    <w:name w:val="Body Text"/>
    <w:basedOn w:val="Normal"/>
    <w:link w:val="BodyTextChar"/>
    <w:qFormat/>
    <w:pPr>
      <w:spacing w:after="20" w:before="0" w:line="264" w:lineRule="auto"/>
    </w:pPr>
    <w:rPr>
      <w:sz w:val="20"/>
    </w:rPr>
  </w:style>
  <w:style w:customStyle="1" w:styleId="FirstParagraph" w:type="paragraph">
    <w:name w:val="First Paragraph"/>
    <w:basedOn w:val="BodyText"/>
    <w:next w:val="BodyText"/>
    <w:qFormat/>
    <w:pPr>
      <w:spacing w:before="0" w:after="20" w:line="264" w:lineRule="auto"/>
    </w:pPr>
    <w:rPr>
      <w:sz w:val="20"/>
    </w:rPr>
  </w:style>
  <w:style w:customStyle="1" w:styleId="Compact" w:type="paragraph">
    <w:name w:val="Compact"/>
    <w:basedOn w:val="BodyText"/>
    <w:qFormat/>
    <w:pPr>
      <w:spacing w:after="20" w:before="0" w:line="264" w:lineRule="auto"/>
    </w:pPr>
    <w:rPr>
      <w:sz w:val="20"/>
    </w:rPr>
  </w:style>
  <w:style w:styleId="Title" w:type="paragraph">
    <w:name w:val="Title"/>
    <w:basedOn w:val="Normal"/>
    <w:next w:val="BodyText"/>
    <w:link w:val="TitleChar"/>
    <w:uiPriority w:val="10"/>
    <w:qFormat/>
    <w:rsid w:val="00A10FD9"/>
    <w:pPr>
      <w:spacing w:after="80" w:line="240" w:lineRule="auto" w:before="0"/>
      <w:contextualSpacing/>
      <w:jc w:val="center"/>
    </w:pPr>
    <w:rPr>
      <w:rFonts w:asciiTheme="majorHAnsi" w:cstheme="majorBidi" w:eastAsiaTheme="majorEastAsia" w:hAnsiTheme="majorHAnsi"/>
      <w:sz w:val="3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40" w:before="120"/>
      <w:outlineLvl w:val="0"/>
    </w:pPr>
    <w:rPr>
      <w:rFonts w:asciiTheme="majorHAnsi" w:cstheme="majorBidi" w:eastAsiaTheme="majorEastAsia" w:hAnsiTheme="majorHAnsi"/>
      <w:color w:themeColor="accent1" w:themeShade="BF" w:val="0F4761"/>
      <w:sz w:val="32"/>
      <w:szCs w:val="40"/>
    </w:rPr>
  </w:style>
  <w:style w:styleId="Heading2" w:type="paragraph">
    <w:name w:val="heading 2"/>
    <w:basedOn w:val="Normal"/>
    <w:next w:val="BodyText"/>
    <w:link w:val="Heading2Char"/>
    <w:uiPriority w:val="9"/>
    <w:semiHidden/>
    <w:unhideWhenUsed/>
    <w:qFormat/>
    <w:rsid w:val="00A10FD9"/>
    <w:pPr>
      <w:keepNext/>
      <w:keepLines/>
      <w:spacing w:after="40" w:before="100"/>
      <w:outlineLvl w:val="1"/>
    </w:pPr>
    <w:rPr>
      <w:rFonts w:asciiTheme="majorHAnsi" w:cstheme="majorBidi" w:eastAsiaTheme="majorEastAsia" w:hAnsiTheme="majorHAnsi"/>
      <w:color w:themeColor="accent1" w:themeShade="BF" w:val="0F4761"/>
      <w:sz w:val="26"/>
      <w:szCs w:val="32"/>
    </w:rPr>
  </w:style>
  <w:style w:styleId="Heading3" w:type="paragraph">
    <w:name w:val="heading 3"/>
    <w:basedOn w:val="Normal"/>
    <w:next w:val="BodyText"/>
    <w:link w:val="Heading3Char"/>
    <w:uiPriority w:val="9"/>
    <w:semiHidden/>
    <w:unhideWhenUsed/>
    <w:qFormat/>
    <w:rsid w:val="00A10FD9"/>
    <w:pPr>
      <w:keepNext/>
      <w:keepLines/>
      <w:spacing w:after="20" w:before="80"/>
      <w:outlineLvl w:val="2"/>
    </w:pPr>
    <w:rPr>
      <w:rFonts w:cstheme="majorBidi" w:eastAsiaTheme="majorEastAsia"/>
      <w:color w:themeColor="accent1" w:themeShade="BF" w:val="0F4761"/>
      <w:sz w:val="22"/>
      <w:szCs w:val="28"/>
    </w:rPr>
  </w:style>
  <w:style w:styleId="Heading4" w:type="paragraph">
    <w:name w:val="heading 4"/>
    <w:basedOn w:val="Normal"/>
    <w:next w:val="BodyText"/>
    <w:link w:val="Heading4Char"/>
    <w:uiPriority w:val="9"/>
    <w:semiHidden/>
    <w:unhideWhenUsed/>
    <w:qFormat/>
    <w:rsid w:val="00A10FD9"/>
    <w:pPr>
      <w:keepNext/>
      <w:keepLines/>
      <w:spacing w:after="20" w:before="60"/>
      <w:outlineLvl w:val="3"/>
    </w:pPr>
    <w:rPr>
      <w:rFonts w:cstheme="majorBidi" w:eastAsiaTheme="majorEastAsia"/>
      <w:i/>
      <w:iCs/>
      <w:color w:themeColor="accent1" w:themeShade="BF" w:val="0F4761"/>
      <w:sz w:val="2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0" Type="http://schemas.openxmlformats.org/officeDocument/2006/relationships/hyperlink" Target="https://github.com/Agentic-and-AI-Engineering-Projects" TargetMode="External"/><Relationship Id="rId10" Type="http://schemas.openxmlformats.org/officeDocument/2006/relationships/hyperlink" Target="https://github.com/rrvenkatrama/" TargetMode="External"/><Relationship Id="rId9" Type="http://schemas.openxmlformats.org/officeDocument/2006/relationships/hyperlink" Target="https://linkedin.com/in/rvrajesh123/" TargetMode="External"/></Relationships>
</file>

<file path=word/_rels/footnotes.xml.rels><?xml version='1.0' encoding='UTF-8' standalone='yes'?>
<Relationships xmlns="http://schemas.openxmlformats.org/package/2006/relationships"><Relationship Id="rId20" Type="http://schemas.openxmlformats.org/officeDocument/2006/relationships/hyperlink" Target="https://github.com/Agentic-and-AI-Engineering-Projects" TargetMode="External"/><Relationship Id="rId10" Type="http://schemas.openxmlformats.org/officeDocument/2006/relationships/hyperlink" Target="https://github.com/rrvenkatrama/" TargetMode="External"/><Relationship Id="rId9" Type="http://schemas.openxmlformats.org/officeDocument/2006/relationships/hyperlink" Target="https://linkedin.com/in/rvrajesh1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2026-06-12T01:50:39Z</dcterms:created>
  <dcterms:modified xsi:type="dcterms:W3CDTF">2026-06-12T01:50:39Z</dcterms:modified>
</cp:coreProperties>
</file>

<file path=docProps/custom.xml><?xml version="1.0" encoding="utf-8"?>
<Properties xmlns="http://schemas.openxmlformats.org/officeDocument/2006/custom-properties" xmlns:vt="http://schemas.openxmlformats.org/officeDocument/2006/docPropsVTypes"/>
</file>