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pPr>
        <w:pStyle w:val="Heading2"/>
      </w:pPr>
      <w:r>
        <w:t>Eligibility</w:t>
      </w:r>
    </w:p>
    <w:p>
      <w:r>
        <w:t>Employees who have completed their probation period are eligible to work remotely for up</w:t>
        <w:br/>
        <w:t xml:space="preserve">            to 10 working days per month, subject to reporting manager approval and the operational</w:t>
        <w:br/>
        <w:t xml:space="preserve">            needs of the team. Roles requiring physical presence, such as warehouse and store</w:t>
        <w:br/>
        <w:t xml:space="preserve">            operations, are not eligible for remote work.</w:t>
      </w:r>
    </w:p>
    <w:p>
      <w:pPr>
        <w:pStyle w:val="Heading2"/>
      </w:pPr>
      <w:r>
        <w:t>Requesting Remote Work</w:t>
      </w:r>
    </w:p>
    <w:p>
      <w:r>
        <w:t>Remote work days should be requested through the HR portal at least 2 working days in</w:t>
        <w:br/>
        <w:t xml:space="preserve">            advance. Managers may require specific days of on-site presence for team meetings,</w:t>
        <w:br/>
        <w:t xml:space="preserve">            planning sessions, or customer visits. Recurring remote work arrangements are reviewed</w:t>
        <w:br/>
        <w:t xml:space="preserve">            every 6 months.</w:t>
      </w:r>
    </w:p>
    <w:p>
      <w:pPr>
        <w:pStyle w:val="Heading2"/>
      </w:pPr>
      <w:r>
        <w:t>Home Office Setup</w:t>
      </w:r>
    </w:p>
    <w:p>
      <w:r>
        <w:t>The company provides a one-time home office allowance of INR 20,000 for eligible remote</w:t>
        <w:br/>
        <w:t xml:space="preserve">            workers, claimable against a desk, chair, monitor, or ergonomic accessories through the</w:t>
        <w:br/>
        <w:t xml:space="preserve">            expense management system. The allowance may be claimed once every 3 years. Company</w:t>
        <w:br/>
        <w:t xml:space="preserve">            laptops remain company property and must be returned on exit.</w:t>
      </w:r>
    </w:p>
    <w:p>
      <w:pPr>
        <w:pStyle w:val="Heading2"/>
      </w:pPr>
      <w:r>
        <w:t>Expectations While Remote</w:t>
      </w:r>
    </w:p>
    <w:p>
      <w:r>
        <w:t>Employees working remotely are expected to be reachable during core hours (11:00 AM to</w:t>
        <w:br/>
        <w:t xml:space="preserve">            4:00 PM), to maintain a stable internet connection, and to join meetings with video</w:t>
        <w:br/>
        <w:t xml:space="preserve">            enabled where practical. Remote work is not a substitute for childcare or dependent care</w:t>
        <w:br/>
        <w:t xml:space="preserve">            arrangements.</w:t>
      </w:r>
    </w:p>
    <w:p>
      <w:pPr>
        <w:pStyle w:val="Heading2"/>
      </w:pPr>
      <w:r>
        <w:t>Working From Another City</w:t>
      </w:r>
    </w:p>
    <w:p>
      <w:r>
        <w:t>Employees who wish to work from a location other than their registered base city for more</w:t>
        <w:br/>
        <w:t xml:space="preserve">            than 15 consecutive days must obtain written approval from HR, as this can carry tax and</w:t>
        <w:br/>
        <w:t xml:space="preserve">            insurance implications. Working from outside the country requires prior clearance from</w:t>
        <w:br/>
        <w:t xml:space="preserve">            both HR and the Finance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