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Policy</w:t>
      </w:r>
    </w:p>
    <w:p>
      <w:pPr>
        <w:pStyle w:val="Heading2"/>
      </w:pPr>
      <w:r>
        <w:t>Domestic Travel Booking</w:t>
      </w:r>
    </w:p>
    <w:p>
      <w:r>
        <w:t>All domestic business travel must be booked through the approved corporate travel portal</w:t>
        <w:br/>
        <w:t xml:space="preserve">            at least 5 working days in advance where possible. Economy class is standard for flights</w:t>
        <w:br/>
        <w:t xml:space="preserve">            under 4 hours; business class requires director-level approval.</w:t>
      </w:r>
    </w:p>
    <w:p>
      <w:r>
        <w:t>Travel booked outside the corporate portal is reimbursed only where the employee can</w:t>
        <w:br/>
        <w:t xml:space="preserve">            demonstrate that the portal was unavailable or that the alternative booking was</w:t>
        <w:br/>
        <w:t xml:space="preserve">            materially cheaper.</w:t>
      </w:r>
    </w:p>
    <w:p>
      <w:pPr>
        <w:pStyle w:val="Heading2"/>
      </w:pPr>
      <w:r>
        <w:t>International Travel</w:t>
      </w:r>
    </w:p>
    <w:p>
      <w:r>
        <w:t>International business travel requires approval from the department head and, for trips</w:t>
        <w:br/>
        <w:t xml:space="preserve">            longer than 7 days, from the Finance director. Visa fees, travel insurance, and required</w:t>
        <w:br/>
        <w:t xml:space="preserve">            vaccinations are paid by the company. Employees should apply for visas at least 3 weeks</w:t>
        <w:br/>
        <w:t xml:space="preserve">            before departure.</w:t>
      </w:r>
    </w:p>
    <w:p>
      <w:pPr>
        <w:pStyle w:val="Heading2"/>
      </w:pPr>
      <w:r>
        <w:t>Accommodation Standards</w:t>
      </w:r>
    </w:p>
    <w:p>
      <w:r>
        <w:t>Hotel accommodation is capped at INR 6,000 per night in metro cities and INR 4,000 per</w:t>
        <w:br/>
        <w:t xml:space="preserve">            night in non-metro cities, inclusive of taxes. Stays above the cap require prior written</w:t>
        <w:br/>
        <w:t xml:space="preserve">            approval from the department head. Employees are expected to book refundable rates where</w:t>
        <w:br/>
        <w:t xml:space="preserve">            the trip dates are not yet confirmed.</w:t>
      </w:r>
    </w:p>
    <w:p>
      <w:pPr>
        <w:pStyle w:val="Heading2"/>
      </w:pPr>
      <w:r>
        <w:t>Expense Reimbursement</w:t>
      </w:r>
    </w:p>
    <w:p>
      <w:r>
        <w:t>Travel expenses (meals, local transport, accommodation) must be submitted through the</w:t>
        <w:br/>
        <w:t xml:space="preserve">            expense management system within 15 days of the trip's completion, accompanied by itemized</w:t>
        <w:br/>
        <w:t xml:space="preserve">            receipts. Reimbursements are processed within 10 business days of approval.</w:t>
      </w:r>
    </w:p>
    <w:p>
      <w:r>
        <w:t>Expenses submitted more than 15 days after the trip require a written explanation and</w:t>
        <w:br/>
        <w:t xml:space="preserve">            department head approval, and may be declined.</w:t>
      </w:r>
    </w:p>
    <w:p>
      <w:pPr>
        <w:pStyle w:val="Heading2"/>
      </w:pPr>
      <w:r>
        <w:t>Per Diem Rates</w:t>
      </w:r>
    </w:p>
    <w:p>
      <w:r>
        <w:t>Employees traveling domestically receive a per diem of INR 2,500 per day for meals and</w:t>
        <w:br/>
        <w:t xml:space="preserve">            incidentals in metro cities, and INR 1,800 per day in non-metro cities. International per</w:t>
        <w:br/>
        <w:t xml:space="preserve">            diem rates are published separately by the Finance team and vary by destination country.</w:t>
      </w:r>
    </w:p>
    <w:p>
      <w:r>
        <w:t>Per diem is paid for each full day of travel; partial days at the start and end of a trip</w:t>
        <w:br/>
        <w:t xml:space="preserve">            are paid at half the applicable rate. No receipts are required for per diem itself.</w:t>
      </w:r>
    </w:p>
    <w:p>
      <w:pPr>
        <w:pStyle w:val="Heading2"/>
      </w:pPr>
      <w:r>
        <w:t>Travel Advances</w:t>
      </w:r>
    </w:p>
    <w:p>
      <w:r>
        <w:t>Employees may request a travel advance of up to 80 percent of estimated trip costs</w:t>
        <w:br/>
        <w:t xml:space="preserve">            through the expense management system, no earlier than 7 days before departure. Any</w:t>
        <w:br/>
        <w:t xml:space="preserve">            unused advance must be returned within 15 days of the trip's completion, at the same time</w:t>
        <w:br/>
        <w:t xml:space="preserve">            as the expense claim is submitted.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