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Rule="auto"/>
        <w:rPr/>
      </w:pPr>
      <w:r w:rsidDel="00000000" w:rsidR="00000000" w:rsidRPr="00000000">
        <w:rPr>
          <w:rtl w:val="0"/>
        </w:rPr>
        <w:t xml:space="preserve">SPESIFIKASI KONSEPTUAL DAN ARSITEKTUR INFORMASI</w:t>
        <w:br w:type="textWrapping"/>
        <w:t xml:space="preserve">DASBOR KOMPETENSI SISWA</w:t>
      </w:r>
    </w:p>
    <w:p w:rsidR="00000000" w:rsidDel="00000000" w:rsidP="00000000" w:rsidRDefault="00000000" w:rsidRPr="00000000" w14:paraId="00000002">
      <w:pPr>
        <w:spacing w:after="240" w:before="0" w:lineRule="auto"/>
        <w:rPr/>
      </w:pPr>
      <w:r w:rsidDel="00000000" w:rsidR="00000000" w:rsidRPr="00000000">
        <w:rPr>
          <w:rtl w:val="0"/>
        </w:rPr>
        <w:t xml:space="preserve">Konsep Penyajian Progres Kompetensi Riil, Panduan Belajar Adaptif, dan Tata Kelola Informasi Ramah Anak SMP/MTs (Fase D)</w:t>
      </w:r>
    </w:p>
    <w:tbl>
      <w:tblPr>
        <w:tblStyle w:val="Table1"/>
        <w:tblW w:w="9028.0" w:type="dxa"/>
        <w:jc w:val="center"/>
        <w:tblBorders>
          <w:top w:color="b0c4de" w:space="0" w:sz="6" w:val="single"/>
          <w:left w:color="000000" w:space="0" w:sz="0" w:val="nil"/>
          <w:bottom w:color="b0c4de" w:space="0" w:sz="6" w:val="single"/>
          <w:right w:color="000000" w:space="0" w:sz="0" w:val="nil"/>
          <w:insideH w:color="b0c4de" w:space="0" w:sz="6" w:val="single"/>
          <w:insideV w:color="000000" w:space="0" w:sz="0" w:val="nil"/>
        </w:tblBorders>
        <w:tblLayout w:type="fixed"/>
        <w:tblLook w:val="0400"/>
      </w:tblPr>
      <w:tblGrid>
        <w:gridCol w:w="4514"/>
        <w:gridCol w:w="4514"/>
        <w:tblGridChange w:id="0">
          <w:tblGrid>
            <w:gridCol w:w="4514"/>
            <w:gridCol w:w="4514"/>
          </w:tblGrid>
        </w:tblGridChange>
      </w:tblGrid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Nomor Dokumen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TKA-DOC-05-DASHBOARD-KOMPETENSI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Sasaran Pengguna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Siswa SMP/MTs (Fase D)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Fokus Dokumen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Arsitektur Informasi Konseptual (Bebas Dikte Tata Letak Fisik)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Metrik Terlarang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TANPA Radar Psikometrik, TANPA TKA Readiness Score, TANPA Leaderboard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Prinsip Kognitif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Mitigasi Beban Kognitif &amp; Pembelajaran Tuntas (Mastery Learning)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Status Verifikasi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FINAL &amp; LOCKED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Tanggal Efektif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</w:tbl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FILOSOFI DAN PRINSIP INFORMASI DASBOR RAMAH ANAK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Dasbor merupakan ruang informasi utama yang menyambut siswa setiap kali mengakses sistem web persiapan TKA. Dirancang dengan mempertimbangkan karakteristik psikologis dan daya cerna informasi siswa remaja awal (SMP/MTs Fase D), dasbor menganut 4 (empat) prinsip konseptual:</w:t>
        <w:br w:type="textWrapping"/>
        <w:t xml:space="preserve">1. Mitigasi Beban Kognitif (Cognitive Load Mitigation): Menghilangkan statistik rumit, grafik multidimensi, dan estimasi angka semu yang tidak relevan bagi siswa.</w:t>
        <w:br w:type="textWrapping"/>
        <w:t xml:space="preserve">2. Panduan Belajar Berorientasi Aksi (Action-Oriented Guidance): Memudahkan siswa mengenali prioritas aktivitas belajar yang harus dilakukan selanjutnya secara mandiri dan cepat.</w:t>
        <w:br w:type="textWrapping"/>
        <w:t xml:space="preserve">3. Transparansi Penguasaan Materi Riil (Real Mastery Transparency): Menampilkan capaian belajar yang murni berbasis ketuntasan kurikulum nyata (proporsi submateri yang telah tuntas dikuasai), bukan skor estimasi probabilitas.</w:t>
        <w:br w:type="textWrapping"/>
        <w:t xml:space="preserve">4. Penguatan Motivasi Intrinsik: Mengapresiasi ketekunan belajar siswa melalui akumulasi poin pengalaman (XP) dan tingkat pencapaian (Milestone Tier) tanpa menciptakan perbandingan sosial.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2. ARSITEKTUR INFORMASI UTAMA DASBOR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Secara konseptual, arsitektur informasi dasbor siswa berfokus pada penyajian 2 (dua) klaster informasi fungsional utama. Spesifikasi ini murni mendefinisikan kebutuhan substansi informasi dan perilaku sistem; adapun eksekusi tata letak visual (seperti pembagian panel, penataan grid, bentuk kartu, atau komponen antarmuka lainnya) diserahkan sepenuhnya kepada tim teknis pengembang antarmuka:</w:t>
      </w:r>
    </w:p>
    <w:tbl>
      <w:tblPr>
        <w:tblStyle w:val="Table2"/>
        <w:tblW w:w="9028.0" w:type="dxa"/>
        <w:jc w:val="center"/>
        <w:tblBorders>
          <w:top w:color="d0d5dd" w:space="0" w:sz="4" w:val="single"/>
          <w:left w:color="000000" w:space="0" w:sz="0" w:val="nil"/>
          <w:bottom w:color="d0d5dd" w:space="0" w:sz="4" w:val="single"/>
          <w:right w:color="000000" w:space="0" w:sz="0" w:val="nil"/>
          <w:insideH w:color="d0d5dd" w:space="0" w:sz="4" w:val="single"/>
          <w:insideV w:color="000000" w:space="0" w:sz="0" w:val="nil"/>
        </w:tblBorders>
        <w:tblLayout w:type="fixed"/>
        <w:tblLook w:val="0400"/>
      </w:tblPr>
      <w:tblGrid>
        <w:gridCol w:w="2257"/>
        <w:gridCol w:w="2257"/>
        <w:gridCol w:w="2257"/>
        <w:gridCol w:w="2257"/>
        <w:tblGridChange w:id="0">
          <w:tblGrid>
            <w:gridCol w:w="2257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Klaster Informasi</w:t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Nama Entitas Informasi</w:t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Tujuan Konseptual</w:t>
            </w:r>
          </w:p>
        </w:tc>
        <w:tc>
          <w:tcPr>
            <w:shd w:fill="1a365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Substansi Informasi dan Perilaku Fungsional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Klaster A</w:t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Panduan Tindakan Belajar Berikutnya</w:t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Mengarahkan fokus belajar siswa pada satu prioritas pembelajaran paling mendesak tanpa distraksi navigasi.</w:t>
            </w:r>
          </w:p>
        </w:tc>
        <w:tc>
          <w:tcPr>
            <w:shd w:fill="ffffff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Menyajikan arahan belajar adaptif berprioritas tunggal: (1) Sesi Prasyarat jika siswa belum menyelesaikan atau belum lulus asesmen Recall Kemampuanmu; (2) Sesi Belajar Aktif jika siswa sedang menempuh materi (memuat nama materi pokok, submateri, level kognitif aktif, serta akses langsung untuk melanjutkan pengerjaan); atau (3) Asesmen Puncak (Simulasi TKA) jika seluruh submateri kurikulum pada mata pelajaran tersebut telah tuntas dikuasai.</w:t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Klaster B</w:t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Peta Progres Penguasaan Kurikulum</w:t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Memberikan visibilitas menyeluruh dan objektif mengenai status penguasaan materi kurikulum siswa pada mata pelajaran yang dipilih.</w:t>
            </w:r>
          </w:p>
        </w:tc>
        <w:tc>
          <w:tcPr>
            <w:shd w:fill="f7fafc" w:val="clear"/>
            <w:tcMar>
              <w:top w:w="70.0" w:type="dxa"/>
              <w:left w:w="90.0" w:type="dxa"/>
              <w:bottom w:w="70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Menyajikan struktur hierarkis kurikulum (Mata Pelajaran -&gt; Materi Pokok -&gt; Submateri -&gt; Level Kognitif) dengan penandaan 3 status ketercapaian fungsional: (1) Belum Terbuka / Prasyarat Belum Terpenuhi, (2) Sedang Ditempuh / Aktif, dan (3) Tuntas Dikuasai. Eksekusi representasi visual (berbentuk daftar bertingkat, struktur pohon, grid, atau panel) ditentukan sepenuhnya oleh tim teknis.</w:t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3. PENIADAAN INDIKATOR PSIKOMETRIK SEMU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Sistem secara konseptual menetapkan aturan peniadaan mutlak terhadap indikator-indikator semu berikut pada dasbor siswa:</w:t>
      </w:r>
    </w:p>
    <w:tbl>
      <w:tblPr>
        <w:tblStyle w:val="Table3"/>
        <w:tblW w:w="9029.0" w:type="dxa"/>
        <w:jc w:val="center"/>
        <w:tblLayout w:type="fixed"/>
        <w:tblLook w:val="04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3182ce" w:space="0" w:sz="24" w:val="single"/>
              <w:bottom w:color="000000" w:space="0" w:sz="0" w:val="nil"/>
              <w:right w:color="000000" w:space="0" w:sz="0" w:val="nil"/>
            </w:tcBorders>
            <w:shd w:fill="ebf8ff" w:val="clear"/>
            <w:tcMar>
              <w:top w:w="100.0" w:type="dxa"/>
              <w:left w:w="18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[CATATAN KRITIS / ATURAN MUTLAK]</w:t>
              <w:br w:type="textWrapping"/>
              <w:t xml:space="preserve">KOMPONEN TERLARANG PADA DASBOR SISWA:</w:t>
              <w:br w:type="textWrapping"/>
              <w:t xml:space="preserve">1. DILARANG menghitung maupun menampilkan skor 'TKA Readiness Score' atau angka persentase estimasi kesiapan ujian nasional semu.</w:t>
              <w:br w:type="textWrapping"/>
              <w:t xml:space="preserve">2. DILARANG menampilkan diagram radar psikometrik multidimensi yang membebani nalar kognitif siswa.</w:t>
              <w:br w:type="textWrapping"/>
              <w:t xml:space="preserve">3. DILARANG menampilkan klasemen peringkat kelas atau metrik komparasi antarsiswa (No Leaderboard).</w:t>
              <w:br w:type="textWrapping"/>
              <w:t xml:space="preserve">Alasan Konseptual: Indikator-indikator semu tersebut memicu kecemasan akademis (test anxiety), melabeli kemampuan anak secara prematur, dan mengalihkan fokus dari pemahaman konsep materi riil.</w:t>
            </w:r>
          </w:p>
        </w:tc>
      </w:tr>
    </w:tbl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4. INFORMASI IDENTITAS DAN MOTIVASI PERSONAL SISWA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Dasbor menyediakan area representasi identitas personal yang mendukung iklim belajar positif bagi siswa:</w:t>
        <w:br w:type="textWrapping"/>
        <w:t xml:space="preserve">• Avatar Pilihan: Karakter visual ramah anak yang dipilih siswa.</w:t>
        <w:br w:type="textWrapping"/>
        <w:t xml:space="preserve">• Nama Panggilan (Display Name): Identitas sapaan personal siswa (3–30 karakter).</w:t>
        <w:br w:type="textWrapping"/>
        <w:t xml:space="preserve">• Saldo Poin Pengalaman (XP): Total akumulasi poin yang diperoleh murni dari ketuntasan belajar.</w:t>
        <w:br w:type="textWrapping"/>
        <w:t xml:space="preserve">• Tingkat Pencapaian (Milestone Tier) Aktif: Tingkat apresiasi terkini siswa (Perintis Belajar, Penjelajah Konsep, Pejuang Penalaran, Pakar Fase D, Jawara TKA).</w:t>
        <w:br w:type="textWrapping"/>
        <w:t xml:space="preserve">• Indikator Kemajuan Menuju Tier Berikutnya: Informasi sisa XP yang dibutuhkan untuk mencapai tingkatan prestasi berikutnya.</w:t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5. PRINSIP INDEPENDENSI MATA PELAJARAN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Akses penguasaan kurikulum antara Matematika dan Bahasa Indonesia beroperasi secara sepenuhnya independen:</w:t>
        <w:br w:type="textWrapping"/>
        <w:t xml:space="preserve">• Siswa bebas mempelajari materi Matematika tanpa terhalang status pengerjaan Bahasa Indonesia, dan sebaliknya.</w:t>
        <w:br w:type="textWrapping"/>
        <w:t xml:space="preserve">• Setiap mata pelajaran memiliki persentase ketuntasan kompetensi mandiri yang dihitung dari: (Jumlah Submateri yang Tuntas Dikuasai / Total Submateri) x 100%.</w:t>
        <w:br w:type="textWrapping"/>
        <w:t xml:space="preserve">• Asesmen Simulasi TKA terbuka secara terpisah untuk masing-masing mata pelajaran saat mata pelajaran tersebut mencapai ketuntasan 100%.</w:t>
        <w:br w:type="textWrapping"/>
        <w:t xml:space="preserve">• Mekanisme interaksi peralihan antarmuka (seperti tab, tombol alih, navigasi samping, atau selektor visual lainnya) ditentukan dan diimplementasikan secara bebas oleh tim pengembang antarmuka.</w:t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DOKUMEN SPESIFIKASI OPERASIONAL 05  —  Dokumen Spesifikasi Resmi (Confidential / Internal)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d374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18096"/>
        <w:sz w:val="17"/>
        <w:szCs w:val="17"/>
        <w:u w:val="none"/>
        <w:shd w:fill="auto" w:val="clear"/>
        <w:vertAlign w:val="baseline"/>
        <w:rtl w:val="0"/>
      </w:rPr>
      <w:t xml:space="preserve">ARSITEKTUR DASHBOARD KOMPETENSI SISWA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748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7GesXC0N10JLFbPNWKvZxaYMBA==">CgMxLjA4AHIhMWo1akxqT05VRms1Y1U3VTAzQldDbWFQYU9mWjRXTk5C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