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Invariants, Evaluability, and Verifiable Semantic Coordination</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1.9 — 20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The current evidence is a reproducible integration evaluation rather than a claim of deployment performance. It exercises an evaluator-owned horizon of exactly 1,000 semantic decisions, trace and membership binding, sparse-BFT finality, replay, stale-evidence rejection, and recovery of a six-dimensional semantic sidecar. The run produced 973 useful decisions and zero unsafe decisions. These measurements establish the evidence chain and its boundaries; they do not estimate field prevalence or establish general mission performance.</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reproducible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contributions.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provides evaluator-owned evidence contracts and fail-closed checks that bind semantic decisions to traces, membership, finality, replay, and recoverable artifacts. These contributions lie in system-level composition and auditable invariants, not in claiming invention of established distributed-systems primitives.</w:t>
      </w:r>
    </w:p>
    <w:p>
      <w:pPr>
        <w:widowControl/>
      </w:pPr>
      <w:r>
        <w:rPr>
          <w:rFonts w:ascii="Calibri" w:hAnsi="Calibri"/>
          <w:color w:val="17202A"/>
        </w:rPr>
        <w:t>A future registered campaign will examine generalization across seeds and environments, comparative performance, semantic-metric calibration, and behavior at larger scales. This paper reports only the current integration evidence.</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Architectural invariants and essential concepts</w:t>
      </w:r>
    </w:p>
    <w:p>
      <w:pPr>
        <w:widowControl/>
      </w:pPr>
      <w:r>
        <w:rPr>
          <w:rFonts w:ascii="Calibri" w:hAnsi="Calibri"/>
          <w:color w:val="17202A"/>
        </w:rPr>
        <w:t xml:space="preserve">Agent Mesh treats coordination as a sequence of locally validated state transitions rather than as a shared conversation. 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w:t>
      </w:r>
      <w:r>
        <w:rPr>
          <w:rFonts w:ascii="Courier New" w:hAnsi="Courier New"/>
          <w:color w:val="17202A"/>
        </w:rPr>
        <w:t>delta(S,r)</w:t>
      </w:r>
      <w:r>
        <w:rPr>
          <w:rFonts w:ascii="Calibri" w:hAnsi="Calibri"/>
          <w:color w:val="17202A"/>
        </w:rPr>
        <w:t xml:space="preserve"> the state transition after admission, and </w:t>
      </w:r>
      <w:r>
        <w:rPr>
          <w:rFonts w:ascii="Courier New" w:hAnsi="Courier New"/>
          <w:color w:val="17202A"/>
        </w:rPr>
        <w:t>gate(S,a)</w:t>
      </w:r>
      <w:r>
        <w:rPr>
          <w:rFonts w:ascii="Calibri" w:hAnsi="Calibri"/>
          <w:color w:val="17202A"/>
        </w:rPr>
        <w:t xml:space="preserve"> the effect-time authorization decision. A record that fails admission cannot change protocol-authoritative state, and a proposed action cannot reach an external effect without a permit bound to its exact authority context.</w:t>
      </w:r>
    </w:p>
    <w:p>
      <w:pPr>
        <w:widowControl/>
      </w:pPr>
      <w:r>
        <w:rPr>
          <w:rFonts w:ascii="Calibri" w:hAnsi="Calibri"/>
          <w:color w:val="17202A"/>
        </w:rPr>
        <w:t>The reference implementation targets eleven safety invariants. They are architectural obligations and conformance targets, not universal guarantees under compromised cryptography, storage, quorum assumptions, or effect sinks.</w:t>
      </w:r>
    </w:p>
    <w:p>
      <w:pPr>
        <w:pStyle w:val="ListBullet"/>
        <w:widowControl/>
      </w:pPr>
      <w:r>
        <w:rPr>
          <w:rFonts w:ascii="Calibri" w:hAnsi="Calibri"/>
          <w:b/>
          <w:color w:val="17202A"/>
        </w:rPr>
        <w:t>I1 — Admission before influence:</w:t>
      </w:r>
      <w:r>
        <w:rPr>
          <w:rFonts w:ascii="Calibri" w:hAnsi="Calibri"/>
          <w:color w:val="17202A"/>
        </w:rPr>
        <w:t xml:space="preserve"> a record changes protocol state only after bounded parsing, authentication, tenant and Mesh scope, membership, freshness, replay, and causal checks succeed.</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w:t>
      </w:r>
    </w:p>
    <w:p>
      <w:pPr>
        <w:pStyle w:val="ListBullet"/>
        <w:widowControl/>
      </w:pPr>
      <w:r>
        <w:rPr>
          <w:rFonts w:ascii="Calibri" w:hAnsi="Calibri"/>
          <w:b/>
          <w:color w:val="17202A"/>
        </w:rPr>
        <w:t>I3 — Exact-effect binding:</w:t>
      </w:r>
      <w:r>
        <w:rPr>
          <w:rFonts w:ascii="Calibri" w:hAnsi="Calibri"/>
          <w:color w:val="17202A"/>
        </w:rPr>
        <w:t xml:space="preserve"> a permit binds the normalized action, principal, Objective, Work Item, policy, resource envelope, expiry, idempotency key, assignment epoch, and fence.</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rejects lower fences.</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another logical transition or external effect.</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decision coordinate, membership epoch, policy, and eligible voter set.</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authority produces denial, replanning, recovery, or safe stop.</w:t>
      </w:r>
    </w:p>
    <w:p>
      <w:pPr>
        <w:pStyle w:val="ListBullet"/>
        <w:widowControl/>
      </w:pPr>
      <w:r>
        <w:rPr>
          <w:rFonts w:ascii="Calibri" w:hAnsi="Calibri"/>
          <w:b/>
          <w:color w:val="17202A"/>
        </w:rPr>
        <w:t>I8 — Policy attenuation:</w:t>
      </w:r>
      <w:r>
        <w:rPr>
          <w:rFonts w:ascii="Calibri" w:hAnsi="Calibri"/>
          <w:color w:val="17202A"/>
        </w:rPr>
        <w:t xml:space="preserve"> local projection may only narrow allowed context, actions, channels, and lifetimes; it cannot broaden the validated baseline.</w:t>
      </w:r>
    </w:p>
    <w:p>
      <w:pPr>
        <w:pStyle w:val="ListBullet"/>
        <w:widowControl/>
      </w:pPr>
      <w:r>
        <w:rPr>
          <w:rFonts w:ascii="Calibri" w:hAnsi="Calibri"/>
          <w:b/>
          <w:color w:val="17202A"/>
        </w:rPr>
        <w:t>I9 — Composition completeness before start:</w:t>
      </w:r>
      <w:r>
        <w:rPr>
          <w:rFonts w:ascii="Calibri" w:hAnsi="Calibri"/>
          <w:color w:val="17202A"/>
        </w:rPr>
        <w:t xml:space="preserve"> the reference-integrated profile cannot begin a mission or effect unless all safety-critical phase handlers are installed.</w:t>
      </w:r>
    </w:p>
    <w:p>
      <w:pPr>
        <w:pStyle w:val="ListBullet"/>
        <w:widowControl/>
      </w:pPr>
      <w:r>
        <w:rPr>
          <w:rFonts w:ascii="Calibri" w:hAnsi="Calibri"/>
          <w:b/>
          <w:color w:val="17202A"/>
        </w:rPr>
        <w:t>I10 — Bounded degraded operation:</w:t>
      </w:r>
      <w:r>
        <w:rPr>
          <w:rFonts w:ascii="Calibri" w:hAnsi="Calibri"/>
          <w:color w:val="17202A"/>
        </w:rPr>
        <w:t xml:space="preserve"> connectivity loss never authorizes an irreversible effect without the required quorum or reconciliation.</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requires a later epoch, new credential generation, evidence, approval, and no broader successor authority.</w:t>
      </w:r>
    </w:p>
    <w:p>
      <w:pPr>
        <w:widowControl/>
      </w:pPr>
      <w:r>
        <w:rPr>
          <w:rFonts w:ascii="Calibri" w:hAnsi="Calibri"/>
          <w:color w:val="17202A"/>
        </w:rPr>
        <w:t>These invariants depend on a small set of distinctions:</w:t>
      </w:r>
    </w:p>
    <w:tbl>
      <w:tblPr>
        <w:tblStyle w:val="TableGrid"/>
        <w:tblW w:type="auto" w:w="0"/>
        <w:jc w:val="left"/>
        <w:tblLayout w:type="fixed"/>
        <w:tblLook w:firstColumn="1" w:firstRow="1" w:lastColumn="0" w:lastRow="0" w:noHBand="0" w:noVBand="1" w:val="04A0"/>
      </w:tblPr>
      <w:tblGrid>
        <w:gridCol w:w="3120"/>
        <w:gridCol w:w="3120"/>
        <w:gridCol w:w="3120"/>
      </w:tblGrid>
      <w:tr>
        <w:trPr>
          <w:cantSplit/>
          <w:tblHeader/>
        </w:trPr>
        <w:tc>
          <w:tcPr>
            <w:tcW w:type="dxa" w:w="2088"/>
            <w:vAlign w:val="center"/>
          </w:tcPr>
          <w:p>
            <w:pPr>
              <w:spacing w:after="40" w:line="240" w:lineRule="auto"/>
              <w:shd w:fill="D9EAF7"/>
            </w:pPr>
            <w:r>
              <w:rPr>
                <w:b/>
              </w:rPr>
            </w:r>
            <w:r>
              <w:rPr>
                <w:rFonts w:ascii="Calibri" w:hAnsi="Calibri"/>
                <w:b/>
                <w:color w:val="17202A"/>
                <w:sz w:val="17"/>
              </w:rPr>
              <w:t>Distinction</w:t>
            </w:r>
          </w:p>
        </w:tc>
        <w:tc>
          <w:tcPr>
            <w:tcW w:type="dxa" w:w="3384"/>
            <w:vAlign w:val="center"/>
          </w:tcPr>
          <w:p>
            <w:pPr>
              <w:spacing w:after="40" w:line="240" w:lineRule="auto"/>
              <w:shd w:fill="D9EAF7"/>
            </w:pPr>
            <w:r>
              <w:rPr>
                <w:b/>
              </w:rPr>
            </w:r>
            <w:r>
              <w:rPr>
                <w:rFonts w:ascii="Calibri" w:hAnsi="Calibri"/>
                <w:b/>
                <w:color w:val="17202A"/>
                <w:sz w:val="17"/>
              </w:rPr>
              <w:t>Meaning in Agent Mesh</w:t>
            </w:r>
          </w:p>
        </w:tc>
        <w:tc>
          <w:tcPr>
            <w:tcW w:type="dxa" w:w="3816"/>
            <w:vAlign w:val="center"/>
          </w:tcPr>
          <w:p>
            <w:pPr>
              <w:spacing w:after="40" w:line="240" w:lineRule="auto"/>
              <w:shd w:fill="D9EAF7"/>
            </w:pPr>
            <w:r>
              <w:rPr>
                <w:b/>
              </w:rPr>
            </w:r>
            <w:r>
              <w:rPr>
                <w:rFonts w:ascii="Calibri" w:hAnsi="Calibri"/>
                <w:b/>
                <w:color w:val="17202A"/>
                <w:sz w:val="17"/>
              </w:rPr>
              <w:t>Why it matters</w:t>
            </w:r>
          </w:p>
        </w:tc>
      </w:tr>
      <w:tr>
        <w:trPr>
          <w:cantSplit/>
        </w:trPr>
        <w:tc>
          <w:tcPr>
            <w:tcW w:type="dxa" w:w="2088"/>
            <w:vAlign w:val="center"/>
          </w:tcPr>
          <w:p>
            <w:pPr>
              <w:spacing w:after="40" w:line="240" w:lineRule="auto"/>
            </w:pPr>
            <w:r/>
            <w:r>
              <w:rPr>
                <w:rFonts w:ascii="Calibri" w:hAnsi="Calibri"/>
                <w:color w:val="17202A"/>
                <w:sz w:val="17"/>
              </w:rPr>
              <w:t>Identity vs. admission</w:t>
            </w:r>
          </w:p>
        </w:tc>
        <w:tc>
          <w:tcPr>
            <w:tcW w:type="dxa" w:w="3384"/>
            <w:vAlign w:val="center"/>
          </w:tcPr>
          <w:p>
            <w:pPr>
              <w:spacing w:after="40" w:line="240" w:lineRule="auto"/>
            </w:pPr>
            <w:r/>
            <w:r>
              <w:rPr>
                <w:rFonts w:ascii="Calibri" w:hAnsi="Calibri"/>
                <w:color w:val="17202A"/>
                <w:sz w:val="17"/>
              </w:rPr>
              <w:t>A signature identifies a key holder; membership determines whether that identity may participate in a policy domain.</w:t>
            </w:r>
          </w:p>
        </w:tc>
        <w:tc>
          <w:tcPr>
            <w:tcW w:type="dxa" w:w="3816"/>
            <w:vAlign w:val="center"/>
          </w:tcPr>
          <w:p>
            <w:pPr>
              <w:spacing w:after="40" w:line="240" w:lineRule="auto"/>
            </w:pPr>
            <w:r/>
            <w:r>
              <w:rPr>
                <w:rFonts w:ascii="Calibri" w:hAnsi="Calibri"/>
                <w:color w:val="17202A"/>
                <w:sz w:val="17"/>
              </w:rPr>
              <w:t>Authenticated outsiders and removed members gain no protocol authority.</w:t>
            </w:r>
          </w:p>
        </w:tc>
      </w:tr>
      <w:tr>
        <w:trPr>
          <w:cantSplit/>
        </w:trPr>
        <w:tc>
          <w:tcPr>
            <w:tcW w:type="dxa" w:w="2088"/>
            <w:vAlign w:val="center"/>
          </w:tcPr>
          <w:p>
            <w:pPr>
              <w:spacing w:after="40" w:line="240" w:lineRule="auto"/>
            </w:pPr>
            <w:r/>
            <w:r>
              <w:rPr>
                <w:rFonts w:ascii="Calibri" w:hAnsi="Calibri"/>
                <w:color w:val="17202A"/>
                <w:sz w:val="17"/>
              </w:rPr>
              <w:t>Local view vs. global state</w:t>
            </w:r>
          </w:p>
        </w:tc>
        <w:tc>
          <w:tcPr>
            <w:tcW w:type="dxa" w:w="3384"/>
            <w:vAlign w:val="center"/>
          </w:tcPr>
          <w:p>
            <w:pPr>
              <w:spacing w:after="40" w:line="240" w:lineRule="auto"/>
            </w:pPr>
            <w:r/>
            <w:r>
              <w:rPr>
                <w:rFonts w:ascii="Calibri" w:hAnsi="Calibri"/>
                <w:color w:val="17202A"/>
                <w:sz w:val="17"/>
              </w:rPr>
              <w:t>Each Mesh Peer retains a bounded neighborhood and scoped records; no complete current global view is assumed.</w:t>
            </w:r>
          </w:p>
        </w:tc>
        <w:tc>
          <w:tcPr>
            <w:tcW w:type="dxa" w:w="3816"/>
            <w:vAlign w:val="center"/>
          </w:tcPr>
          <w:p>
            <w:pPr>
              <w:spacing w:after="40" w:line="240" w:lineRule="auto"/>
            </w:pPr>
            <w:r/>
            <w:r>
              <w:rPr>
                <w:rFonts w:ascii="Calibri" w:hAnsi="Calibri"/>
                <w:color w:val="17202A"/>
                <w:sz w:val="17"/>
              </w:rPr>
              <w:t>Absence from one view is not proof of global absence.</w:t>
            </w:r>
          </w:p>
        </w:tc>
      </w:tr>
      <w:tr>
        <w:trPr>
          <w:cantSplit/>
        </w:trPr>
        <w:tc>
          <w:tcPr>
            <w:tcW w:type="dxa" w:w="2088"/>
            <w:vAlign w:val="center"/>
          </w:tcPr>
          <w:p>
            <w:pPr>
              <w:spacing w:after="40" w:line="240" w:lineRule="auto"/>
            </w:pPr>
            <w:r/>
            <w:r>
              <w:rPr>
                <w:rFonts w:ascii="Calibri" w:hAnsi="Calibri"/>
                <w:color w:val="17202A"/>
                <w:sz w:val="17"/>
              </w:rPr>
              <w:t>Evidence vs. authority</w:t>
            </w:r>
          </w:p>
        </w:tc>
        <w:tc>
          <w:tcPr>
            <w:tcW w:type="dxa" w:w="3384"/>
            <w:vAlign w:val="center"/>
          </w:tcPr>
          <w:p>
            <w:pPr>
              <w:spacing w:after="40" w:line="240" w:lineRule="auto"/>
            </w:pPr>
            <w:r/>
            <w:r>
              <w:rPr>
                <w:rFonts w:ascii="Calibri" w:hAnsi="Calibri"/>
                <w:color w:val="17202A"/>
                <w:sz w:val="17"/>
              </w:rPr>
              <w:t>Evidence and attestations describe claims and provenance; an explicit authorization transition creates permission.</w:t>
            </w:r>
          </w:p>
        </w:tc>
        <w:tc>
          <w:tcPr>
            <w:tcW w:type="dxa" w:w="3816"/>
            <w:vAlign w:val="center"/>
          </w:tcPr>
          <w:p>
            <w:pPr>
              <w:spacing w:after="40" w:line="240" w:lineRule="auto"/>
            </w:pPr>
            <w:r/>
            <w:r>
              <w:rPr>
                <w:rFonts w:ascii="Calibri" w:hAnsi="Calibri"/>
                <w:color w:val="17202A"/>
                <w:sz w:val="17"/>
              </w:rPr>
              <w:t>Plausible or well-supported information cannot silently become effect authority.</w:t>
            </w:r>
          </w:p>
        </w:tc>
      </w:tr>
      <w:tr>
        <w:trPr>
          <w:cantSplit/>
        </w:trPr>
        <w:tc>
          <w:tcPr>
            <w:tcW w:type="dxa" w:w="2088"/>
            <w:vAlign w:val="center"/>
          </w:tcPr>
          <w:p>
            <w:pPr>
              <w:spacing w:after="40" w:line="240" w:lineRule="auto"/>
            </w:pPr>
            <w:r/>
            <w:r>
              <w:rPr>
                <w:rFonts w:ascii="Calibri" w:hAnsi="Calibri"/>
                <w:color w:val="17202A"/>
                <w:sz w:val="17"/>
              </w:rPr>
              <w:t>Allocation vs. assignment</w:t>
            </w:r>
          </w:p>
        </w:tc>
        <w:tc>
          <w:tcPr>
            <w:tcW w:type="dxa" w:w="3384"/>
            <w:vAlign w:val="center"/>
          </w:tcPr>
          <w:p>
            <w:pPr>
              <w:spacing w:after="40" w:line="240" w:lineRule="auto"/>
            </w:pPr>
            <w:r/>
            <w:r>
              <w:rPr>
                <w:rFonts w:ascii="Calibri" w:hAnsi="Calibri"/>
                <w:color w:val="17202A"/>
                <w:sz w:val="17"/>
              </w:rPr>
              <w:t>Offers and bids are proposals; an accepted award with lease, epoch, and fence is active assignment authority.</w:t>
            </w:r>
          </w:p>
        </w:tc>
        <w:tc>
          <w:tcPr>
            <w:tcW w:type="dxa" w:w="3816"/>
            <w:vAlign w:val="center"/>
          </w:tcPr>
          <w:p>
            <w:pPr>
              <w:spacing w:after="40" w:line="240" w:lineRule="auto"/>
            </w:pPr>
            <w:r/>
            <w:r>
              <w:rPr>
                <w:rFonts w:ascii="Calibri" w:hAnsi="Calibri"/>
                <w:color w:val="17202A"/>
                <w:sz w:val="17"/>
              </w:rPr>
              <w:t>Tentative coordination cannot authorize execution.</w:t>
            </w:r>
          </w:p>
        </w:tc>
      </w:tr>
      <w:tr>
        <w:trPr>
          <w:cantSplit/>
        </w:trPr>
        <w:tc>
          <w:tcPr>
            <w:tcW w:type="dxa" w:w="2088"/>
            <w:vAlign w:val="center"/>
          </w:tcPr>
          <w:p>
            <w:pPr>
              <w:spacing w:after="40" w:line="240" w:lineRule="auto"/>
            </w:pPr>
            <w:r/>
            <w:r>
              <w:rPr>
                <w:rFonts w:ascii="Calibri" w:hAnsi="Calibri"/>
                <w:color w:val="17202A"/>
                <w:sz w:val="17"/>
              </w:rPr>
              <w:t>Computation vs. permission</w:t>
            </w:r>
          </w:p>
        </w:tc>
        <w:tc>
          <w:tcPr>
            <w:tcW w:type="dxa" w:w="3384"/>
            <w:vAlign w:val="center"/>
          </w:tcPr>
          <w:p>
            <w:pPr>
              <w:spacing w:after="40" w:line="240" w:lineRule="auto"/>
            </w:pPr>
            <w:r/>
            <w:r>
              <w:rPr>
                <w:rFonts w:ascii="Calibri" w:hAnsi="Calibri"/>
                <w:color w:val="17202A"/>
                <w:sz w:val="17"/>
              </w:rPr>
              <w:t>Successful planning or model output proposes an action; the Action Gateway revalidates current authority before dispatch.</w:t>
            </w:r>
          </w:p>
        </w:tc>
        <w:tc>
          <w:tcPr>
            <w:tcW w:type="dxa" w:w="3816"/>
            <w:vAlign w:val="center"/>
          </w:tcPr>
          <w:p>
            <w:pPr>
              <w:spacing w:after="40" w:line="240" w:lineRule="auto"/>
            </w:pPr>
            <w:r/>
            <w:r>
              <w:rPr>
                <w:rFonts w:ascii="Calibri" w:hAnsi="Calibri"/>
                <w:color w:val="17202A"/>
                <w:sz w:val="17"/>
              </w:rPr>
              <w:t>Correct computation can still be unauthorized or stale.</w:t>
            </w:r>
          </w:p>
        </w:tc>
      </w:tr>
      <w:tr>
        <w:trPr>
          <w:cantSplit/>
        </w:trPr>
        <w:tc>
          <w:tcPr>
            <w:tcW w:type="dxa" w:w="2088"/>
            <w:vAlign w:val="center"/>
          </w:tcPr>
          <w:p>
            <w:pPr>
              <w:spacing w:after="40" w:line="240" w:lineRule="auto"/>
            </w:pPr>
            <w:r/>
            <w:r>
              <w:rPr>
                <w:rFonts w:ascii="Calibri" w:hAnsi="Calibri"/>
                <w:color w:val="17202A"/>
                <w:sz w:val="17"/>
              </w:rPr>
              <w:t>Signature vs. truth</w:t>
            </w:r>
          </w:p>
        </w:tc>
        <w:tc>
          <w:tcPr>
            <w:tcW w:type="dxa" w:w="3384"/>
            <w:vAlign w:val="center"/>
          </w:tcPr>
          <w:p>
            <w:pPr>
              <w:spacing w:after="40" w:line="240" w:lineRule="auto"/>
            </w:pPr>
            <w:r/>
            <w:r>
              <w:rPr>
                <w:rFonts w:ascii="Calibri" w:hAnsi="Calibri"/>
                <w:color w:val="17202A"/>
                <w:sz w:val="17"/>
              </w:rPr>
              <w:t>A signature proves authorship and integrity, not correctness, competence, or honesty.</w:t>
            </w:r>
          </w:p>
        </w:tc>
        <w:tc>
          <w:tcPr>
            <w:tcW w:type="dxa" w:w="3816"/>
            <w:vAlign w:val="center"/>
          </w:tcPr>
          <w:p>
            <w:pPr>
              <w:spacing w:after="40" w:line="240" w:lineRule="auto"/>
            </w:pPr>
            <w:r/>
            <w:r>
              <w:rPr>
                <w:rFonts w:ascii="Calibri" w:hAnsi="Calibri"/>
                <w:color w:val="17202A"/>
                <w:sz w:val="17"/>
              </w:rPr>
              <w:t>Trust remains evidence- and policy-dependent.</w:t>
            </w:r>
          </w:p>
        </w:tc>
      </w:tr>
    </w:tbl>
    <w:p>
      <w:pPr>
        <w:widowControl/>
      </w:pPr>
      <w:r>
        <w:rPr>
          <w:rFonts w:ascii="Calibri" w:hAnsi="Calibri"/>
          <w:color w:val="17202A"/>
        </w:rPr>
        <w:t xml:space="preserve">A </w:t>
      </w:r>
      <w:r>
        <w:rPr>
          <w:rFonts w:ascii="Calibri" w:hAnsi="Calibri"/>
          <w:b/>
          <w:color w:val="17202A"/>
        </w:rPr>
        <w:t>Mesh Peer</w:t>
      </w:r>
      <w:r>
        <w:rPr>
          <w:rFonts w:ascii="Calibri" w:hAnsi="Calibri"/>
          <w:color w:val="17202A"/>
        </w:rPr>
        <w:t xml:space="preserve"> is an independently executing protocol participant with an identity, local policy, bounded Peer View, and work journal. </w:t>
      </w:r>
      <w:r>
        <w:rPr>
          <w:rFonts w:ascii="Calibri" w:hAnsi="Calibri"/>
          <w:b/>
          <w:color w:val="17202A"/>
        </w:rPr>
        <w:t>Partial information</w:t>
      </w:r>
      <w:r>
        <w:rPr>
          <w:rFonts w:ascii="Calibri" w:hAnsi="Calibri"/>
          <w:color w:val="17202A"/>
        </w:rPr>
        <w:t xml:space="preserve"> means no peer is assumed to know every participant, message, plan, or environmental fact. </w:t>
      </w:r>
      <w:r>
        <w:rPr>
          <w:rFonts w:ascii="Calibri" w:hAnsi="Calibri"/>
          <w:b/>
          <w:color w:val="17202A"/>
        </w:rPr>
        <w:t>Membership epochs</w:t>
      </w:r>
      <w:r>
        <w:rPr>
          <w:rFonts w:ascii="Calibri" w:hAnsi="Calibri"/>
          <w:color w:val="17202A"/>
        </w:rPr>
        <w:t xml:space="preserve"> order admitted configurations. </w:t>
      </w:r>
      <w:r>
        <w:rPr>
          <w:rFonts w:ascii="Calibri" w:hAnsi="Calibri"/>
          <w:b/>
          <w:color w:val="17202A"/>
        </w:rPr>
        <w:t>Causal links</w:t>
      </w:r>
      <w:r>
        <w:rPr>
          <w:rFonts w:ascii="Calibri" w:hAnsi="Calibri"/>
          <w:color w:val="17202A"/>
        </w:rPr>
        <w:t xml:space="preserve"> name predecessor records so receivers can request missing dependencies. </w:t>
      </w:r>
      <w:r>
        <w:rPr>
          <w:rFonts w:ascii="Calibri" w:hAnsi="Calibri"/>
          <w:b/>
          <w:color w:val="17202A"/>
        </w:rPr>
        <w:t>Leases</w:t>
      </w:r>
      <w:r>
        <w:rPr>
          <w:rFonts w:ascii="Calibri" w:hAnsi="Calibri"/>
          <w:color w:val="17202A"/>
        </w:rPr>
        <w:t xml:space="preserve">, </w:t>
      </w:r>
      <w:r>
        <w:rPr>
          <w:rFonts w:ascii="Calibri" w:hAnsi="Calibri"/>
          <w:b/>
          <w:color w:val="17202A"/>
        </w:rPr>
        <w:t>assignment epochs</w:t>
      </w:r>
      <w:r>
        <w:rPr>
          <w:rFonts w:ascii="Calibri" w:hAnsi="Calibri"/>
          <w:color w:val="17202A"/>
        </w:rPr>
        <w:t xml:space="preserve">, and </w:t>
      </w:r>
      <w:r>
        <w:rPr>
          <w:rFonts w:ascii="Calibri" w:hAnsi="Calibri"/>
          <w:b/>
          <w:color w:val="17202A"/>
        </w:rPr>
        <w:t>fencing tokens</w:t>
      </w:r>
      <w:r>
        <w:rPr>
          <w:rFonts w:ascii="Calibri" w:hAnsi="Calibri"/>
          <w:color w:val="17202A"/>
        </w:rPr>
        <w:t xml:space="preserve"> bound current execution authority and reject delayed predecessors. A </w:t>
      </w:r>
      <w:r>
        <w:rPr>
          <w:rFonts w:ascii="Calibri" w:hAnsi="Calibri"/>
          <w:b/>
          <w:color w:val="17202A"/>
        </w:rPr>
        <w:t>quorum certificate</w:t>
      </w:r>
      <w:r>
        <w:rPr>
          <w:rFonts w:ascii="Calibri" w:hAnsi="Calibri"/>
          <w:color w:val="17202A"/>
        </w:rPr>
        <w:t xml:space="preserve"> proves that the policy-required eligible set accepted one value for an exact coordinate. A </w:t>
      </w:r>
      <w:r>
        <w:rPr>
          <w:rFonts w:ascii="Calibri" w:hAnsi="Calibri"/>
          <w:b/>
          <w:color w:val="17202A"/>
        </w:rPr>
        <w:t>semantic threshold</w:t>
      </w:r>
      <w:r>
        <w:rPr>
          <w:rFonts w:ascii="Calibri" w:hAnsi="Calibri"/>
          <w:color w:val="17202A"/>
        </w:rPr>
        <w:t xml:space="preserve"> evaluates a bounded evidence prefix and may allow, steer, replan, abstain, or stop. A </w:t>
      </w:r>
      <w:r>
        <w:rPr>
          <w:rFonts w:ascii="Calibri" w:hAnsi="Calibri"/>
          <w:b/>
          <w:color w:val="17202A"/>
        </w:rPr>
        <w:t>protected effect</w:t>
      </w:r>
      <w:r>
        <w:rPr>
          <w:rFonts w:ascii="Calibri" w:hAnsi="Calibri"/>
          <w:color w:val="17202A"/>
        </w:rPr>
        <w:t xml:space="preserve"> is an externally visible change whose gateway must re-resolve authority immediately before dispatch.</w:t>
      </w:r>
    </w:p>
    <w:p>
      <w:pPr>
        <w:widowControl/>
      </w:pPr>
      <w:r>
        <w:rPr>
          <w:rFonts w:ascii="Calibri" w:hAnsi="Calibri"/>
          <w:color w:val="17202A"/>
        </w:rPr>
        <w:t>The novelty claim is compositional. Agent Mesh does not claim invention of signatures, capabilities, causal clocks, leases, fencing, idempotency, quorum protocols, or task negotiation. It specifies how their records compose across an agent lifecycle and where each boundary must fail closed.</w:t>
      </w:r>
    </w:p>
    <w:p>
      <w:pPr>
        <w:pStyle w:val="Heading1"/>
        <w:widowControl/>
      </w:pPr>
      <w:r>
        <w:rPr>
          <w:rFonts w:ascii="Calibri" w:hAnsi="Calibri"/>
          <w:color w:val="17202A"/>
        </w:rPr>
        <w:t>4. Related work</w:t>
      </w:r>
    </w:p>
    <w:p>
      <w:pPr>
        <w:widowControl/>
      </w:pPr>
      <w:r>
        <w:rPr>
          <w:rFonts w:ascii="Calibri" w:hAnsi="Calibri"/>
          <w:color w:val="17202A"/>
        </w:rPr>
        <w:t>Agent Mesh builds on established security and distributed-systems ideas. Dennis and Van Horn formalized capability-addressed protection [16], while Hardy's confused-deputy analysis showed the danger of ambient or incorrectly selected authority [17]. The Action Gateway applies those principles to agent effects through permits bound to current mission, assignment, semantics, replay state, and fencing. Contract Net introduced announcement, bidding, and award for distributed problem solving [4]; Agent Mesh adds signed scope, versioned objectives, explicit lease/fence authority, certified recovery, and effect-time revalidation.</w:t>
      </w:r>
    </w:p>
    <w:p>
      <w:pPr>
        <w:widowControl/>
      </w:pPr>
      <w:r>
        <w:rPr>
          <w:rFonts w:ascii="Calibri" w:hAnsi="Calibri"/>
          <w:color w:val="17202A"/>
        </w:rPr>
        <w:t>Lamport established causal ordering without synchronized clocks [3]. SWIM separated failure detection from membership dissemination [9], and PBFT made Byzantine assumptions and quorum requirements explicit [5]. Agent Mesh composes related mechanisms but preserves their limits: sparse views are not complete membership, signatures are not truth, and a recovery majority is not automatically Byzantine consensus.</w:t>
      </w:r>
    </w:p>
    <w:p>
      <w:pPr>
        <w:widowControl/>
      </w:pPr>
      <w:r>
        <w:rPr>
          <w:rFonts w:ascii="Calibri" w:hAnsi="Calibri"/>
          <w:color w:val="17202A"/>
        </w:rPr>
        <w:t>Modern frameworks such as AutoGen, CAMEL, and MetaGPT emphasize conversational decomposition, role specialization, and configurable collaboration [6–8]. Agent Mesh addresses a complementary layer: independently executing participants, bounded local state, explicit authority recovery, and protected effects. AgentBench evaluates model-based agents across interactive environments [10]; the present evaluation instead tests evidence-chain integrity, finality, replay, and fail-closed rejection. The novelty claim is therefore compositional rather than primitive-level.</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in scalable, adaptive, resilient collectives of heterogeneous agents operating under partial information and contested conditions [19, 20]. Agent Mesh is relevant because it combines sparse coordination, partial views, heterogeneous adapters, dynamic organization, recovery, semantic intervention, and effect-time authority enforcement.</w:t>
      </w:r>
    </w:p>
    <w:p>
      <w:pPr>
        <w:widowControl/>
      </w:pPr>
      <w:r>
        <w:rPr>
          <w:rFonts w:ascii="Calibri" w:hAnsi="Calibri"/>
          <w:color w:val="17202A"/>
        </w:rPr>
        <w:t>The correspondence is incomplete. The current evidence does not establish DICE's requested measurable gains, stochastic convergence guarantees, long-horizon role coherence, robustness against the full adversarial model, or operation at program scale. DICE motivates the research problem and delimits relevance; it is not evidence of compliance, endorsement, or complete satisfaction of program objectives.</w:t>
      </w:r>
    </w:p>
    <w:p>
      <w:pPr>
        <w:pStyle w:val="Heading1"/>
        <w:widowControl/>
      </w:pPr>
      <w:r>
        <w:rPr>
          <w:rFonts w:ascii="Calibri" w:hAnsi="Calibri"/>
          <w:color w:val="17202A"/>
        </w:rPr>
        <w:t>5. Mechanisms and evidence</w:t>
      </w:r>
    </w:p>
    <w:p>
      <w:pPr>
        <w:widowControl/>
      </w:pPr>
      <w:r>
        <w:rPr>
          <w:rFonts w:ascii="Calibri" w:hAnsi="Calibri"/>
          <w:color w:val="17202A"/>
        </w:rPr>
        <w:t>The reference composition implements the invariants through a deliberately separated set of mechanisms. The table states what each mechanism protects, which evidence it emits, and how it fails when required inputs are unavailable or invalid.</w:t>
      </w:r>
    </w:p>
    <w:tbl>
      <w:tblPr>
        <w:tblStyle w:val="TableGrid"/>
        <w:tblW w:type="auto" w:w="0"/>
        <w:jc w:val="left"/>
        <w:tblLayout w:type="fixed"/>
        <w:tblLook w:firstColumn="1" w:firstRow="1" w:lastColumn="0" w:lastRow="0" w:noHBand="0" w:noVBand="1" w:val="04A0"/>
      </w:tblPr>
      <w:tblGrid>
        <w:gridCol w:w="2340"/>
        <w:gridCol w:w="2340"/>
        <w:gridCol w:w="2340"/>
        <w:gridCol w:w="2340"/>
      </w:tblGrid>
      <w:tr>
        <w:trPr>
          <w:cantSplit/>
          <w:tblHeader/>
        </w:trPr>
        <w:tc>
          <w:tcPr>
            <w:tcW w:type="dxa" w:w="1944"/>
            <w:vAlign w:val="center"/>
          </w:tcPr>
          <w:p>
            <w:pPr>
              <w:spacing w:after="40" w:line="240" w:lineRule="auto"/>
              <w:shd w:fill="D9EAF7"/>
            </w:pPr>
            <w:r>
              <w:rPr>
                <w:b/>
              </w:rPr>
            </w:r>
            <w:r>
              <w:rPr>
                <w:rFonts w:ascii="Calibri" w:hAnsi="Calibri"/>
                <w:b/>
                <w:color w:val="17202A"/>
                <w:sz w:val="17"/>
              </w:rPr>
              <w:t>Mechanism</w:t>
            </w:r>
          </w:p>
        </w:tc>
        <w:tc>
          <w:tcPr>
            <w:tcW w:type="dxa" w:w="1944"/>
            <w:vAlign w:val="center"/>
          </w:tcPr>
          <w:p>
            <w:pPr>
              <w:spacing w:after="40" w:line="240" w:lineRule="auto"/>
              <w:shd w:fill="D9EAF7"/>
            </w:pPr>
            <w:r>
              <w:rPr>
                <w:b/>
              </w:rPr>
            </w:r>
            <w:r>
              <w:rPr>
                <w:rFonts w:ascii="Calibri" w:hAnsi="Calibri"/>
                <w:b/>
                <w:color w:val="17202A"/>
                <w:sz w:val="17"/>
              </w:rPr>
              <w:t>Primary invariants</w:t>
            </w:r>
          </w:p>
        </w:tc>
        <w:tc>
          <w:tcPr>
            <w:tcW w:type="dxa" w:w="2880"/>
            <w:vAlign w:val="center"/>
          </w:tcPr>
          <w:p>
            <w:pPr>
              <w:spacing w:after="40" w:line="240" w:lineRule="auto"/>
              <w:shd w:fill="D9EAF7"/>
            </w:pPr>
            <w:r>
              <w:rPr>
                <w:b/>
              </w:rPr>
            </w:r>
            <w:r>
              <w:rPr>
                <w:rFonts w:ascii="Calibri" w:hAnsi="Calibri"/>
                <w:b/>
                <w:color w:val="17202A"/>
                <w:sz w:val="17"/>
              </w:rPr>
              <w:t>Evidence produced</w:t>
            </w:r>
          </w:p>
        </w:tc>
        <w:tc>
          <w:tcPr>
            <w:tcW w:type="dxa" w:w="2592"/>
            <w:vAlign w:val="center"/>
          </w:tcPr>
          <w:p>
            <w:pPr>
              <w:spacing w:after="40" w:line="240" w:lineRule="auto"/>
              <w:shd w:fill="D9EAF7"/>
            </w:pPr>
            <w:r>
              <w:rPr>
                <w:b/>
              </w:rPr>
            </w:r>
            <w:r>
              <w:rPr>
                <w:rFonts w:ascii="Calibri" w:hAnsi="Calibri"/>
                <w:b/>
                <w:color w:val="17202A"/>
                <w:sz w:val="17"/>
              </w:rPr>
              <w:t>Fail-closed outcome</w:t>
            </w:r>
          </w:p>
        </w:tc>
      </w:tr>
      <w:tr>
        <w:trPr>
          <w:cantSplit/>
        </w:trPr>
        <w:tc>
          <w:tcPr>
            <w:tcW w:type="dxa" w:w="1944"/>
            <w:vAlign w:val="center"/>
          </w:tcPr>
          <w:p>
            <w:pPr>
              <w:spacing w:after="40" w:line="240" w:lineRule="auto"/>
            </w:pPr>
            <w:r/>
            <w:r>
              <w:rPr>
                <w:rFonts w:ascii="Calibri" w:hAnsi="Calibri"/>
                <w:color w:val="17202A"/>
                <w:sz w:val="17"/>
              </w:rPr>
              <w:t>Envelope admission and membership</w:t>
            </w:r>
          </w:p>
        </w:tc>
        <w:tc>
          <w:tcPr>
            <w:tcW w:type="dxa" w:w="1944"/>
            <w:vAlign w:val="center"/>
          </w:tcPr>
          <w:p>
            <w:pPr>
              <w:spacing w:after="40" w:line="240" w:lineRule="auto"/>
            </w:pPr>
            <w:r/>
            <w:r>
              <w:rPr>
                <w:rFonts w:ascii="Calibri" w:hAnsi="Calibri"/>
                <w:color w:val="17202A"/>
                <w:sz w:val="17"/>
              </w:rPr>
              <w:t>I1, I6</w:t>
            </w:r>
          </w:p>
        </w:tc>
        <w:tc>
          <w:tcPr>
            <w:tcW w:type="dxa" w:w="2880"/>
            <w:vAlign w:val="center"/>
          </w:tcPr>
          <w:p>
            <w:pPr>
              <w:spacing w:after="40" w:line="240" w:lineRule="auto"/>
            </w:pPr>
            <w:r/>
            <w:r>
              <w:rPr>
                <w:rFonts w:ascii="Calibri" w:hAnsi="Calibri"/>
                <w:color w:val="17202A"/>
                <w:sz w:val="17"/>
              </w:rPr>
              <w:t>canonical envelope digest, signer identity, membership epoch, admission decision</w:t>
            </w:r>
          </w:p>
        </w:tc>
        <w:tc>
          <w:tcPr>
            <w:tcW w:type="dxa" w:w="2592"/>
            <w:vAlign w:val="center"/>
          </w:tcPr>
          <w:p>
            <w:pPr>
              <w:spacing w:after="40" w:line="240" w:lineRule="auto"/>
            </w:pPr>
            <w:r/>
            <w:r>
              <w:rPr>
                <w:rFonts w:ascii="Calibri" w:hAnsi="Calibri"/>
                <w:color w:val="17202A"/>
                <w:sz w:val="17"/>
              </w:rPr>
              <w:t>reject record</w:t>
            </w:r>
          </w:p>
        </w:tc>
      </w:tr>
      <w:tr>
        <w:trPr>
          <w:cantSplit/>
        </w:trPr>
        <w:tc>
          <w:tcPr>
            <w:tcW w:type="dxa" w:w="1944"/>
            <w:vAlign w:val="center"/>
          </w:tcPr>
          <w:p>
            <w:pPr>
              <w:spacing w:after="40" w:line="240" w:lineRule="auto"/>
            </w:pPr>
            <w:r/>
            <w:r>
              <w:rPr>
                <w:rFonts w:ascii="Calibri" w:hAnsi="Calibri"/>
                <w:color w:val="17202A"/>
                <w:sz w:val="17"/>
              </w:rPr>
              <w:t>Sparse Peer Views and causal synchronization</w:t>
            </w:r>
          </w:p>
        </w:tc>
        <w:tc>
          <w:tcPr>
            <w:tcW w:type="dxa" w:w="1944"/>
            <w:vAlign w:val="center"/>
          </w:tcPr>
          <w:p>
            <w:pPr>
              <w:spacing w:after="40" w:line="240" w:lineRule="auto"/>
            </w:pPr>
            <w:r/>
            <w:r>
              <w:rPr>
                <w:rFonts w:ascii="Calibri" w:hAnsi="Calibri"/>
                <w:color w:val="17202A"/>
                <w:sz w:val="17"/>
              </w:rPr>
              <w:t>I1, I10</w:t>
            </w:r>
          </w:p>
        </w:tc>
        <w:tc>
          <w:tcPr>
            <w:tcW w:type="dxa" w:w="2880"/>
            <w:vAlign w:val="center"/>
          </w:tcPr>
          <w:p>
            <w:pPr>
              <w:spacing w:after="40" w:line="240" w:lineRule="auto"/>
            </w:pPr>
            <w:r/>
            <w:r>
              <w:rPr>
                <w:rFonts w:ascii="Calibri" w:hAnsi="Calibri"/>
                <w:color w:val="17202A"/>
                <w:sz w:val="17"/>
              </w:rPr>
              <w:t>view revision, causal parents, bounded delivery and synchronization receipts</w:t>
            </w:r>
          </w:p>
        </w:tc>
        <w:tc>
          <w:tcPr>
            <w:tcW w:type="dxa" w:w="2592"/>
            <w:vAlign w:val="center"/>
          </w:tcPr>
          <w:p>
            <w:pPr>
              <w:spacing w:after="40" w:line="240" w:lineRule="auto"/>
            </w:pPr>
            <w:r/>
            <w:r>
              <w:rPr>
                <w:rFonts w:ascii="Calibri" w:hAnsi="Calibri"/>
                <w:color w:val="17202A"/>
                <w:sz w:val="17"/>
              </w:rPr>
              <w:t>defer, request predecessors, or stop propagation</w:t>
            </w:r>
          </w:p>
        </w:tc>
      </w:tr>
      <w:tr>
        <w:trPr>
          <w:cantSplit/>
        </w:trPr>
        <w:tc>
          <w:tcPr>
            <w:tcW w:type="dxa" w:w="1944"/>
            <w:vAlign w:val="center"/>
          </w:tcPr>
          <w:p>
            <w:pPr>
              <w:spacing w:after="40" w:line="240" w:lineRule="auto"/>
            </w:pPr>
            <w:r/>
            <w:r>
              <w:rPr>
                <w:rFonts w:ascii="Calibri" w:hAnsi="Calibri"/>
                <w:color w:val="17202A"/>
                <w:sz w:val="17"/>
              </w:rPr>
              <w:t>Offers, bids, awards, and Work Contracts</w:t>
            </w:r>
          </w:p>
        </w:tc>
        <w:tc>
          <w:tcPr>
            <w:tcW w:type="dxa" w:w="1944"/>
            <w:vAlign w:val="center"/>
          </w:tcPr>
          <w:p>
            <w:pPr>
              <w:spacing w:after="40" w:line="240" w:lineRule="auto"/>
            </w:pPr>
            <w:r/>
            <w:r>
              <w:rPr>
                <w:rFonts w:ascii="Calibri" w:hAnsi="Calibri"/>
                <w:color w:val="17202A"/>
                <w:sz w:val="17"/>
              </w:rPr>
              <w:t>I2, I3</w:t>
            </w:r>
          </w:p>
        </w:tc>
        <w:tc>
          <w:tcPr>
            <w:tcW w:type="dxa" w:w="2880"/>
            <w:vAlign w:val="center"/>
          </w:tcPr>
          <w:p>
            <w:pPr>
              <w:spacing w:after="40" w:line="240" w:lineRule="auto"/>
            </w:pPr>
            <w:r/>
            <w:r>
              <w:rPr>
                <w:rFonts w:ascii="Calibri" w:hAnsi="Calibri"/>
                <w:color w:val="17202A"/>
                <w:sz w:val="17"/>
              </w:rPr>
              <w:t>signed proposals, accepted award, scope and resource bindings</w:t>
            </w:r>
          </w:p>
        </w:tc>
        <w:tc>
          <w:tcPr>
            <w:tcW w:type="dxa" w:w="2592"/>
            <w:vAlign w:val="center"/>
          </w:tcPr>
          <w:p>
            <w:pPr>
              <w:spacing w:after="40" w:line="240" w:lineRule="auto"/>
            </w:pPr>
            <w:r/>
            <w:r>
              <w:rPr>
                <w:rFonts w:ascii="Calibri" w:hAnsi="Calibri"/>
                <w:color w:val="17202A"/>
                <w:sz w:val="17"/>
              </w:rPr>
              <w:t>no active assignment</w:t>
            </w:r>
          </w:p>
        </w:tc>
      </w:tr>
      <w:tr>
        <w:trPr>
          <w:cantSplit/>
        </w:trPr>
        <w:tc>
          <w:tcPr>
            <w:tcW w:type="dxa" w:w="1944"/>
            <w:vAlign w:val="center"/>
          </w:tcPr>
          <w:p>
            <w:pPr>
              <w:spacing w:after="40" w:line="240" w:lineRule="auto"/>
            </w:pPr>
            <w:r/>
            <w:r>
              <w:rPr>
                <w:rFonts w:ascii="Calibri" w:hAnsi="Calibri"/>
                <w:color w:val="17202A"/>
                <w:sz w:val="17"/>
              </w:rPr>
              <w:t>Leases, epochs, fences, journals, and recovery</w:t>
            </w:r>
          </w:p>
        </w:tc>
        <w:tc>
          <w:tcPr>
            <w:tcW w:type="dxa" w:w="1944"/>
            <w:vAlign w:val="center"/>
          </w:tcPr>
          <w:p>
            <w:pPr>
              <w:spacing w:after="40" w:line="240" w:lineRule="auto"/>
            </w:pPr>
            <w:r/>
            <w:r>
              <w:rPr>
                <w:rFonts w:ascii="Calibri" w:hAnsi="Calibri"/>
                <w:color w:val="17202A"/>
                <w:sz w:val="17"/>
              </w:rPr>
              <w:t>I4, I5, I11</w:t>
            </w:r>
          </w:p>
        </w:tc>
        <w:tc>
          <w:tcPr>
            <w:tcW w:type="dxa" w:w="2880"/>
            <w:vAlign w:val="center"/>
          </w:tcPr>
          <w:p>
            <w:pPr>
              <w:spacing w:after="40" w:line="240" w:lineRule="auto"/>
            </w:pPr>
            <w:r/>
            <w:r>
              <w:rPr>
                <w:rFonts w:ascii="Calibri" w:hAnsi="Calibri"/>
                <w:color w:val="17202A"/>
                <w:sz w:val="17"/>
              </w:rPr>
              <w:t>lease state, checkpoint, recovery votes and certificate, successor fence</w:t>
            </w:r>
          </w:p>
        </w:tc>
        <w:tc>
          <w:tcPr>
            <w:tcW w:type="dxa" w:w="2592"/>
            <w:vAlign w:val="center"/>
          </w:tcPr>
          <w:p>
            <w:pPr>
              <w:spacing w:after="40" w:line="240" w:lineRule="auto"/>
            </w:pPr>
            <w:r/>
            <w:r>
              <w:rPr>
                <w:rFonts w:ascii="Calibri" w:hAnsi="Calibri"/>
                <w:color w:val="17202A"/>
                <w:sz w:val="17"/>
              </w:rPr>
              <w:t>pause or reject stale executor</w:t>
            </w:r>
          </w:p>
        </w:tc>
      </w:tr>
      <w:tr>
        <w:trPr>
          <w:cantSplit/>
        </w:trPr>
        <w:tc>
          <w:tcPr>
            <w:tcW w:type="dxa" w:w="1944"/>
            <w:vAlign w:val="center"/>
          </w:tcPr>
          <w:p>
            <w:pPr>
              <w:spacing w:after="40" w:line="240" w:lineRule="auto"/>
            </w:pPr>
            <w:r/>
            <w:r>
              <w:rPr>
                <w:rFonts w:ascii="Calibri" w:hAnsi="Calibri"/>
                <w:color w:val="17202A"/>
                <w:sz w:val="17"/>
              </w:rPr>
              <w:t>Evidence Boundary and Trust</w:t>
            </w:r>
          </w:p>
        </w:tc>
        <w:tc>
          <w:tcPr>
            <w:tcW w:type="dxa" w:w="1944"/>
            <w:vAlign w:val="center"/>
          </w:tcPr>
          <w:p>
            <w:pPr>
              <w:spacing w:after="40" w:line="240" w:lineRule="auto"/>
            </w:pPr>
            <w:r/>
            <w:r>
              <w:rPr>
                <w:rFonts w:ascii="Calibri" w:hAnsi="Calibri"/>
                <w:color w:val="17202A"/>
                <w:sz w:val="17"/>
              </w:rPr>
              <w:t>I2, I7</w:t>
            </w:r>
          </w:p>
        </w:tc>
        <w:tc>
          <w:tcPr>
            <w:tcW w:type="dxa" w:w="2880"/>
            <w:vAlign w:val="center"/>
          </w:tcPr>
          <w:p>
            <w:pPr>
              <w:spacing w:after="40" w:line="240" w:lineRule="auto"/>
            </w:pPr>
            <w:r/>
            <w:r>
              <w:rPr>
                <w:rFonts w:ascii="Calibri" w:hAnsi="Calibri"/>
                <w:color w:val="17202A"/>
                <w:sz w:val="17"/>
              </w:rPr>
              <w:t>claim digest, provenance, attestations, credibility and eligibility decisions</w:t>
            </w:r>
          </w:p>
        </w:tc>
        <w:tc>
          <w:tcPr>
            <w:tcW w:type="dxa" w:w="2592"/>
            <w:vAlign w:val="center"/>
          </w:tcPr>
          <w:p>
            <w:pPr>
              <w:spacing w:after="40" w:line="240" w:lineRule="auto"/>
            </w:pPr>
            <w:r/>
            <w:r>
              <w:rPr>
                <w:rFonts w:ascii="Calibri" w:hAnsi="Calibri"/>
                <w:color w:val="17202A"/>
                <w:sz w:val="17"/>
              </w:rPr>
              <w:t>exclude or escalate</w:t>
            </w:r>
          </w:p>
        </w:tc>
      </w:tr>
      <w:tr>
        <w:trPr>
          <w:cantSplit/>
        </w:trPr>
        <w:tc>
          <w:tcPr>
            <w:tcW w:type="dxa" w:w="1944"/>
            <w:vAlign w:val="center"/>
          </w:tcPr>
          <w:p>
            <w:pPr>
              <w:spacing w:after="40" w:line="240" w:lineRule="auto"/>
            </w:pPr>
            <w:r/>
            <w:r>
              <w:rPr>
                <w:rFonts w:ascii="Calibri" w:hAnsi="Calibri"/>
                <w:color w:val="17202A"/>
                <w:sz w:val="17"/>
              </w:rPr>
              <w:t>Sparse-BFT finality</w:t>
            </w:r>
          </w:p>
        </w:tc>
        <w:tc>
          <w:tcPr>
            <w:tcW w:type="dxa" w:w="1944"/>
            <w:vAlign w:val="center"/>
          </w:tcPr>
          <w:p>
            <w:pPr>
              <w:spacing w:after="40" w:line="240" w:lineRule="auto"/>
            </w:pPr>
            <w:r/>
            <w:r>
              <w:rPr>
                <w:rFonts w:ascii="Calibri" w:hAnsi="Calibri"/>
                <w:color w:val="17202A"/>
                <w:sz w:val="17"/>
              </w:rPr>
              <w:t>I6, I10</w:t>
            </w:r>
          </w:p>
        </w:tc>
        <w:tc>
          <w:tcPr>
            <w:tcW w:type="dxa" w:w="2880"/>
            <w:vAlign w:val="center"/>
          </w:tcPr>
          <w:p>
            <w:pPr>
              <w:spacing w:after="40" w:line="240" w:lineRule="auto"/>
            </w:pPr>
            <w:r/>
            <w:r>
              <w:rPr>
                <w:rFonts w:ascii="Calibri" w:hAnsi="Calibri"/>
                <w:color w:val="17202A"/>
                <w:sz w:val="17"/>
              </w:rPr>
              <w:t>proposal, value, membership, signer-set, shard, and finality certificate digests</w:t>
            </w:r>
          </w:p>
        </w:tc>
        <w:tc>
          <w:tcPr>
            <w:tcW w:type="dxa" w:w="2592"/>
            <w:vAlign w:val="center"/>
          </w:tcPr>
          <w:p>
            <w:pPr>
              <w:spacing w:after="40" w:line="240" w:lineRule="auto"/>
            </w:pPr>
            <w:r/>
            <w:r>
              <w:rPr>
                <w:rFonts w:ascii="Calibri" w:hAnsi="Calibri"/>
                <w:color w:val="17202A"/>
                <w:sz w:val="17"/>
              </w:rPr>
              <w:t>unresolved or safe stop</w:t>
            </w:r>
          </w:p>
        </w:tc>
      </w:tr>
      <w:tr>
        <w:trPr>
          <w:cantSplit/>
        </w:trPr>
        <w:tc>
          <w:tcPr>
            <w:tcW w:type="dxa" w:w="1944"/>
            <w:vAlign w:val="center"/>
          </w:tcPr>
          <w:p>
            <w:pPr>
              <w:spacing w:after="40" w:line="240" w:lineRule="auto"/>
            </w:pPr>
            <w:r/>
            <w:r>
              <w:rPr>
                <w:rFonts w:ascii="Calibri" w:hAnsi="Calibri"/>
                <w:color w:val="17202A"/>
                <w:sz w:val="17"/>
              </w:rPr>
              <w:t>Inference Control and policy projection</w:t>
            </w:r>
          </w:p>
        </w:tc>
        <w:tc>
          <w:tcPr>
            <w:tcW w:type="dxa" w:w="1944"/>
            <w:vAlign w:val="center"/>
          </w:tcPr>
          <w:p>
            <w:pPr>
              <w:spacing w:after="40" w:line="240" w:lineRule="auto"/>
            </w:pPr>
            <w:r/>
            <w:r>
              <w:rPr>
                <w:rFonts w:ascii="Calibri" w:hAnsi="Calibri"/>
                <w:color w:val="17202A"/>
                <w:sz w:val="17"/>
              </w:rPr>
              <w:t>I7, I8</w:t>
            </w:r>
          </w:p>
        </w:tc>
        <w:tc>
          <w:tcPr>
            <w:tcW w:type="dxa" w:w="2880"/>
            <w:vAlign w:val="center"/>
          </w:tcPr>
          <w:p>
            <w:pPr>
              <w:spacing w:after="40" w:line="240" w:lineRule="auto"/>
            </w:pPr>
            <w:r/>
            <w:r>
              <w:rPr>
                <w:rFonts w:ascii="Calibri" w:hAnsi="Calibri"/>
                <w:color w:val="17202A"/>
                <w:sz w:val="17"/>
              </w:rPr>
              <w:t>semantic metrics, evidence prefix, policy version, disposition, sidecar digest</w:t>
            </w:r>
          </w:p>
        </w:tc>
        <w:tc>
          <w:tcPr>
            <w:tcW w:type="dxa" w:w="2592"/>
            <w:vAlign w:val="center"/>
          </w:tcPr>
          <w:p>
            <w:pPr>
              <w:spacing w:after="40" w:line="240" w:lineRule="auto"/>
            </w:pPr>
            <w:r/>
            <w:r>
              <w:rPr>
                <w:rFonts w:ascii="Calibri" w:hAnsi="Calibri"/>
                <w:color w:val="17202A"/>
                <w:sz w:val="17"/>
              </w:rPr>
              <w:t>revise, replan, abstain, deny, or safe stop</w:t>
            </w:r>
          </w:p>
        </w:tc>
      </w:tr>
      <w:tr>
        <w:trPr>
          <w:cantSplit/>
        </w:trPr>
        <w:tc>
          <w:tcPr>
            <w:tcW w:type="dxa" w:w="1944"/>
            <w:vAlign w:val="center"/>
          </w:tcPr>
          <w:p>
            <w:pPr>
              <w:spacing w:after="40" w:line="240" w:lineRule="auto"/>
            </w:pPr>
            <w:r/>
            <w:r>
              <w:rPr>
                <w:rFonts w:ascii="Calibri" w:hAnsi="Calibri"/>
                <w:color w:val="17202A"/>
                <w:sz w:val="17"/>
              </w:rPr>
              <w:t>Governed runtime and Action Gateway</w:t>
            </w:r>
          </w:p>
        </w:tc>
        <w:tc>
          <w:tcPr>
            <w:tcW w:type="dxa" w:w="1944"/>
            <w:vAlign w:val="center"/>
          </w:tcPr>
          <w:p>
            <w:pPr>
              <w:spacing w:after="40" w:line="240" w:lineRule="auto"/>
            </w:pPr>
            <w:r/>
            <w:r>
              <w:rPr>
                <w:rFonts w:ascii="Calibri" w:hAnsi="Calibri"/>
                <w:color w:val="17202A"/>
                <w:sz w:val="17"/>
              </w:rPr>
              <w:t>I3, I5, I9</w:t>
            </w:r>
          </w:p>
        </w:tc>
        <w:tc>
          <w:tcPr>
            <w:tcW w:type="dxa" w:w="2880"/>
            <w:vAlign w:val="center"/>
          </w:tcPr>
          <w:p>
            <w:pPr>
              <w:spacing w:after="40" w:line="240" w:lineRule="auto"/>
            </w:pPr>
            <w:r/>
            <w:r>
              <w:rPr>
                <w:rFonts w:ascii="Calibri" w:hAnsi="Calibri"/>
                <w:color w:val="17202A"/>
                <w:sz w:val="17"/>
              </w:rPr>
              <w:t>ordered phase receipts, permit, reservation, idempotency and fence bindings</w:t>
            </w:r>
          </w:p>
        </w:tc>
        <w:tc>
          <w:tcPr>
            <w:tcW w:type="dxa" w:w="2592"/>
            <w:vAlign w:val="center"/>
          </w:tcPr>
          <w:p>
            <w:pPr>
              <w:spacing w:after="40" w:line="240" w:lineRule="auto"/>
            </w:pPr>
            <w:r/>
            <w:r>
              <w:rPr>
                <w:rFonts w:ascii="Calibri" w:hAnsi="Calibri"/>
                <w:color w:val="17202A"/>
                <w:sz w:val="17"/>
              </w:rPr>
              <w:t>refuse start or deny effect</w:t>
            </w:r>
          </w:p>
        </w:tc>
      </w:tr>
    </w:tbl>
    <w:p>
      <w:pPr>
        <w:widowControl/>
      </w:pPr>
      <w:r>
        <w:rPr>
          <w:rFonts w:ascii="Calibri" w:hAnsi="Calibri"/>
          <w:color w:val="17202A"/>
        </w:rPr>
        <w:t>The mechanisms are independently deployable packages, but the paper evaluates their reference composition. Agent Mesh provides peer protocol, membership, sparse views, synchronization, allocation, agreement, and recovery. Adjacent AgentPlat packages supply Trust, Inference Control, governed mission phases, audit, interoperability, and protected-effect enforcement. Calling the composition “Agent Mesh” is shorthand; it does not imply that the wire protocol alone performs every control function.</w:t>
      </w:r>
    </w:p>
    <w:p>
      <w:pPr>
        <w:widowControl/>
      </w:pPr>
      <w:r>
        <w:rPr>
          <w:rFonts w:ascii="Calibri" w:hAnsi="Calibri"/>
          <w:color w:val="17202A"/>
        </w:rPr>
        <w:t>Capability evidence is intentionally typed. A Peer Card or capability advertisement is a signed, expiring claim, not proof of competence or permission. Planning and Team decisions are versioned proposals until projected into current assignment authority. Trust and semantic records may narrow eligibility but cannot grant ambient authority. Effect permission appears only at the Action Gateway and remains conditional on downstream idempotency or fencing.</w:t>
      </w:r>
    </w:p>
    <w:p>
      <w:pPr>
        <w:widowControl/>
      </w:pPr>
      <w:r>
        <w:rPr>
          <w:rFonts w:ascii="Calibri" w:hAnsi="Calibri"/>
          <w:color w:val="17202A"/>
        </w:rPr>
        <w:t>The implemented scope includes provider-neutral adapters, bounded topology changes, dynamic Team and role decisions, compromise-response inputs, heterogeneous-agent integration surfaces, and deterministic simulation profiles. These are source and conformance capabilities. They do not establish optimal strategy selection, unrestricted organizational emergence, universal compromise detection, deployment-independent human control, or empirical performance at configured maximum scale.</w:t>
      </w:r>
    </w:p>
    <w:p>
      <w:pPr>
        <w:pStyle w:val="Heading1"/>
        <w:widowControl/>
      </w:pPr>
      <w:r>
        <w:rPr>
          <w:rFonts w:ascii="Calibri" w:hAnsi="Calibri"/>
          <w:color w:val="17202A"/>
        </w:rPr>
        <w:t>6. System model and architecture</w:t>
      </w:r>
    </w:p>
    <w:p>
      <w:pPr>
        <w:widowControl/>
      </w:pPr>
      <w:r>
        <w:rPr>
          <w:rFonts w:ascii="Calibri" w:hAnsi="Calibri"/>
          <w:color w:val="17202A"/>
        </w:rPr>
        <w:t xml:space="preserve">For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let </w:t>
      </w:r>
      <w:r>
        <w:rPr>
          <w:rFonts w:ascii="Courier New" w:hAnsi="Courier New"/>
          <w:color w:val="17202A"/>
        </w:rPr>
        <w:t>x_i(t)</w:t>
      </w:r>
      <w:r>
        <w:rPr>
          <w:rFonts w:ascii="Calibri" w:hAnsi="Calibri"/>
          <w:color w:val="17202A"/>
        </w:rPr>
        <w:t xml:space="preserve"> be durable local state, </w:t>
      </w:r>
      <w:r>
        <w:rPr>
          <w:rFonts w:ascii="Courier New" w:hAnsi="Courier New"/>
          <w:color w:val="17202A"/>
        </w:rPr>
        <w:t>v_i(t)</w:t>
      </w:r>
      <w:r>
        <w:rPr>
          <w:rFonts w:ascii="Calibri" w:hAnsi="Calibri"/>
          <w:color w:val="17202A"/>
        </w:rPr>
        <w:t xml:space="preserve"> its bounded Peer View, </w:t>
      </w:r>
      <w:r>
        <w:rPr>
          <w:rFonts w:ascii="Courier New" w:hAnsi="Courier New"/>
          <w:color w:val="17202A"/>
        </w:rPr>
        <w:t>e_i(t)</w:t>
      </w:r>
      <w:r>
        <w:rPr>
          <w:rFonts w:ascii="Calibri" w:hAnsi="Calibri"/>
          <w:color w:val="17202A"/>
        </w:rPr>
        <w:t xml:space="preserve"> newly delivered records, </w:t>
      </w:r>
      <w:r>
        <w:rPr>
          <w:rFonts w:ascii="Courier New" w:hAnsi="Courier New"/>
          <w:color w:val="17202A"/>
        </w:rPr>
        <w:t>pi_i(t)</w:t>
      </w:r>
      <w:r>
        <w:rPr>
          <w:rFonts w:ascii="Calibri" w:hAnsi="Calibri"/>
          <w:color w:val="17202A"/>
        </w:rPr>
        <w:t xml:space="preserve"> installed policy, and </w:t>
      </w:r>
      <w:r>
        <w:rPr>
          <w:rFonts w:ascii="Courier New" w:hAnsi="Courier New"/>
          <w:color w:val="17202A"/>
        </w:rPr>
        <w:t>F_i(t)</w:t>
      </w:r>
      <w:r>
        <w:rPr>
          <w:rFonts w:ascii="Calibri" w:hAnsi="Calibri"/>
          <w:color w:val="17202A"/>
        </w:rPr>
        <w:t xml:space="preserve"> the current effect fence:</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alibri" w:hAnsi="Calibri"/>
          <w:color w:val="17202A"/>
        </w:rPr>
        <w:t>Admission checks bounded structure, authentication, membership, scope, freshness, replay, causality, and capacity. The local reducer is deterministic and revision checked. The gateway re-resolves authority at effect time; there is no transition from message receipt directly to external action.</w:t>
      </w:r>
    </w:p>
    <w:p>
      <w:pPr>
        <w:pStyle w:val="Heading2"/>
        <w:widowControl/>
      </w:pPr>
      <w:r>
        <w:rPr>
          <w:rFonts w:ascii="Calibri" w:hAnsi="Calibri"/>
          <w:color w:val="17202A"/>
        </w:rPr>
        <w:t>6.1 End-to-end lifecycle</w:t>
      </w:r>
    </w:p>
    <w:p>
      <w:pPr>
        <w:widowControl/>
      </w:pPr>
      <w:r>
        <w:rPr>
          <w:rFonts w:ascii="Calibri" w:hAnsi="Calibri"/>
          <w:color w:val="17202A"/>
        </w:rPr>
        <w:t>An authorized issuer signs an Objective. A peer decomposes it into Work Items and discovers candidates from its bounded view. Offers and bids remain proposals until the owner issues an award and the assignee accepts it, producing a Work Contract with lease, epoch, and fence. During execution, journal events, checkpoints, evidence claims, attestations, Trust decisions, and semantic assessments accumulate without becoming ambient authority.</w:t>
      </w:r>
    </w:p>
    <w:p>
      <w:pPr>
        <w:widowControl/>
      </w:pPr>
      <w:r>
        <w:rPr>
          <w:rFonts w:ascii="Calibri" w:hAnsi="Calibri"/>
          <w:color w:val="17202A"/>
        </w:rPr>
        <w:t>Before a protected effect, the Action Gateway binds the exact action to current membership, Objective, Work Contract, finality record, lease, epoch, fence, semantic decision, and single-use grant. If an assignee fails, recovery witnesses wait for lease and grace expiry, certify at most one eligible next-epoch proposal, advance the fence, and resume from a named checkpoint. Old-epoch effects remain fenced.</w:t>
      </w:r>
    </w:p>
    <w:p>
      <w:pPr>
        <w:widowControl/>
      </w:pPr>
      <w:r>
        <w:rPr>
          <w:rFonts w:ascii="Calibri" w:hAnsi="Calibri"/>
          <w:color w:val="17202A"/>
        </w:rPr>
        <w:t>The governed runtime orders observation, partition posture, topology, strategy, approval, inference, effect, and forensics. Missing critical handlers prevent start. Durable restart uses compare-and-swap state, rejects stale revisions and epoch regressions, and returns a retained result for a repeated operation only when its digest matches.</w:t>
      </w:r>
    </w:p>
    <w:p>
      <w:pPr>
        <w:keepNext/>
        <w:jc w:val="center"/>
      </w:pPr>
      <w:r>
        <w:drawing>
          <wp:inline xmlns:a="http://schemas.openxmlformats.org/drawingml/2006/main" xmlns:pic="http://schemas.openxmlformats.org/drawingml/2006/picture">
            <wp:extent cx="5897880" cy="2603921"/>
            <wp:docPr id="2" name="Picture 2" descr="Figure 2. Recovery advances both assignment epoch and fence, preventing a delayed predecessor from committing." title="Figure 2"/>
            <wp:cNvGraphicFramePr>
              <a:graphicFrameLocks noChangeAspect="1"/>
            </wp:cNvGraphicFramePr>
            <a:graphic>
              <a:graphicData uri="http://schemas.openxmlformats.org/drawingml/2006/picture">
                <pic:pic>
                  <pic:nvPicPr>
                    <pic:cNvPr id="0" name="agent-mesh-recovery.png"/>
                    <pic:cNvPicPr/>
                  </pic:nvPicPr>
                  <pic:blipFill>
                    <a:blip r:embed="rId12"/>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2. Recovery advances both assignment epoch and fence, preventing a delayed predecessor from committing.</w:t>
      </w:r>
    </w:p>
    <w:p>
      <w:pPr>
        <w:pStyle w:val="Heading2"/>
        <w:widowControl/>
      </w:pPr>
      <w:r>
        <w:rPr>
          <w:rFonts w:ascii="Calibri" w:hAnsi="Calibri"/>
          <w:color w:val="17202A"/>
        </w:rPr>
        <w:t>6.2 Bounds and conditional guarantees</w:t>
      </w:r>
    </w:p>
    <w:p>
      <w:pPr>
        <w:widowControl/>
      </w:pPr>
      <w:r>
        <w:rPr>
          <w:rFonts w:ascii="Calibri" w:hAnsi="Calibri"/>
          <w:color w:val="17202A"/>
        </w:rPr>
        <w:t xml:space="preserve">With bounded Peer View size </w:t>
      </w:r>
      <w:r>
        <w:rPr>
          <w:rFonts w:ascii="Courier New" w:hAnsi="Courier New"/>
          <w:color w:val="17202A"/>
        </w:rPr>
        <w:t>k</w:t>
      </w:r>
      <w:r>
        <w:rPr>
          <w:rFonts w:ascii="Calibri" w:hAnsi="Calibri"/>
          <w:color w:val="17202A"/>
        </w:rPr>
        <w:t xml:space="preserve">, each peer retains </w:t>
      </w:r>
      <w:r>
        <w:rPr>
          <w:rFonts w:ascii="Courier New" w:hAnsi="Courier New"/>
          <w:color w:val="17202A"/>
        </w:rPr>
        <w:t>O(k)</w:t>
      </w:r>
      <w:r>
        <w:rPr>
          <w:rFonts w:ascii="Calibri" w:hAnsi="Calibri"/>
          <w:color w:val="17202A"/>
        </w:rPr>
        <w:t xml:space="preserve"> neighbor state. Dissemination fanout and hop limits bound attempted delivery before duplicate suppression. Causal catch-up, agreement rounds, semantic metrics, and artifact replicas are capped by installed policies. These are implementation envelopes, not measured latency or success guarantees.</w:t>
      </w:r>
    </w:p>
    <w:p>
      <w:pPr>
        <w:widowControl/>
      </w:pPr>
      <w:r>
        <w:rPr>
          <w:rFonts w:ascii="Calibri" w:hAnsi="Calibri"/>
          <w:color w:val="17202A"/>
        </w:rPr>
        <w:t>Safety depends on correct cryptographic verification, current membership and revocation state, durable monotonic storage, correct quorum configuration, and downstream fence enforcement. Liveness additionally requires eventual authenticated delivery, sufficiently available eligible peers, stable policy, and quorum. Permanent partition or threshold loss leads to pause, replanning, recovery, or safe stop.</w:t>
      </w:r>
    </w:p>
    <w:p>
      <w:pPr>
        <w:pStyle w:val="Heading2"/>
        <w:widowControl/>
      </w:pPr>
      <w:r>
        <w:rPr>
          <w:rFonts w:ascii="Calibri" w:hAnsi="Calibri"/>
          <w:color w:val="17202A"/>
        </w:rPr>
        <w:t>6.3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Messages are signed but not inherently encrypted. A compromised threshold can subvert decisions under that threshold model; stale revocation can admit a retired key; and a downstream service that ignores fences can accept stale effects. The architecture makes these assumptions inspectable rather than eliminating them.</w:t>
      </w:r>
    </w:p>
    <w:p>
      <w:pPr>
        <w:pStyle w:val="Heading1"/>
        <w:widowControl/>
      </w:pPr>
      <w:r>
        <w:rPr>
          <w:rFonts w:ascii="Calibri" w:hAnsi="Calibri"/>
          <w:color w:val="17202A"/>
        </w:rPr>
        <w:t>7. Current integration evaluation</w:t>
      </w:r>
    </w:p>
    <w:p>
      <w:pPr>
        <w:widowControl/>
      </w:pPr>
      <w:r>
        <w:rPr>
          <w:rFonts w:ascii="Calibri" w:hAnsi="Calibri"/>
          <w:color w:val="17202A"/>
        </w:rPr>
        <w:t>The current evaluation is a deterministic integration smoke, not a preregistered comparative experiment. It generates exactly 1,000 evaluator-owned semantic decisions from the existing semantic-metric engine. Every decision binds execution and registration digests, a trace event and trace digest, membership epoch and configuration, assignment epoch, decision digest, and evidence digest. The projection recomputes a canonical decision root and closes only when the complete horizon and a finality certificate are present.</w:t>
      </w:r>
    </w:p>
    <w:p>
      <w:pPr>
        <w:widowControl/>
      </w:pPr>
      <w:r>
        <w:rPr>
          <w:rFonts w:ascii="Calibri" w:hAnsi="Calibri"/>
          <w:color w:val="17202A"/>
        </w:rPr>
        <w:t xml:space="preserve">The evaluator, rather than the caller or runner, owns the decision projection. It orders decisions canonically, rejects duplicate identifiers, verifies that every event belongs to the same execution and registration, and recomputes the trace binding from the trace-event identifier and decision digest. The horizon remains </w:t>
      </w:r>
      <w:r>
        <w:rPr>
          <w:rFonts w:ascii="Courier New" w:hAnsi="Courier New"/>
          <w:color w:val="17202A"/>
        </w:rPr>
        <w:t>incomplete</w:t>
      </w:r>
      <w:r>
        <w:rPr>
          <w:rFonts w:ascii="Calibri" w:hAnsi="Calibri"/>
          <w:color w:val="17202A"/>
        </w:rPr>
        <w:t xml:space="preserve"> at 999 decisions or when its certificate is absent. This prevents a caller-authored success flag from substituting for the required decision population or finality evidence.</w:t>
      </w:r>
    </w:p>
    <w:p>
      <w:pPr>
        <w:widowControl/>
      </w:pPr>
      <w:r>
        <w:rPr>
          <w:rFonts w:ascii="Calibri" w:hAnsi="Calibri"/>
          <w:color w:val="17202A"/>
        </w:rPr>
        <w:t xml:space="preserve">Finality is issued by the reference </w:t>
      </w:r>
      <w:r>
        <w:rPr>
          <w:rFonts w:ascii="Courier New" w:hAnsi="Courier New"/>
          <w:color w:val="17202A"/>
        </w:rPr>
        <w:t>InProcessSparseBftFinalityGatewayV1</w:t>
      </w:r>
      <w:r>
        <w:rPr>
          <w:rFonts w:ascii="Calibri" w:hAnsi="Calibri"/>
          <w:color w:val="17202A"/>
        </w:rPr>
        <w:t xml:space="preserve"> with four validators and a sparse committee policy. The certificate binds proposal, value, epoch, membership configuration, and signer-set evidence. The evaluator rejects altered trace bindings, stale evidence, invalid decision roots, replay divergence, and incomplete horizons. The runtime also persists a six-dimensional semantic sidecar with the evaluator-owned trace binding, digest, and recoverable artifact content.</w:t>
      </w:r>
    </w:p>
    <w:p>
      <w:pPr>
        <w:widowControl/>
      </w:pPr>
      <w:r>
        <w:rPr>
          <w:rFonts w:ascii="Calibri" w:hAnsi="Calibri"/>
          <w:color w:val="17202A"/>
        </w:rPr>
        <w:t>The negative-test matrix covers an incomplete 999-decision horizon, caller-owned projections, stale membership or epoch bindings, altered trace identifiers, invalid certificate bindings, and divergent replay. Bundle recovery serializes the complete input and projection, rehydrates them in a fresh object graph, recomputes the projection, and requires equality of the resulting digest. No replay is counted as another decision or experimental sample.</w:t>
      </w:r>
    </w:p>
    <w:p>
      <w:pPr>
        <w:widowControl/>
      </w:pPr>
      <w:r>
        <w:rPr>
          <w:rFonts w:ascii="Calibri" w:hAnsi="Calibri"/>
          <w:color w:val="17202A"/>
        </w:rPr>
        <w:t>The smoke is run with:</w:t>
      </w:r>
    </w:p>
    <w:p>
      <w:pPr>
        <w:pStyle w:val="PaperCode"/>
        <w:widowControl/>
      </w:pPr>
      <w:r>
        <w:rPr>
          <w:rFonts w:ascii="Courier New" w:hAnsi="Courier New"/>
          <w:color w:val="17202A"/>
          <w:sz w:val="18"/>
        </w:rPr>
        <w:t>pnpm run verify:confirmatory-semantic-horizon-smoke</w:t>
      </w:r>
    </w:p>
    <w:p>
      <w:pPr>
        <w:widowControl/>
      </w:pPr>
      <w:r>
        <w:rPr>
          <w:rFonts w:ascii="Calibri" w:hAnsi="Calibri"/>
          <w:color w:val="17202A"/>
        </w:rPr>
        <w:t>Replays are verification runs, not additional observations. The results demonstrate evidence-chain integrity, finality integration, and fail-closed behavior. They do not estimate mission performance, establish statistical calibration, compare against a centralized planner, or substitute for a future registered campaign.</w:t>
      </w:r>
    </w:p>
    <w:p>
      <w:pPr>
        <w:pStyle w:val="Heading1"/>
        <w:widowControl/>
      </w:pPr>
      <w:r>
        <w:rPr>
          <w:rFonts w:ascii="Calibri" w:hAnsi="Calibri"/>
          <w:color w:val="17202A"/>
        </w:rPr>
        <w:t>8. Results</w:t>
      </w:r>
    </w:p>
    <w:p>
      <w:pPr>
        <w:pStyle w:val="Heading2"/>
        <w:widowControl/>
      </w:pPr>
      <w:r>
        <w:rPr>
          <w:rFonts w:ascii="Calibri" w:hAnsi="Calibri"/>
          <w:color w:val="17202A"/>
        </w:rPr>
        <w:t>8.1 Evaluator-owned semantic horizon</w:t>
      </w:r>
    </w:p>
    <w:p>
      <w:pPr>
        <w:widowControl/>
      </w:pPr>
      <w:r>
        <w:rPr>
          <w:rFonts w:ascii="Calibri" w:hAnsi="Calibri"/>
          <w:color w:val="17202A"/>
        </w:rPr>
        <w:t xml:space="preserve">The reproducible command </w:t>
      </w:r>
      <w:r>
        <w:rPr>
          <w:rFonts w:ascii="Courier New" w:hAnsi="Courier New"/>
          <w:color w:val="17202A"/>
        </w:rPr>
        <w:t>pnpm run verify:confirmatory-semantic-horizon-smoke</w:t>
      </w:r>
      <w:r>
        <w:rPr>
          <w:rFonts w:ascii="Calibri" w:hAnsi="Calibri"/>
          <w:color w:val="17202A"/>
        </w:rPr>
        <w:t xml:space="preserve"> generated exactly 1,000 evaluator-owned semantic decisions. Each decision binds the execution and registration digests, trace event and trace digest, membership epoch and configuration, assignment epoch, decision digest, and evidence digest. The projection recomputes a canonical decision root and reaches </w:t>
      </w:r>
      <w:r>
        <w:rPr>
          <w:rFonts w:ascii="Courier New" w:hAnsi="Courier New"/>
          <w:color w:val="17202A"/>
        </w:rPr>
        <w:t>complete</w:t>
      </w:r>
      <w:r>
        <w:rPr>
          <w:rFonts w:ascii="Calibri" w:hAnsi="Calibri"/>
          <w:color w:val="17202A"/>
        </w:rPr>
        <w:t xml:space="preserve"> only when all 1,000 decisions and a finality certificate are present.</w:t>
      </w:r>
    </w:p>
    <w:p>
      <w:pPr>
        <w:widowControl/>
      </w:pPr>
      <w:r>
        <w:rPr>
          <w:rFonts w:ascii="Calibri" w:hAnsi="Calibri"/>
          <w:color w:val="17202A"/>
        </w:rPr>
        <w:t xml:space="preserve">The run produced 973 useful decisions, 27 </w:t>
      </w:r>
      <w:r>
        <w:rPr>
          <w:rFonts w:ascii="Courier New" w:hAnsi="Courier New"/>
          <w:color w:val="17202A"/>
        </w:rPr>
        <w:t>not_useful</w:t>
      </w:r>
      <w:r>
        <w:rPr>
          <w:rFonts w:ascii="Calibri" w:hAnsi="Calibri"/>
          <w:color w:val="17202A"/>
        </w:rPr>
        <w:t xml:space="preserve"> decisions, and zero unsafe decisions. This is an integration result from a deterministic reference profile, not a population estimate or a deployment-performance claim.</w:t>
      </w:r>
    </w:p>
    <w:p>
      <w:pPr>
        <w:widowControl/>
      </w:pPr>
      <w:r>
        <w:rPr>
          <w:rFonts w:ascii="Calibri" w:hAnsi="Calibri"/>
          <w:color w:val="17202A"/>
        </w:rPr>
        <w:t>The 27 non-useful decisions were exercised under controlled evaluator profiles: five context-conflict cases, six high-uncertainty cases, six low-action-diversity cases, five low-action-novelty cases, and five controller-restriction cases. These categories demonstrate that the instrument retains reason-bearing semantic evidence. They do not estimate how frequently those causes occur in live workloads.</w:t>
      </w:r>
    </w:p>
    <w:p>
      <w:pPr>
        <w:widowControl/>
      </w:pPr>
      <w:r>
        <w:rPr>
          <w:rFonts w:ascii="Calibri" w:hAnsi="Calibri"/>
          <w:color w:val="17202A"/>
        </w:rPr>
        <w:t>An exploratory prefix view reported useful-decision rates of 0.980 at 100 decisions, 0.976 at 250, 0.974 at 500, and 0.973 at 1,000. These prefixes are nested views of the same deterministic stream, not independent samples or alternative stopping-rule claims.</w:t>
      </w:r>
    </w:p>
    <w:p>
      <w:pPr>
        <w:pStyle w:val="Heading2"/>
        <w:widowControl/>
      </w:pPr>
      <w:r>
        <w:rPr>
          <w:rFonts w:ascii="Calibri" w:hAnsi="Calibri"/>
          <w:color w:val="17202A"/>
        </w:rPr>
        <w:t>8.2 Agreement, replay, and artifact recovery</w:t>
      </w:r>
    </w:p>
    <w:p>
      <w:pPr>
        <w:widowControl/>
      </w:pPr>
      <w:r>
        <w:rPr>
          <w:rFonts w:ascii="Calibri" w:hAnsi="Calibri"/>
          <w:color w:val="17202A"/>
        </w:rPr>
        <w:t xml:space="preserve">The agreement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Proposal, value, epoch, membership configuration, and signer-set evidence are bound into the certificate. Exact replay produced an identical projection digest. Altered trace bindings and stale evidence were rejected. The serialized projection and semantic sidecar were rehydrated and reprojected with the same digest.</w:t>
      </w:r>
    </w:p>
    <w:p>
      <w:pPr>
        <w:pStyle w:val="Heading2"/>
        <w:widowControl/>
      </w:pPr>
      <w:r>
        <w:rPr>
          <w:rFonts w:ascii="Calibri" w:hAnsi="Calibri"/>
          <w:color w:val="17202A"/>
        </w:rPr>
        <w:t>8.3 Semantic sidecar</w:t>
      </w:r>
    </w:p>
    <w:p>
      <w:pPr>
        <w:widowControl/>
      </w:pPr>
      <w:r>
        <w:rPr>
          <w:rFonts w:ascii="Calibri" w:hAnsi="Calibri"/>
          <w:color w:val="17202A"/>
        </w:rPr>
        <w:t>The runtime reference pilot emits a recoverable six-dimensional evaluator-owned sidecar for every accepted inference event. The reference profile recorded role coherence 10,000 bps, mission alignment 10,000 bps, context conflict 0 bps, uncertainty 0 bps, action diversity 8,000 bps, and action novelty 7,500 bps. These values demonstrate bounded transport, digest binding, and bundle recovery; they are not estimates of field behavior.</w:t>
      </w:r>
    </w:p>
    <w:p>
      <w:pPr>
        <w:pStyle w:val="Heading2"/>
        <w:widowControl/>
      </w:pPr>
      <w:r>
        <w:rPr>
          <w:rFonts w:ascii="Calibri" w:hAnsi="Calibri"/>
          <w:color w:val="17202A"/>
        </w:rPr>
        <w:t>8.4 Scope of the result</w:t>
      </w:r>
    </w:p>
    <w:p>
      <w:pPr>
        <w:widowControl/>
      </w:pPr>
      <w:r>
        <w:rPr>
          <w:rFonts w:ascii="Calibri" w:hAnsi="Calibri"/>
          <w:color w:val="17202A"/>
        </w:rPr>
        <w:t>The results establish an auditable evidence chain and its fail-closed behavior. They do not establish production safety, comparative superiority, statistical calibration of semantic metrics, asymptotic scalability, or general mission performance. A future registered campaign, internally designated V29, is planned for those questions.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The source and protocol artifacts establish an implementable architecture with explicit boundaries for authentication, admission, causal state, work authority, recovery, and protected effects. The current package exposes a governed runtime profile, evaluability checks, and a confirmatory-horizon smoke with sparse-BFT finality, replay stability, stale-evidence rejection, and recoverable semantic sidecars. These are source and conformance results, not mission-performance measurements.</w:t>
      </w:r>
    </w:p>
    <w:p>
      <w:pPr>
        <w:widowControl/>
      </w:pPr>
      <w:r>
        <w:rPr>
          <w:rFonts w:ascii="Calibri" w:hAnsi="Calibri"/>
          <w:color w:val="17202A"/>
        </w:rPr>
        <w:t>The current contribution is the auditable integration path: evaluator-owned semantics, finality, replay, stale-evidence rejection, and recoverable artifacts. Performance and calibration remain open questions.</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production safety, usefulness under nondeterministic workloads, semantic-metric calibration, or generalization to different assessors, policies, memberships, models, or environments. The four-validator in-process gateway exercises the finality contract but does not reproduce independent machines, production key custody, transport failures, or operational adversaries. Exact replay verifies determinism for the retained inputs; it does not establish external validity.</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The useful-decision label and six semantic dimensions are defined by the reference evaluator. The observed 0.973 rate therefore measures this implementation and profile; it is not an independently calibrated measure of general usefulness.</w:t>
      </w:r>
    </w:p>
    <w:p>
      <w:pPr>
        <w:widowControl/>
      </w:pPr>
      <w:r>
        <w:rPr>
          <w:rFonts w:ascii="Calibri" w:hAnsi="Calibri"/>
          <w:b/>
          <w:color w:val="17202A"/>
        </w:rPr>
        <w:t>Internal validity.</w:t>
      </w:r>
      <w:r>
        <w:rPr>
          <w:rFonts w:ascii="Calibri" w:hAnsi="Calibri"/>
          <w:color w:val="17202A"/>
        </w:rPr>
        <w:t xml:space="preserve"> The decision generator, evaluator, projection code, sparse-BFT gateway, and replay verifier are software components in the same repository. Negative tests and independent digest recomputation reduce some risks, but correlated implementation defects remain possible.</w:t>
      </w:r>
    </w:p>
    <w:p>
      <w:pPr>
        <w:widowControl/>
      </w:pPr>
      <w:r>
        <w:rPr>
          <w:rFonts w:ascii="Calibri" w:hAnsi="Calibri"/>
          <w:b/>
          <w:color w:val="17202A"/>
        </w:rPr>
        <w:t>External validity.</w:t>
      </w:r>
      <w:r>
        <w:rPr>
          <w:rFonts w:ascii="Calibri" w:hAnsi="Calibri"/>
          <w:color w:val="17202A"/>
        </w:rPr>
        <w:t xml:space="preserve"> The evaluation uses one deterministic reference profile, one 1,000-decision stream, four in-process validators, test signatures, and reference semantic values. It does not reproduce independent hosts, production cryptographic custody, live model variation, changing workloads, human intervention, or adversarial networks.</w:t>
      </w:r>
    </w:p>
    <w:p>
      <w:pPr>
        <w:widowControl/>
      </w:pPr>
      <w:r>
        <w:rPr>
          <w:rFonts w:ascii="Calibri" w:hAnsi="Calibri"/>
          <w:b/>
          <w:color w:val="17202A"/>
        </w:rPr>
        <w:t>Statistical scope.</w:t>
      </w:r>
      <w:r>
        <w:rPr>
          <w:rFonts w:ascii="Calibri" w:hAnsi="Calibri"/>
          <w:color w:val="17202A"/>
        </w:rPr>
        <w:t xml:space="preserve"> The 1,000 decisions form one deterministic horizon, not 1,000 independent experimental samples. The reported counts are descriptive integration results; no confidence interval, population estimate, comparative effect, or significance claim is made.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evidence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The source repository contains the implementation, smoke command, tests, semantic projection contract, finality gateway integration, and the recoverable semantic sidecar format. This paper reports reproducible integration evidence only. Earlier internal campaigns in the repository history were instrument-development runs and are not reported here; no confirmatory or comparative claim is made, and none should be inferred.</w:t>
      </w:r>
    </w:p>
    <w:p>
      <w:pPr>
        <w:widowControl/>
      </w:pPr>
      <w:r>
        <w:rPr>
          <w:rFonts w:ascii="Calibri" w:hAnsi="Calibri"/>
          <w:color w:val="17202A"/>
        </w:rPr>
        <w:t>The current smoke bundle is intended to be independently rehydrated: the projection, decision root, certificate, trace bindings, semantic sidecars, and replay inputs are retained as content-addressed objects. Digests identify those objects but do not replace them; a publication package must distribute the referenced objects together with the verification command.</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The current evidence establishes an auditable integration path with explicit assumptions and fail-closed behavior. Future registered work should test mission outcomes, comparative performance, calibration, and scale; those claims are outside this paper's scope.</w:t>
      </w:r>
    </w:p>
    <w:p>
      <w:pPr>
        <w:pStyle w:val="Heading1"/>
        <w:widowControl/>
      </w:pPr>
      <w:r>
        <w:rPr>
          <w:rFonts w:ascii="Calibri" w:hAnsi="Calibri"/>
          <w:color w:val="17202A"/>
        </w:rPr>
        <w:t>Appendix A. Terminology reference</w:t>
      </w:r>
    </w:p>
    <w:p>
      <w:pPr>
        <w:widowControl/>
      </w:pPr>
      <w:r>
        <w:rPr>
          <w:rFonts w:ascii="Calibri" w:hAnsi="Calibri"/>
          <w:color w:val="17202A"/>
        </w:rPr>
        <w:t>This appendix expands terms used in the main argument without changing their authority semantics.</w:t>
      </w:r>
    </w:p>
    <w:p>
      <w:pPr>
        <w:pStyle w:val="ListBullet"/>
        <w:widowControl/>
      </w:pPr>
      <w:r>
        <w:rPr>
          <w:rFonts w:ascii="Calibri" w:hAnsi="Calibri"/>
          <w:b/>
          <w:color w:val="17202A"/>
        </w:rPr>
        <w:t>Agent:</w:t>
      </w:r>
      <w:r>
        <w:rPr>
          <w:rFonts w:ascii="Calibri" w:hAnsi="Calibri"/>
          <w:color w:val="17202A"/>
        </w:rPr>
        <w:t xml:space="preserve"> software that selects or proposes actions using models, rules, search, code, or combinations of them.</w:t>
      </w:r>
    </w:p>
    <w:p>
      <w:pPr>
        <w:pStyle w:val="ListBullet"/>
        <w:widowControl/>
      </w:pPr>
      <w:r>
        <w:rPr>
          <w:rFonts w:ascii="Calibri" w:hAnsi="Calibri"/>
          <w:b/>
          <w:color w:val="17202A"/>
        </w:rPr>
        <w:t>Runtime:</w:t>
      </w:r>
      <w:r>
        <w:rPr>
          <w:rFonts w:ascii="Calibri" w:hAnsi="Calibri"/>
          <w:color w:val="17202A"/>
        </w:rPr>
        <w:t xml:space="preserve"> execution environment that provides models, memory, tools, lifecycle services, and adapters to an agent.</w:t>
      </w:r>
    </w:p>
    <w:p>
      <w:pPr>
        <w:pStyle w:val="ListBullet"/>
        <w:widowControl/>
      </w:pPr>
      <w:r>
        <w:rPr>
          <w:rFonts w:ascii="Calibri" w:hAnsi="Calibri"/>
          <w:b/>
          <w:color w:val="17202A"/>
        </w:rPr>
        <w:t>Mesh Peer:</w:t>
      </w:r>
      <w:r>
        <w:rPr>
          <w:rFonts w:ascii="Calibri" w:hAnsi="Calibri"/>
          <w:color w:val="17202A"/>
        </w:rPr>
        <w:t xml:space="preserve"> independently executing participant in the Agent Mesh protocol. Several peers may share a host, but their identities and authority remain distinct.</w:t>
      </w:r>
    </w:p>
    <w:p>
      <w:pPr>
        <w:pStyle w:val="ListBullet"/>
        <w:widowControl/>
      </w:pPr>
      <w:r>
        <w:rPr>
          <w:rFonts w:ascii="Calibri" w:hAnsi="Calibri"/>
          <w:b/>
          <w:color w:val="17202A"/>
        </w:rPr>
        <w:t>Peer Card:</w:t>
      </w:r>
      <w:r>
        <w:rPr>
          <w:rFonts w:ascii="Calibri" w:hAnsi="Calibri"/>
          <w:color w:val="17202A"/>
        </w:rPr>
        <w:t xml:space="preserve"> signed, expiring declaration of supported protocol versions, transport hints, and claimed capabilities. It supports discovery but proves neither competence nor permission.</w:t>
      </w:r>
    </w:p>
    <w:p>
      <w:pPr>
        <w:pStyle w:val="ListBullet"/>
        <w:widowControl/>
      </w:pPr>
      <w:r>
        <w:rPr>
          <w:rFonts w:ascii="Calibri" w:hAnsi="Calibri"/>
          <w:b/>
          <w:color w:val="17202A"/>
        </w:rPr>
        <w:t>Message envelope:</w:t>
      </w:r>
      <w:r>
        <w:rPr>
          <w:rFonts w:ascii="Calibri" w:hAnsi="Calibri"/>
          <w:color w:val="17202A"/>
        </w:rPr>
        <w:t xml:space="preserve"> canonical wrapper binding payload type and digest to sender, instance, tenant, Mesh, protocol version, creation time, expiry, nonce, and causal parents. The signature authenticates this exact wrapper.</w:t>
      </w:r>
    </w:p>
    <w:p>
      <w:pPr>
        <w:pStyle w:val="ListBullet"/>
        <w:widowControl/>
      </w:pPr>
      <w:r>
        <w:rPr>
          <w:rFonts w:ascii="Calibri" w:hAnsi="Calibri"/>
          <w:b/>
          <w:color w:val="17202A"/>
        </w:rPr>
        <w:t>Peer View:</w:t>
      </w:r>
      <w:r>
        <w:rPr>
          <w:rFonts w:ascii="Calibri" w:hAnsi="Calibri"/>
          <w:color w:val="17202A"/>
        </w:rPr>
        <w:t xml:space="preserve"> bounded set of active neighbors and reserve candidates known locally by one peer. The union of Peer Views forms the sparse overlay.</w:t>
      </w:r>
    </w:p>
    <w:p>
      <w:pPr>
        <w:pStyle w:val="ListBullet"/>
        <w:widowControl/>
      </w:pPr>
      <w:r>
        <w:rPr>
          <w:rFonts w:ascii="Calibri" w:hAnsi="Calibri"/>
          <w:b/>
          <w:color w:val="17202A"/>
        </w:rPr>
        <w:t>Objective:</w:t>
      </w:r>
      <w:r>
        <w:rPr>
          <w:rFonts w:ascii="Calibri" w:hAnsi="Calibri"/>
          <w:color w:val="17202A"/>
        </w:rPr>
        <w:t xml:space="preserve"> versioned statement of intended outcome, constraints, policy references, resource bounds, and revision lineage.</w:t>
      </w:r>
    </w:p>
    <w:p>
      <w:pPr>
        <w:pStyle w:val="ListBullet"/>
        <w:widowControl/>
      </w:pPr>
      <w:r>
        <w:rPr>
          <w:rFonts w:ascii="Calibri" w:hAnsi="Calibri"/>
          <w:b/>
          <w:color w:val="17202A"/>
        </w:rPr>
        <w:t>Work Item:</w:t>
      </w:r>
      <w:r>
        <w:rPr>
          <w:rFonts w:ascii="Calibri" w:hAnsi="Calibri"/>
          <w:color w:val="17202A"/>
        </w:rPr>
        <w:t xml:space="preserve"> bounded unit derived from an Objective. An </w:t>
      </w:r>
      <w:r>
        <w:rPr>
          <w:rFonts w:ascii="Calibri" w:hAnsi="Calibri"/>
          <w:b/>
          <w:color w:val="17202A"/>
        </w:rPr>
        <w:t>offer</w:t>
      </w:r>
      <w:r>
        <w:rPr>
          <w:rFonts w:ascii="Calibri" w:hAnsi="Calibri"/>
          <w:color w:val="17202A"/>
        </w:rPr>
        <w:t xml:space="preserve"> announces it, a </w:t>
      </w:r>
      <w:r>
        <w:rPr>
          <w:rFonts w:ascii="Calibri" w:hAnsi="Calibri"/>
          <w:b/>
          <w:color w:val="17202A"/>
        </w:rPr>
        <w:t>bid</w:t>
      </w:r>
      <w:r>
        <w:rPr>
          <w:rFonts w:ascii="Calibri" w:hAnsi="Calibri"/>
          <w:color w:val="17202A"/>
        </w:rPr>
        <w:t xml:space="preserve"> proposes execution terms, and an </w:t>
      </w:r>
      <w:r>
        <w:rPr>
          <w:rFonts w:ascii="Calibri" w:hAnsi="Calibri"/>
          <w:b/>
          <w:color w:val="17202A"/>
        </w:rPr>
        <w:t>award</w:t>
      </w:r>
      <w:r>
        <w:rPr>
          <w:rFonts w:ascii="Calibri" w:hAnsi="Calibri"/>
          <w:color w:val="17202A"/>
        </w:rPr>
        <w:t xml:space="preserve"> selects a candidate. These records remain proposals until accepted into a current Work Contract.</w:t>
      </w:r>
    </w:p>
    <w:p>
      <w:pPr>
        <w:pStyle w:val="ListBullet"/>
        <w:widowControl/>
      </w:pPr>
      <w:r>
        <w:rPr>
          <w:rFonts w:ascii="Calibri" w:hAnsi="Calibri"/>
          <w:b/>
          <w:color w:val="17202A"/>
        </w:rPr>
        <w:t>Lease:</w:t>
      </w:r>
      <w:r>
        <w:rPr>
          <w:rFonts w:ascii="Calibri" w:hAnsi="Calibri"/>
          <w:color w:val="17202A"/>
        </w:rPr>
        <w:t xml:space="preserve"> time-bounded assignment authority. The </w:t>
      </w:r>
      <w:r>
        <w:rPr>
          <w:rFonts w:ascii="Calibri" w:hAnsi="Calibri"/>
          <w:b/>
          <w:color w:val="17202A"/>
        </w:rPr>
        <w:t>assignment epoch</w:t>
      </w:r>
      <w:r>
        <w:rPr>
          <w:rFonts w:ascii="Calibri" w:hAnsi="Calibri"/>
          <w:color w:val="17202A"/>
        </w:rPr>
        <w:t xml:space="preserve"> identifies its generation, while the </w:t>
      </w:r>
      <w:r>
        <w:rPr>
          <w:rFonts w:ascii="Calibri" w:hAnsi="Calibri"/>
          <w:b/>
          <w:color w:val="17202A"/>
        </w:rPr>
        <w:t>fencing token</w:t>
      </w:r>
      <w:r>
        <w:rPr>
          <w:rFonts w:ascii="Calibri" w:hAnsi="Calibri"/>
          <w:color w:val="17202A"/>
        </w:rPr>
        <w:t xml:space="preserve"> lets state and effect sinks reject delayed predecessors.</w:t>
      </w:r>
    </w:p>
    <w:p>
      <w:pPr>
        <w:pStyle w:val="ListBullet"/>
        <w:widowControl/>
      </w:pPr>
      <w:r>
        <w:rPr>
          <w:rFonts w:ascii="Calibri" w:hAnsi="Calibri"/>
          <w:b/>
          <w:color w:val="17202A"/>
        </w:rPr>
        <w:t>Causal synchronization:</w:t>
      </w:r>
      <w:r>
        <w:rPr>
          <w:rFonts w:ascii="Calibri" w:hAnsi="Calibri"/>
          <w:color w:val="17202A"/>
        </w:rPr>
        <w:t xml:space="preserve"> exchange of records with explicit predecessor identifiers. A receiver that lacks a dependency requests it or defers the dependent transition rather than inventing order.</w:t>
      </w:r>
    </w:p>
    <w:p>
      <w:pPr>
        <w:pStyle w:val="ListBullet"/>
        <w:widowControl/>
      </w:pPr>
      <w:r>
        <w:rPr>
          <w:rFonts w:ascii="Calibri" w:hAnsi="Calibri"/>
          <w:b/>
          <w:color w:val="17202A"/>
        </w:rPr>
        <w:t>Quorum certificate:</w:t>
      </w:r>
      <w:r>
        <w:rPr>
          <w:rFonts w:ascii="Calibri" w:hAnsi="Calibri"/>
          <w:color w:val="17202A"/>
        </w:rPr>
        <w:t xml:space="preserve"> verifiable record that the policy-required eligible set accepted one value for an exact decision coordinate and membership epoch.</w:t>
      </w:r>
    </w:p>
    <w:p>
      <w:pPr>
        <w:pStyle w:val="ListBullet"/>
        <w:widowControl/>
      </w:pPr>
      <w:r>
        <w:rPr>
          <w:rFonts w:ascii="Calibri" w:hAnsi="Calibri"/>
          <w:b/>
          <w:color w:val="17202A"/>
        </w:rPr>
        <w:t>Journal and checkpoint:</w:t>
      </w:r>
      <w:r>
        <w:rPr>
          <w:rFonts w:ascii="Calibri" w:hAnsi="Calibri"/>
          <w:color w:val="17202A"/>
        </w:rPr>
        <w:t xml:space="preserve"> append-only execution history and named resumable state. They support recovery but do not independently authorize takeover.</w:t>
      </w:r>
    </w:p>
    <w:p>
      <w:pPr>
        <w:pStyle w:val="ListBullet"/>
        <w:widowControl/>
      </w:pPr>
      <w:r>
        <w:rPr>
          <w:rFonts w:ascii="Calibri" w:hAnsi="Calibri"/>
          <w:b/>
          <w:color w:val="17202A"/>
        </w:rPr>
        <w:t>Evidence claim:</w:t>
      </w:r>
      <w:r>
        <w:rPr>
          <w:rFonts w:ascii="Calibri" w:hAnsi="Calibri"/>
          <w:color w:val="17202A"/>
        </w:rPr>
        <w:t xml:space="preserve"> content-addressed assertion with provenance and scope. </w:t>
      </w:r>
      <w:r>
        <w:rPr>
          <w:rFonts w:ascii="Calibri" w:hAnsi="Calibri"/>
          <w:b/>
          <w:color w:val="17202A"/>
        </w:rPr>
        <w:t>Attestations</w:t>
      </w:r>
      <w:r>
        <w:rPr>
          <w:rFonts w:ascii="Calibri" w:hAnsi="Calibri"/>
          <w:color w:val="17202A"/>
        </w:rPr>
        <w:t xml:space="preserve"> add independently signed evaluations. </w:t>
      </w:r>
      <w:r>
        <w:rPr>
          <w:rFonts w:ascii="Calibri" w:hAnsi="Calibri"/>
          <w:b/>
          <w:color w:val="17202A"/>
        </w:rPr>
        <w:t>Trust</w:t>
      </w:r>
      <w:r>
        <w:rPr>
          <w:rFonts w:ascii="Calibri" w:hAnsi="Calibri"/>
          <w:color w:val="17202A"/>
        </w:rPr>
        <w:t xml:space="preserve"> is the local policy result derived from available evidence, not a global truth value.</w:t>
      </w:r>
    </w:p>
    <w:p>
      <w:pPr>
        <w:pStyle w:val="ListBullet"/>
        <w:widowControl/>
      </w:pPr>
      <w:r>
        <w:rPr>
          <w:rFonts w:ascii="Calibri" w:hAnsi="Calibri"/>
          <w:b/>
          <w:color w:val="17202A"/>
        </w:rPr>
        <w:t>Inference Control:</w:t>
      </w:r>
      <w:r>
        <w:rPr>
          <w:rFonts w:ascii="Calibri" w:hAnsi="Calibri"/>
          <w:color w:val="17202A"/>
        </w:rPr>
        <w:t xml:space="preserve"> boundary that evaluates context, role, uncertainty, proposed messages, tools, and actions. It may allow, steer, revise, replan, abstain, escalate, deny, or stop.</w:t>
      </w:r>
    </w:p>
    <w:p>
      <w:pPr>
        <w:pStyle w:val="ListBullet"/>
        <w:widowControl/>
      </w:pPr>
      <w:r>
        <w:rPr>
          <w:rFonts w:ascii="Calibri" w:hAnsi="Calibri"/>
          <w:b/>
          <w:color w:val="17202A"/>
        </w:rPr>
        <w:t>Semantic sidecar:</w:t>
      </w:r>
      <w:r>
        <w:rPr>
          <w:rFonts w:ascii="Calibri" w:hAnsi="Calibri"/>
          <w:color w:val="17202A"/>
        </w:rPr>
        <w:t xml:space="preserve"> recoverable evaluator-owned artifact carrying the six bounded semantic metrics and their trace and digest bindings.</w:t>
      </w:r>
    </w:p>
    <w:p>
      <w:pPr>
        <w:pStyle w:val="ListBullet"/>
        <w:widowControl/>
      </w:pPr>
      <w:r>
        <w:rPr>
          <w:rFonts w:ascii="Calibri" w:hAnsi="Calibri"/>
          <w:b/>
          <w:color w:val="17202A"/>
        </w:rPr>
        <w:t>Protected effect:</w:t>
      </w:r>
      <w:r>
        <w:rPr>
          <w:rFonts w:ascii="Calibri" w:hAnsi="Calibri"/>
          <w:color w:val="17202A"/>
        </w:rPr>
        <w:t xml:space="preserve"> externally visible change requiring explicit authorization. The </w:t>
      </w:r>
      <w:r>
        <w:rPr>
          <w:rFonts w:ascii="Calibri" w:hAnsi="Calibri"/>
          <w:b/>
          <w:color w:val="17202A"/>
        </w:rPr>
        <w:t>Action Gateway</w:t>
      </w:r>
      <w:r>
        <w:rPr>
          <w:rFonts w:ascii="Calibri" w:hAnsi="Calibri"/>
          <w:color w:val="17202A"/>
        </w:rPr>
        <w:t xml:space="preserve"> revalidates current assignment, semantic, policy, idempotency, and fence state immediately before dispatch.</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Architectural invariants and reproducible integration evidence for governed decentralized agent coordination</dc:subject>
  <dc:creator>Douglas Rodriguez</dc:creator>
  <cp:keywords>multi-agent systems; decentralized coordination; agent governance; controlled emergence; DARPA DICE</cp:keywords>
  <dc:description>Version 1.9 prepared for archival publication on Zenodo.</dc:description>
  <cp:lastModifiedBy/>
  <cp:revision>1</cp:revision>
  <dcterms:created xsi:type="dcterms:W3CDTF">2013-12-23T23:15:00Z</dcterms:created>
  <dcterms:modified xsi:type="dcterms:W3CDTF">2013-12-23T23:15:00Z</dcterms:modified>
  <cp:category/>
</cp:coreProperties>
</file>