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1.7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establish general mission performance.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reproducible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A future registered campaign will examine generalization across seeds and environments, comparative performance, semantic-metric calibration, and behavior at larger scales. This paper reports only the current integration evidence.</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prefix-evaluated semantic threshold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No empirical validity claim for these thresholds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remains an open empirical question.</w:t>
      </w:r>
    </w:p>
    <w:p>
      <w:pPr>
        <w:widowControl/>
      </w:pPr>
      <w:r>
        <w:rPr>
          <w:rFonts w:ascii="Calibri" w:hAnsi="Calibri"/>
          <w:color w:val="17202A"/>
        </w:rPr>
        <w:t>Evaluation frameworks such as AgentBench test model-based agents across interactive environments and expose long-horizon reasoning and instruction-following failures [10]. The present Agent Mesh evaluation has a narrower purpose: it tests whether the reference composition produces evaluator-owned semantic evidence, finality, reproducible replay, and fail-closed rejection of altered or stale inputs. It does not compare reasoning quality or alternative orchestration strategies.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open empirical questions.</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favorable outcomes at every configured scale or deployment portability.</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The current evidence does not establish convergence or role-coherence performance.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Portability across language, vision-language, vision-language-action, reinforcement-learning, and symbolic agents remains unvalidated.</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Current integration evaluation</w:t>
      </w:r>
    </w:p>
    <w:p>
      <w:pPr>
        <w:widowControl/>
      </w:pPr>
      <w:r>
        <w:rPr>
          <w:rFonts w:ascii="Calibri" w:hAnsi="Calibri"/>
          <w:color w:val="17202A"/>
        </w:rPr>
        <w:t>The current evaluation is a deterministic integration smoke, not a preregistered comparative experiment. It generates exactly 1,000 evaluator-owned semantic decisions from the existing semantic-metric engine. Every decision binds execution and registration digests, a trace event and trace digest, membership epoch and configuration, assignment epoch, decision digest, and evidence digest. The projection recomputes a canonical decision root and closes only when the complete horizon and a finality certificate are present.</w:t>
      </w:r>
    </w:p>
    <w:p>
      <w:pPr>
        <w:widowControl/>
      </w:pPr>
      <w:r>
        <w:rPr>
          <w:rFonts w:ascii="Calibri" w:hAnsi="Calibri"/>
          <w:color w:val="17202A"/>
        </w:rPr>
        <w:t xml:space="preserve">Finality is issued by the reference </w:t>
      </w:r>
      <w:r>
        <w:rPr>
          <w:rFonts w:ascii="Courier New" w:hAnsi="Courier New"/>
          <w:color w:val="17202A"/>
        </w:rPr>
        <w:t>InProcessSparseBftFinalityGatewayV1</w:t>
      </w:r>
      <w:r>
        <w:rPr>
          <w:rFonts w:ascii="Calibri" w:hAnsi="Calibri"/>
          <w:color w:val="17202A"/>
        </w:rPr>
        <w:t xml:space="preserve"> with four validators and a sparse committee policy. The certificate binds proposal, value, epoch, membership configuration, and signer-set evidence. The evaluator rejects altered trace bindings, stale evidence, invalid decision roots, replay divergence, and incomplete horizons. The runtime also persists a six-dimensional semantic sidecar with the evaluator-owned trace binding, digest, and recoverable artifact content.</w:t>
      </w:r>
    </w:p>
    <w:p>
      <w:pPr>
        <w:widowControl/>
      </w:pPr>
      <w:r>
        <w:rPr>
          <w:rFonts w:ascii="Calibri" w:hAnsi="Calibri"/>
          <w:color w:val="17202A"/>
        </w:rPr>
        <w:t>The smoke is run with:</w:t>
      </w:r>
    </w:p>
    <w:p>
      <w:pPr>
        <w:pStyle w:val="PaperCode"/>
        <w:widowControl/>
      </w:pPr>
      <w:r>
        <w:rPr>
          <w:rFonts w:ascii="Courier New" w:hAnsi="Courier New"/>
          <w:color w:val="17202A"/>
          <w:sz w:val="18"/>
        </w:rPr>
        <w:t>pnpm run verify:confirmatory-semantic-horizon-smoke</w:t>
      </w:r>
    </w:p>
    <w:p>
      <w:pPr>
        <w:widowControl/>
      </w:pPr>
      <w:r>
        <w:rPr>
          <w:rFonts w:ascii="Calibri" w:hAnsi="Calibri"/>
          <w:color w:val="17202A"/>
        </w:rPr>
        <w:t>Replays are verification runs, not additional observations. The results demonstrate evidence-chain integrity, finality integration, and fail-closed behavior. They do not estimate mission performance, establish statistical calibration, compare against a centralized planner, or substitute for a future registered campaign.</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general mission performance. A future registered campaign, internally designated V29, is planned for those questions.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The current package exposes a governed runtime profile, evaluability checks, and a confirmatory-horizon smoke with sparse-BFT finality, replay stability, stale-evidence rejection, and recoverable semantic sidecars. These are source and conformance results, not mission-performance measurements.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production safety, usefulness under nondeterministic workloads, semantic-metric calibration, or generalization to different assessors, policies, memberships, models, or environments. The four-validator in-process gateway exercises the finality contract but does not reproduce independent machines, production key custody, transport failures, or operational adversaries. Exact replay verifies determinism for the retained inputs; it does not establish external validity.</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The useful-decision label and six semantic dimensions are defined by the reference evaluator. The observed 0.973 rate therefore measures this implementation and profile; it is not an independently calibrated measure of general usefulness.</w:t>
      </w:r>
    </w:p>
    <w:p>
      <w:pPr>
        <w:widowControl/>
      </w:pPr>
      <w:r>
        <w:rPr>
          <w:rFonts w:ascii="Calibri" w:hAnsi="Calibri"/>
          <w:b/>
          <w:color w:val="17202A"/>
        </w:rPr>
        <w:t>Internal validity.</w:t>
      </w:r>
      <w:r>
        <w:rPr>
          <w:rFonts w:ascii="Calibri" w:hAnsi="Calibri"/>
          <w:color w:val="17202A"/>
        </w:rPr>
        <w:t xml:space="preserve"> The decision generator, evaluator, projection code, sparse-BFT gateway, and replay verifier are software components in the same repository. Negative tests and independent digest recomputation reduce some risks, but correlated implementation defects remain possible.</w:t>
      </w:r>
    </w:p>
    <w:p>
      <w:pPr>
        <w:widowControl/>
      </w:pPr>
      <w:r>
        <w:rPr>
          <w:rFonts w:ascii="Calibri" w:hAnsi="Calibri"/>
          <w:b/>
          <w:color w:val="17202A"/>
        </w:rPr>
        <w:t>External validity.</w:t>
      </w:r>
      <w:r>
        <w:rPr>
          <w:rFonts w:ascii="Calibri" w:hAnsi="Calibri"/>
          <w:color w:val="17202A"/>
        </w:rPr>
        <w:t xml:space="preserve"> The evaluation uses one deterministic reference profile, one 1,000-decision stream, four in-process validators, test signatures, and reference semantic values. It does not reproduce independent hosts, production cryptographic custody, live model variation, changing workloads, human intervention, or adversarial networks.</w:t>
      </w:r>
    </w:p>
    <w:p>
      <w:pPr>
        <w:widowControl/>
      </w:pPr>
      <w:r>
        <w:rPr>
          <w:rFonts w:ascii="Calibri" w:hAnsi="Calibri"/>
          <w:b/>
          <w:color w:val="17202A"/>
        </w:rPr>
        <w:t>Statistical scope.</w:t>
      </w:r>
      <w:r>
        <w:rPr>
          <w:rFonts w:ascii="Calibri" w:hAnsi="Calibri"/>
          <w:color w:val="17202A"/>
        </w:rPr>
        <w:t xml:space="preserve"> The 1,000 decisions form one deterministic horizon, not 1,000 independent experimental samples. The reported counts are descriptive integration results; no confidence interval, population estimate, comparative effect, or significance claim is made.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source repository contains the implementation, smoke command, tests, semantic projection contract, finality gateway integration, and the recoverable semantic sidecar format. This paper reports reproducible integration evidence only. Earlier internal campaigns in the repository history were instrument-development runs and are not reported here; no confirmatory or comparative claim is made, and none should be inferred.</w:t>
      </w:r>
    </w:p>
    <w:p>
      <w:pPr>
        <w:widowControl/>
      </w:pPr>
      <w:r>
        <w:rPr>
          <w:rFonts w:ascii="Calibri" w:hAnsi="Calibri"/>
          <w:color w:val="17202A"/>
        </w:rPr>
        <w:t>The current smoke bundle is intended to be independently rehydrated: the projection, decision root, certificate, trace bindings, semantic sidecars, and replay inputs are retained as content-addressed objects. Digests identify those objects but do not replace them; a publication package must distribute the referenced objects together with the verification command.</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The current evidence establishes an auditable integration path with explicit assumptions and fail-closed behavior. Future registered work should test mission outcomes, comparative performance, calibration, and scale; those claims are outside this paper's scope.</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