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Architecture, Control Boundaries, and Lessons from an Inconclusive Preregistered Study</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1.2 — 18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 xml:space="preserve">We also report a preregistered paired simulation campaign comparing the adaptive collective configuration with a fairness-constrained centralized planner. The design comprises 240 paired experimental cells across four collective sizes and four operating strata, with first executions and exact replays for both treatments. Campaign V28 completed all 48 authorized shards and all 960 registered projection processes without an execution-level projection failure. That status did not denote mission success, endpoint validity, or eligibility for a scientific claim. The prespecified normative analysis classified the evidence as </w:t>
      </w:r>
      <w:r>
        <w:rPr>
          <w:rFonts w:ascii="Calibri" w:hAnsi="Calibri"/>
          <w:b/>
          <w:color w:val="17202A"/>
        </w:rPr>
        <w:t>ineligible for an empirical claim</w:t>
      </w:r>
      <w:r>
        <w:rPr>
          <w:rFonts w:ascii="Calibri" w:hAnsi="Calibri"/>
          <w:color w:val="17202A"/>
        </w:rPr>
        <w:t xml:space="preserve"> because the role-coherence horizon was invalid, useful-decision rate was below its registered threshold, and convergence evidence was missing. Moreover, the canonical row and table artifacts referenced by retained digests are not recoverable from the repository snapshot used for this manuscript. We therefore report operational closure and a study-instrument failure, not reproducibility of endpoint estimates or comparative superiority. V28 exposes a missing early evaluability check: integrity and completion controls worked, but they did not establish before execution that every registered endpoint could be computed from valid, recoverable evidence.</w:t>
      </w:r>
    </w:p>
    <w:p>
      <w:pPr>
        <w:pStyle w:val="PaperAbstract"/>
        <w:widowControl/>
        <w:shd w:fill="F4F6F9"/>
      </w:pPr>
      <w:r>
        <w:rPr>
          <w:rFonts w:ascii="Calibri" w:hAnsi="Calibri"/>
          <w:color w:val="17202A"/>
        </w:rPr>
        <w:t>After V28, the repository added a deterministic pre-execution evaluability certificate and a publication-bundle verifier. These controls are reported as post-study methodological remediation supported by synthetic fixtures and negative tests; they are not treated as new empirical evidence or as a retroactive repair of V28.</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preregistered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architectural contributions and reports one evaluation outcome.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makes the assumptions and fail-closed boundaries of that composition explicit enough to inspect against implementation artifacts. These contributions lie in the system-level composition and operational contracts, not in claiming invention of signatures, capabilities, leases, fencing, quorum protocols, causal clocks, or distributed task negotiation. Finally, the paper reports Campaign V28 as an inconclusive preregistered evaluation and instrument postmortem. The available evidence establishes neither comparative superiority nor reproducibility of the registered endpoint estimates.</w:t>
      </w:r>
    </w:p>
    <w:p>
      <w:pPr>
        <w:widowControl/>
      </w:pPr>
      <w:r>
        <w:rPr>
          <w:rFonts w:ascii="Calibri" w:hAnsi="Calibri"/>
          <w:color w:val="17202A"/>
        </w:rPr>
        <w:t xml:space="preserve">The architectural description and evaluation controls are updated to repository commit </w:t>
      </w:r>
      <w:r>
        <w:rPr>
          <w:rFonts w:ascii="Courier New" w:hAnsi="Courier New"/>
          <w:color w:val="17202A"/>
        </w:rPr>
        <w:t>490a392</w:t>
      </w:r>
      <w:r>
        <w:rPr>
          <w:rFonts w:ascii="Calibri" w:hAnsi="Calibri"/>
          <w:color w:val="17202A"/>
        </w:rPr>
        <w:t xml:space="preserve">. Campaign V28 remains bound to the earlier preregistered commit </w:t>
      </w:r>
      <w:r>
        <w:rPr>
          <w:rFonts w:ascii="Courier New" w:hAnsi="Courier New"/>
          <w:color w:val="17202A"/>
        </w:rPr>
        <w:t>f041284000672b2035138769da7589a6ce89e3f3</w:t>
      </w:r>
      <w:r>
        <w:rPr>
          <w:rFonts w:ascii="Calibri" w:hAnsi="Calibri"/>
          <w:color w:val="17202A"/>
        </w:rPr>
        <w:t>. Post-campaign source improvements are therefore reported as implementation evidence only; they neither repair V28 retrospectively nor inherit its experimental design as validation.</w:t>
      </w:r>
    </w:p>
    <w:p>
      <w:pPr>
        <w:widowControl/>
      </w:pPr>
      <w:r>
        <w:rPr>
          <w:rFonts w:ascii="Calibri" w:hAnsi="Calibri"/>
          <w:color w:val="17202A"/>
        </w:rPr>
        <w:t>We ask six questions:</w:t>
      </w:r>
    </w:p>
    <w:p>
      <w:pPr>
        <w:pStyle w:val="ListBullet"/>
        <w:widowControl/>
      </w:pPr>
      <w:r>
        <w:rPr>
          <w:rFonts w:ascii="Calibri" w:hAnsi="Calibri"/>
          <w:b/>
          <w:color w:val="17202A"/>
        </w:rPr>
        <w:t>RQ1:</w:t>
      </w:r>
      <w:r>
        <w:rPr>
          <w:rFonts w:ascii="Calibri" w:hAnsi="Calibri"/>
          <w:color w:val="17202A"/>
        </w:rPr>
        <w:t xml:space="preserve"> Does bounded-degree coordination remain within its registered communication and retained-state envelope as collective size increases?</w:t>
      </w:r>
    </w:p>
    <w:p>
      <w:pPr>
        <w:pStyle w:val="ListBullet"/>
        <w:widowControl/>
      </w:pPr>
      <w:r>
        <w:rPr>
          <w:rFonts w:ascii="Calibri" w:hAnsi="Calibri"/>
          <w:b/>
          <w:color w:val="17202A"/>
        </w:rPr>
        <w:t>RQ2:</w:t>
      </w:r>
      <w:r>
        <w:rPr>
          <w:rFonts w:ascii="Calibri" w:hAnsi="Calibri"/>
          <w:color w:val="17202A"/>
        </w:rPr>
        <w:t xml:space="preserve"> Can unaffected scopes preserve useful progress during localized disruption without violating protected-effect invariants?</w:t>
      </w:r>
    </w:p>
    <w:p>
      <w:pPr>
        <w:pStyle w:val="ListBullet"/>
        <w:widowControl/>
      </w:pPr>
      <w:r>
        <w:rPr>
          <w:rFonts w:ascii="Calibri" w:hAnsi="Calibri"/>
          <w:b/>
          <w:color w:val="17202A"/>
        </w:rPr>
        <w:t>RQ3:</w:t>
      </w:r>
      <w:r>
        <w:rPr>
          <w:rFonts w:ascii="Calibri" w:hAnsi="Calibri"/>
          <w:color w:val="17202A"/>
        </w:rPr>
        <w:t xml:space="preserve"> Does recovery work follow affected scopes and required replicas more closely than total collective size?</w:t>
      </w:r>
    </w:p>
    <w:p>
      <w:pPr>
        <w:pStyle w:val="ListBullet"/>
        <w:widowControl/>
      </w:pPr>
      <w:r>
        <w:rPr>
          <w:rFonts w:ascii="Calibri" w:hAnsi="Calibri"/>
          <w:b/>
          <w:color w:val="17202A"/>
        </w:rPr>
        <w:t>RQ4:</w:t>
      </w:r>
      <w:r>
        <w:rPr>
          <w:rFonts w:ascii="Calibri" w:hAnsi="Calibri"/>
          <w:color w:val="17202A"/>
        </w:rPr>
        <w:t xml:space="preserve"> How does semantic-horizon intervention trade useful decisions against replanning and safe stops?</w:t>
      </w:r>
    </w:p>
    <w:p>
      <w:pPr>
        <w:pStyle w:val="ListBullet"/>
        <w:widowControl/>
      </w:pPr>
      <w:r>
        <w:rPr>
          <w:rFonts w:ascii="Calibri" w:hAnsi="Calibri"/>
          <w:b/>
          <w:color w:val="17202A"/>
        </w:rPr>
        <w:t>RQ5:</w:t>
      </w:r>
      <w:r>
        <w:rPr>
          <w:rFonts w:ascii="Calibri" w:hAnsi="Calibri"/>
          <w:color w:val="17202A"/>
        </w:rPr>
        <w:t xml:space="preserve"> Under equal information, faults, resource limits, and accounting, how do collective outcomes compare with a centralized planner?</w:t>
      </w:r>
    </w:p>
    <w:p>
      <w:pPr>
        <w:pStyle w:val="ListBullet"/>
        <w:widowControl/>
      </w:pPr>
      <w:r>
        <w:rPr>
          <w:rFonts w:ascii="Calibri" w:hAnsi="Calibri"/>
          <w:b/>
          <w:color w:val="17202A"/>
        </w:rPr>
        <w:t>RQ6:</w:t>
      </w:r>
      <w:r>
        <w:rPr>
          <w:rFonts w:ascii="Calibri" w:hAnsi="Calibri"/>
          <w:color w:val="17202A"/>
        </w:rPr>
        <w:t xml:space="preserve"> Which prespecified requirements prevent a completed experiment from supporting a confirmatory empirical claim?</w:t>
      </w:r>
    </w:p>
    <w:p>
      <w:pPr>
        <w:widowControl/>
      </w:pPr>
      <w:r>
        <w:rPr>
          <w:rFonts w:ascii="Calibri" w:hAnsi="Calibri"/>
          <w:color w:val="17202A"/>
        </w:rPr>
        <w:t>The current evidence answers RQ6 and documents execution closure. It does not provide an eligible confirmatory answer to RQ1–RQ5.</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anytime-valid semantic bound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Campaign V28 was intended to evaluate the resulting safety–utility behavior, but its role-coherence and convergence evidence was ineligible; no empirical validity claim for these bounds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is an empirical question; Campaign V28 did not produce eligible evidence to answer it.</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unvalidated by V28.</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that every capability achieved a favorable outcome in Campaign V28, that the composition performs at every configured scale, or that a deployment has installed the necessary identity, storage, transport, model, simulator, and effect-sink providers.</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490a392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Campaign V28 did not produce eligible evidence for the registered convergence and role-coherence claims.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Campaign V28 does not establish portability across language, vision-language, vision-language-action, reinforcement-learning, or symbolic agents.</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Campaign V28, by contrast, evaluated the registered ladder only through 500 logical agents.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Evaluation methodology</w:t>
      </w:r>
    </w:p>
    <w:p>
      <w:pPr>
        <w:pStyle w:val="Heading2"/>
        <w:widowControl/>
      </w:pPr>
      <w:r>
        <w:rPr>
          <w:rFonts w:ascii="Calibri" w:hAnsi="Calibri"/>
          <w:color w:val="17202A"/>
        </w:rPr>
        <w:t>7.1 Design and fairness</w:t>
      </w:r>
    </w:p>
    <w:p>
      <w:pPr>
        <w:widowControl/>
      </w:pPr>
      <w:r>
        <w:rPr>
          <w:rFonts w:ascii="Calibri" w:hAnsi="Calibri"/>
          <w:color w:val="17202A"/>
        </w:rPr>
        <w:t xml:space="preserve">The registered study is a paired, blocked simulation comparing two treatments. </w:t>
      </w:r>
      <w:r>
        <w:rPr>
          <w:rFonts w:ascii="Courier New" w:hAnsi="Courier New"/>
          <w:color w:val="17202A"/>
        </w:rPr>
        <w:t>adaptive_collective</w:t>
      </w:r>
      <w:r>
        <w:rPr>
          <w:rFonts w:ascii="Calibri" w:hAnsi="Calibri"/>
          <w:color w:val="17202A"/>
        </w:rPr>
        <w:t xml:space="preserve"> uses bounded-degree peers that exchange admitted evidence, construct local planning fragments, allocate work, recover, and enforce the protected-effect boundary. </w:t>
      </w:r>
      <w:r>
        <w:rPr>
          <w:rFonts w:ascii="Courier New" w:hAnsi="Courier New"/>
          <w:color w:val="17202A"/>
        </w:rPr>
        <w:t>centralized_planner</w:t>
      </w:r>
      <w:r>
        <w:rPr>
          <w:rFonts w:ascii="Calibri" w:hAnsi="Calibri"/>
          <w:color w:val="17202A"/>
        </w:rPr>
        <w:t xml:space="preserve"> uses the same admitted observations and recorded decision outputs but coordinates through one planner.</w:t>
      </w:r>
    </w:p>
    <w:p>
      <w:pPr>
        <w:widowControl/>
      </w:pPr>
      <w:r>
        <w:rPr>
          <w:rFonts w:ascii="Calibri" w:hAnsi="Calibri"/>
          <w:color w:val="17202A"/>
        </w:rPr>
        <w:t>For each scale, stratum, seed, and fault realization, both treatments receive the same public intent, initial distribution, partial observations, response tape, resource limits, logical-time ceiling, and protected-effect boundary. The centralized treatment has no access to hidden world state or future faults. Both treatments pay the same trace-derived interaction accounting. This contract avoids favoring the collective through extra information or weakening the baseline through artificial restrictions unrelated to the comparison.</w:t>
      </w:r>
    </w:p>
    <w:p>
      <w:pPr>
        <w:widowControl/>
      </w:pPr>
      <w:r>
        <w:rPr>
          <w:rFonts w:ascii="Calibri" w:hAnsi="Calibri"/>
          <w:color w:val="17202A"/>
        </w:rPr>
        <w:t>The environment monitor is separate from both runners. It owns terminal predicates, full world state, fault injection, and canaries. Runners cannot assert their own success, safety, or interaction count when the evaluator can derive those properties from traces and ledgers.</w:t>
      </w:r>
    </w:p>
    <w:p>
      <w:pPr>
        <w:pStyle w:val="Heading2"/>
        <w:widowControl/>
      </w:pPr>
      <w:r>
        <w:rPr>
          <w:rFonts w:ascii="Calibri" w:hAnsi="Calibri"/>
          <w:color w:val="17202A"/>
        </w:rPr>
        <w:t>7.2 Factors and samples</w:t>
      </w:r>
    </w:p>
    <w:p>
      <w:pPr>
        <w:widowControl/>
      </w:pPr>
      <w:r>
        <w:rPr>
          <w:rFonts w:ascii="Calibri" w:hAnsi="Calibri"/>
          <w:color w:val="17202A"/>
        </w:rPr>
        <w:t>The normative ladder contains four collective sizes—50, 100, 250, and 500 logical agents—and four strata: nominal, benign, adversarial, and mixed. Seeds are paired across treatments. There are 10 paired seeds per stratum at sizes 50, 100, and 250, and 30 paired seeds per stratum at size 500, for 240 paired experimental cells.</w:t>
      </w:r>
    </w:p>
    <w:p>
      <w:pPr>
        <w:widowControl/>
      </w:pPr>
      <w:r>
        <w:rPr>
          <w:rFonts w:ascii="Calibri" w:hAnsi="Calibri"/>
          <w:color w:val="17202A"/>
        </w:rPr>
        <w:t xml:space="preserve">Each cell contains four registered projections: first collective execution, first centralized execution, exact collective replay, and exact centralized replay. Replays verify determinism and are not independent statistical samples. The resulting design contains 960 projections partitioned into 48 authorized shards. The aggregation seed was fixed at </w:t>
      </w:r>
      <w:r>
        <w:rPr>
          <w:rFonts w:ascii="Courier New" w:hAnsi="Courier New"/>
          <w:color w:val="17202A"/>
        </w:rPr>
        <w:t>20260810</w:t>
      </w:r>
      <w:r>
        <w:rPr>
          <w:rFonts w:ascii="Calibri" w:hAnsi="Calibri"/>
          <w:color w:val="17202A"/>
        </w:rPr>
        <w:t xml:space="preserve"> before analysis.</w:t>
      </w:r>
    </w:p>
    <w:p>
      <w:pPr>
        <w:pStyle w:val="Heading2"/>
        <w:widowControl/>
      </w:pPr>
      <w:r>
        <w:rPr>
          <w:rFonts w:ascii="Calibri" w:hAnsi="Calibri"/>
          <w:color w:val="17202A"/>
        </w:rPr>
        <w:t>7.3 Endpoints</w:t>
      </w:r>
    </w:p>
    <w:p>
      <w:pPr>
        <w:widowControl/>
      </w:pPr>
      <w:r>
        <w:rPr>
          <w:rFonts w:ascii="Calibri" w:hAnsi="Calibri"/>
          <w:color w:val="17202A"/>
        </w:rPr>
        <w:t>The registered primary endpoints are:</w:t>
      </w:r>
    </w:p>
    <w:p>
      <w:pPr>
        <w:pStyle w:val="ListBullet"/>
        <w:widowControl/>
      </w:pPr>
      <w:r>
        <w:rPr>
          <w:rFonts w:ascii="Calibri" w:hAnsi="Calibri"/>
          <w:b/>
          <w:color w:val="17202A"/>
        </w:rPr>
        <w:t>sparse growth:</w:t>
      </w:r>
      <w:r>
        <w:rPr>
          <w:rFonts w:ascii="Calibri" w:hAnsi="Calibri"/>
          <w:color w:val="17202A"/>
        </w:rPr>
        <w:t xml:space="preserve"> directed edges, delivered messages, and maximum retained local-state units;</w:t>
      </w:r>
    </w:p>
    <w:p>
      <w:pPr>
        <w:pStyle w:val="ListBullet"/>
        <w:widowControl/>
      </w:pPr>
      <w:r>
        <w:rPr>
          <w:rFonts w:ascii="Calibri" w:hAnsi="Calibri"/>
          <w:b/>
          <w:color w:val="17202A"/>
        </w:rPr>
        <w:t>mission success:</w:t>
      </w:r>
      <w:r>
        <w:rPr>
          <w:rFonts w:ascii="Calibri" w:hAnsi="Calibri"/>
          <w:color w:val="17202A"/>
        </w:rPr>
        <w:t xml:space="preserve"> the hidden evaluator's binary terminal verdict on first execution;</w:t>
      </w:r>
    </w:p>
    <w:p>
      <w:pPr>
        <w:pStyle w:val="ListBullet"/>
        <w:widowControl/>
      </w:pPr>
      <w:r>
        <w:rPr>
          <w:rFonts w:ascii="Calibri" w:hAnsi="Calibri"/>
          <w:b/>
          <w:color w:val="17202A"/>
        </w:rPr>
        <w:t>protected-effect safety:</w:t>
      </w:r>
      <w:r>
        <w:rPr>
          <w:rFonts w:ascii="Calibri" w:hAnsi="Calibri"/>
          <w:color w:val="17202A"/>
        </w:rPr>
        <w:t xml:space="preserve"> counts of authorization, plan-authority, stale-fence, duplicate-effect, and evaluation-integrity violations;</w:t>
      </w:r>
    </w:p>
    <w:p>
      <w:pPr>
        <w:pStyle w:val="ListBullet"/>
        <w:widowControl/>
      </w:pPr>
      <w:r>
        <w:rPr>
          <w:rFonts w:ascii="Calibri" w:hAnsi="Calibri"/>
          <w:b/>
          <w:color w:val="17202A"/>
        </w:rPr>
        <w:t>recovery interactions:</w:t>
      </w:r>
      <w:r>
        <w:rPr>
          <w:rFonts w:ascii="Calibri" w:hAnsi="Calibri"/>
          <w:color w:val="17202A"/>
        </w:rPr>
        <w:t xml:space="preserve"> trace-derived interactions between disruption observation and valid recovery or replanning;</w:t>
      </w:r>
    </w:p>
    <w:p>
      <w:pPr>
        <w:pStyle w:val="ListBullet"/>
        <w:widowControl/>
      </w:pPr>
      <w:r>
        <w:rPr>
          <w:rFonts w:ascii="Calibri" w:hAnsi="Calibri"/>
          <w:b/>
          <w:color w:val="17202A"/>
        </w:rPr>
        <w:t>semantic-horizon outcomes:</w:t>
      </w:r>
      <w:r>
        <w:rPr>
          <w:rFonts w:ascii="Calibri" w:hAnsi="Calibri"/>
          <w:color w:val="17202A"/>
        </w:rPr>
        <w:t xml:space="preserve"> allow, replan, safe stop, and unsafe executable-decision counts;</w:t>
      </w:r>
    </w:p>
    <w:p>
      <w:pPr>
        <w:pStyle w:val="ListBullet"/>
        <w:widowControl/>
      </w:pPr>
      <w:r>
        <w:rPr>
          <w:rFonts w:ascii="Calibri" w:hAnsi="Calibri"/>
          <w:b/>
          <w:color w:val="17202A"/>
        </w:rPr>
        <w:t>useful-decision rate:</w:t>
      </w:r>
      <w:r>
        <w:rPr>
          <w:rFonts w:ascii="Calibri" w:hAnsi="Calibri"/>
          <w:color w:val="17202A"/>
        </w:rPr>
        <w:t xml:space="preserve"> useful evaluator-admitted decisions among the 1,000 registered decisions;</w:t>
      </w:r>
    </w:p>
    <w:p>
      <w:pPr>
        <w:pStyle w:val="ListBullet"/>
        <w:widowControl/>
      </w:pPr>
      <w:r>
        <w:rPr>
          <w:rFonts w:ascii="Calibri" w:hAnsi="Calibri"/>
          <w:b/>
          <w:color w:val="17202A"/>
        </w:rPr>
        <w:t>agreement safety:</w:t>
      </w:r>
      <w:r>
        <w:rPr>
          <w:rFonts w:ascii="Calibri" w:hAnsi="Calibri"/>
          <w:color w:val="17202A"/>
        </w:rPr>
        <w:t xml:space="preserve"> conflicting accepted commits and explicit safe stops under quorum loss;</w:t>
      </w:r>
    </w:p>
    <w:p>
      <w:pPr>
        <w:pStyle w:val="ListBullet"/>
        <w:widowControl/>
      </w:pPr>
      <w:r>
        <w:rPr>
          <w:rFonts w:ascii="Calibri" w:hAnsi="Calibri"/>
          <w:b/>
          <w:color w:val="17202A"/>
        </w:rPr>
        <w:t>exact replay:</w:t>
      </w:r>
      <w:r>
        <w:rPr>
          <w:rFonts w:ascii="Calibri" w:hAnsi="Calibri"/>
          <w:color w:val="17202A"/>
        </w:rPr>
        <w:t xml:space="preserve"> equality of registered deterministic outputs and first divergence when unequal.</w:t>
      </w:r>
    </w:p>
    <w:p>
      <w:pPr>
        <w:widowControl/>
      </w:pPr>
      <w:r>
        <w:rPr>
          <w:rFonts w:ascii="Calibri" w:hAnsi="Calibri"/>
          <w:color w:val="17202A"/>
        </w:rPr>
        <w:t>Missing monitor closure is not counted as zero violations. A mission failure remains a failure rather than an infrastructure exclusion. A sample without required replay, trace, or evidence is incomplete.</w:t>
      </w:r>
    </w:p>
    <w:p>
      <w:pPr>
        <w:pStyle w:val="Heading2"/>
        <w:widowControl/>
      </w:pPr>
      <w:r>
        <w:rPr>
          <w:rFonts w:ascii="Calibri" w:hAnsi="Calibri"/>
          <w:color w:val="17202A"/>
        </w:rPr>
        <w:t>7.4 Statistical analysis</w:t>
      </w:r>
    </w:p>
    <w:p>
      <w:pPr>
        <w:widowControl/>
      </w:pPr>
      <w:r>
        <w:rPr>
          <w:rFonts w:ascii="Calibri" w:hAnsi="Calibri"/>
          <w:color w:val="17202A"/>
        </w:rPr>
        <w:t>The analysis was fixed before results. For each treatment, the nominal endpoint pools the 60 first-execution seeds across the four registered scales; the benign endpoint does the same independently. Scale is therefore a design factor and reporting stratum, not a separate ten-seed denominator for these two gates. Nominal and benign mission success use one-sided 95% Wilson lower bounds with registered thresholds of 0.95 and 0.90. Under those rules, nominal acceptance requires 60 successes in 60 observations: 60/60 gives a lower bound of approximately 0.957, whereas 59/60 gives approximately 0.929. Benign acceptance permits at most two failures: 58/60 gives approximately 0.904, while 57/60 gives approximately 0.881.</w:t>
      </w:r>
    </w:p>
    <w:p>
      <w:pPr>
        <w:widowControl/>
      </w:pPr>
      <w:r>
        <w:rPr>
          <w:rFonts w:ascii="Calibri" w:hAnsi="Calibri"/>
          <w:color w:val="17202A"/>
        </w:rPr>
        <w:t>Paired collective-minus-centralized success uses 10,000 deterministic percentile-bootstrap resamples, a lower margin of -0.05, and a declared two-endpoint Holm procedure. Benign recovery uses nearest-rank p95 with a ceiling of 250 accounted interactions. Role coherence requires exactly 1,000 evaluator-derived decisions, zero unsafe executable decisions, and useful-decision rate of at least 0.70. Any protected-effect, replay, or evaluation-integrity violation fails the corresponding zero-tolerance requirement.</w:t>
      </w:r>
    </w:p>
    <w:p>
      <w:pPr>
        <w:widowControl/>
      </w:pPr>
      <w:r>
        <w:rPr>
          <w:rFonts w:ascii="Calibri" w:hAnsi="Calibri"/>
          <w:color w:val="17202A"/>
        </w:rPr>
        <w:t>No missing cell is imputed. Changed commitments, failed replay, or omitted endpoints produce incomplete or ineligible closure. Exploratory analyses cannot replace confirmatory endpoints.</w:t>
      </w:r>
    </w:p>
    <w:p>
      <w:pPr>
        <w:pStyle w:val="Heading2"/>
        <w:widowControl/>
      </w:pPr>
      <w:r>
        <w:rPr>
          <w:rFonts w:ascii="Calibri" w:hAnsi="Calibri"/>
          <w:color w:val="17202A"/>
        </w:rPr>
        <w:t>7.5 Evidence chain</w:t>
      </w:r>
    </w:p>
    <w:p>
      <w:pPr>
        <w:widowControl/>
      </w:pPr>
      <w:r>
        <w:rPr>
          <w:rFonts w:ascii="Calibri" w:hAnsi="Calibri"/>
          <w:color w:val="17202A"/>
        </w:rPr>
        <w:t>The study binds a frozen source commit to a scientific registration, authorization record, runner and evaluator identities, seed set, topology and fault commitments, and analysis implementation. Execution emits content-addressed projection artifacts and immutable shard receipts. A supervisor records operational events in a hash chain but does not turn its mutable status into scientific evidence. Collection occurs only after exact closure of all 48 shards and 960 projections. Canonical raw rows preserve cell identity so paired observations cannot be mistaken for independent samples.</w:t>
      </w:r>
    </w:p>
    <w:p>
      <w:pPr>
        <w:widowControl/>
      </w:pPr>
      <w:r>
        <w:rPr>
          <w:rFonts w:ascii="Calibri" w:hAnsi="Calibri"/>
          <w:color w:val="17202A"/>
        </w:rPr>
        <w:t xml:space="preserve">The preregistered V28 workflow did not include a sufficient pre-execution </w:t>
      </w:r>
      <w:r>
        <w:rPr>
          <w:rFonts w:ascii="Calibri" w:hAnsi="Calibri"/>
          <w:b/>
          <w:color w:val="17202A"/>
        </w:rPr>
        <w:t>evaluability gate</w:t>
      </w:r>
      <w:r>
        <w:rPr>
          <w:rFonts w:ascii="Calibri" w:hAnsi="Calibri"/>
          <w:color w:val="17202A"/>
        </w:rPr>
        <w:t xml:space="preserve">. Authorization and preflight checks established registered structure, commitments, identities, and execution inputs, but did not prove that the terminal rules would yield exactly the required role-coherence population, that convergence would produce the required evaluator-owned artifact, or that all canonical analysis objects would remain retrievable. Consequently, these defects were discovered only at normative aggregation after the complete campaign. After V28, commit </w:t>
      </w:r>
      <w:r>
        <w:rPr>
          <w:rFonts w:ascii="Courier New" w:hAnsi="Courier New"/>
          <w:color w:val="17202A"/>
        </w:rPr>
        <w:t>490a392</w:t>
      </w:r>
      <w:r>
        <w:rPr>
          <w:rFonts w:ascii="Calibri" w:hAnsi="Calibri"/>
          <w:color w:val="17202A"/>
        </w:rPr>
        <w:t xml:space="preserve"> added </w:t>
      </w:r>
      <w:r>
        <w:rPr>
          <w:rFonts w:ascii="Courier New" w:hAnsi="Courier New"/>
          <w:color w:val="17202A"/>
        </w:rPr>
        <w:t>evaluability-certificate.json</w:t>
      </w:r>
      <w:r>
        <w:rPr>
          <w:rFonts w:ascii="Calibri" w:hAnsi="Calibri"/>
          <w:color w:val="17202A"/>
        </w:rPr>
        <w:t>: a deterministic certificate checks the registered population and slots, evaluator-owned metrics, exact replay, Wilson denominator boundaries, the synthetic role-coherence and convergence contracts, and the fixed publication-artifact set. Authorization and shard execution re-verify that certificate against the current source, registration, plan, and adapter. The certificate is a remediation control; its fixture and negative-test results do not establish that a live campaign will produce valid endpoints.</w:t>
      </w:r>
    </w:p>
    <w:p>
      <w:pPr>
        <w:pStyle w:val="Heading1"/>
        <w:widowControl/>
      </w:pPr>
      <w:r>
        <w:rPr>
          <w:rFonts w:ascii="Calibri" w:hAnsi="Calibri"/>
          <w:color w:val="17202A"/>
        </w:rPr>
        <w:t>8. Results</w:t>
      </w:r>
    </w:p>
    <w:p>
      <w:pPr>
        <w:pStyle w:val="Heading2"/>
        <w:widowControl/>
      </w:pPr>
      <w:r>
        <w:rPr>
          <w:rFonts w:ascii="Calibri" w:hAnsi="Calibri"/>
          <w:color w:val="17202A"/>
        </w:rPr>
        <w:t>8.1 Execution closure</w:t>
      </w:r>
    </w:p>
    <w:p>
      <w:pPr>
        <w:widowControl/>
      </w:pPr>
      <w:r>
        <w:rPr>
          <w:rFonts w:ascii="Calibri" w:hAnsi="Calibri"/>
          <w:color w:val="17202A"/>
        </w:rPr>
        <w:t xml:space="preserve">Campaign V28 used study identifier </w:t>
      </w:r>
      <w:r>
        <w:rPr>
          <w:rFonts w:ascii="Courier New" w:hAnsi="Courier New"/>
          <w:color w:val="17202A"/>
        </w:rPr>
        <w:t>paper-study-v28</w:t>
      </w:r>
      <w:r>
        <w:rPr>
          <w:rFonts w:ascii="Calibri" w:hAnsi="Calibri"/>
          <w:color w:val="17202A"/>
        </w:rPr>
        <w:t xml:space="preserve"> and frozen source commit </w:t>
      </w:r>
      <w:r>
        <w:rPr>
          <w:rFonts w:ascii="Courier New" w:hAnsi="Courier New"/>
          <w:color w:val="17202A"/>
        </w:rPr>
        <w:t>f041284000672b2035138769da7589a6ce89e3f3</w:t>
      </w:r>
      <w:r>
        <w:rPr>
          <w:rFonts w:ascii="Calibri" w:hAnsi="Calibri"/>
          <w:color w:val="17202A"/>
        </w:rPr>
        <w:t>. All 48 authorized shards completed. All 960 registered projection processes completed without a recorded execution-level projection failure. The supervisor retained two recoveries in a chain of 102 operational events. The final evidence inventory lists 3,840 content-addressed objects and one immutable receipt per shard. Recorded aggregate shard wall time was 10 h 27 min 38 s.</w:t>
      </w:r>
    </w:p>
    <w:p>
      <w:pPr>
        <w:widowControl/>
      </w:pPr>
      <w:r>
        <w:rPr>
          <w:rFonts w:ascii="Calibri" w:hAnsi="Calibri"/>
          <w:color w:val="17202A"/>
        </w:rPr>
        <w:t xml:space="preserve">These measurements establish operational completion under the registered local environment. They do not establish valid collection of every required endpoint, mission success, comparative advantage, safety, convergence, or external validity. “Projection success” is retained only as the implementation's status label; scientifically, it means that the projection process terminated without an execution-level error. It is not the hidden evaluator's </w:t>
      </w:r>
      <w:r>
        <w:rPr>
          <w:rFonts w:ascii="Courier New" w:hAnsi="Courier New"/>
          <w:color w:val="17202A"/>
        </w:rPr>
        <w:t>missionSuccess</w:t>
      </w:r>
      <w:r>
        <w:rPr>
          <w:rFonts w:ascii="Calibri" w:hAnsi="Calibri"/>
          <w:color w:val="17202A"/>
        </w:rPr>
        <w:t xml:space="preserve"> endpoint and must not be counted as a favorable observation in the Wilson or paired analyses.</w:t>
      </w:r>
    </w:p>
    <w:p>
      <w:pPr>
        <w:pStyle w:val="Heading2"/>
        <w:widowControl/>
      </w:pPr>
      <w:r>
        <w:rPr>
          <w:rFonts w:ascii="Calibri" w:hAnsi="Calibri"/>
          <w:color w:val="17202A"/>
        </w:rPr>
        <w:t>8.2 Analytical eligibility</w:t>
      </w:r>
    </w:p>
    <w:p>
      <w:pPr>
        <w:widowControl/>
      </w:pPr>
      <w:r>
        <w:rPr>
          <w:rFonts w:ascii="Calibri" w:hAnsi="Calibri"/>
          <w:color w:val="17202A"/>
        </w:rPr>
        <w:t xml:space="preserve">The normative analysis returned decision </w:t>
      </w:r>
      <w:r>
        <w:rPr>
          <w:rFonts w:ascii="Courier New" w:hAnsi="Courier New"/>
          <w:color w:val="17202A"/>
        </w:rPr>
        <w:t>ineligible</w:t>
      </w:r>
      <w:r>
        <w:rPr>
          <w:rFonts w:ascii="Calibri" w:hAnsi="Calibri"/>
          <w:color w:val="17202A"/>
        </w:rPr>
        <w:t xml:space="preserve"> and </w:t>
      </w:r>
      <w:r>
        <w:rPr>
          <w:rFonts w:ascii="Courier New" w:hAnsi="Courier New"/>
          <w:color w:val="17202A"/>
        </w:rPr>
        <w:t>empiricalClaimPermitted: false</w:t>
      </w:r>
      <w:r>
        <w:rPr>
          <w:rFonts w:ascii="Calibri" w:hAnsi="Calibri"/>
          <w:color w:val="17202A"/>
        </w:rPr>
        <w:t>. It reported three prespecified reason codes:</w:t>
      </w:r>
    </w:p>
    <w:p>
      <w:pPr>
        <w:pStyle w:val="ListBullet"/>
        <w:widowControl/>
      </w:pPr>
      <w:r>
        <w:rPr>
          <w:rFonts w:ascii="Courier New" w:hAnsi="Courier New"/>
          <w:color w:val="17202A"/>
        </w:rPr>
        <w:t>normative_role_coherence_horizon_invalid</w:t>
      </w:r>
      <w:r>
        <w:rPr>
          <w:rFonts w:ascii="Calibri" w:hAnsi="Calibri"/>
          <w:color w:val="17202A"/>
        </w:rPr>
        <w:t>;</w:t>
      </w:r>
    </w:p>
    <w:p>
      <w:pPr>
        <w:pStyle w:val="ListBullet"/>
        <w:widowControl/>
      </w:pPr>
      <w:r>
        <w:rPr>
          <w:rFonts w:ascii="Courier New" w:hAnsi="Courier New"/>
          <w:color w:val="17202A"/>
        </w:rPr>
        <w:t>normative_role_useful_rate_below_threshold</w:t>
      </w:r>
      <w:r>
        <w:rPr>
          <w:rFonts w:ascii="Calibri" w:hAnsi="Calibri"/>
          <w:color w:val="17202A"/>
        </w:rPr>
        <w:t>;</w:t>
      </w:r>
    </w:p>
    <w:p>
      <w:pPr>
        <w:pStyle w:val="ListBullet"/>
        <w:widowControl/>
      </w:pPr>
      <w:r>
        <w:rPr>
          <w:rFonts w:ascii="Courier New" w:hAnsi="Courier New"/>
          <w:color w:val="17202A"/>
        </w:rPr>
        <w:t>normative_convergence_evidence_missing</w:t>
      </w:r>
      <w:r>
        <w:rPr>
          <w:rFonts w:ascii="Calibri" w:hAnsi="Calibri"/>
          <w:color w:val="17202A"/>
        </w:rPr>
        <w:t>.</w:t>
      </w:r>
    </w:p>
    <w:p>
      <w:pPr>
        <w:widowControl/>
      </w:pPr>
      <w:r>
        <w:rPr>
          <w:rFonts w:ascii="Calibri" w:hAnsi="Calibri"/>
          <w:color w:val="17202A"/>
        </w:rPr>
        <w:t>The first indicates that the evidence did not satisfy the registered role-coherence horizon required for the endpoint. The second indicates that useful-decision rate did not meet the preregistered 0.70 threshold. The third indicates that the required convergence evidence was absent. The low useful-decision result is a diagnostic signal about the combination of controller policy, terminal horizon, and evaluator definition; without valid canonical rows it cannot distinguish an overly restrictive controller from a defective operationalization. Because these conditions belong to the normative gate, complete execution cannot override them.</w:t>
      </w:r>
    </w:p>
    <w:p>
      <w:pPr>
        <w:widowControl/>
      </w:pPr>
      <w:r>
        <w:rPr>
          <w:rFonts w:ascii="Calibri" w:hAnsi="Calibri"/>
          <w:color w:val="17202A"/>
        </w:rPr>
        <w:t xml:space="preserve">The repository snapshot available for this manuscript contains the appendix-level closure report and digests of the collection manifest, normative analysis, and receipt root, but not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required to reproduce per-stratum endpoint estimates. We therefore do not report reconstructed success proportions, paired deltas, confidence intervals, recovery distributions, or safety counts. Doing so from narrative summaries would violate the study's own evidence discipline.</w:t>
      </w:r>
    </w:p>
    <w:p>
      <w:pPr>
        <w:pStyle w:val="Heading2"/>
        <w:widowControl/>
      </w:pPr>
      <w:r>
        <w:rPr>
          <w:rFonts w:ascii="Calibri" w:hAnsi="Calibri"/>
          <w:color w:val="17202A"/>
        </w:rPr>
        <w:t>8.3 Answer to the research questions</w:t>
      </w:r>
    </w:p>
    <w:p>
      <w:pPr>
        <w:widowControl/>
      </w:pPr>
      <w:r>
        <w:rPr>
          <w:rFonts w:ascii="Calibri" w:hAnsi="Calibri"/>
          <w:color w:val="17202A"/>
        </w:rPr>
        <w:t>RQ1–RQ5 remain unanswered at the confirmatory level. The completed execution shows that the registered campaign machinery can run and collect its full projection set, but analytical ineligibility prevents the endpoint evidence from supporting the planned claims. RQ6 is answered directly: a valid confirmatory claim requires more than completed runs. It requires a valid role-coherence horizon, a useful-decision rate meeting the fixed threshold, complete convergence evidence, and accessible canonical result artifacts.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 xml:space="preserve">The source and protocol artifacts establish an implementable architecture with explicit boundaries for authentication, admission, causal state, work authority, recovery, and protected effects. At architecture commit </w:t>
      </w:r>
      <w:r>
        <w:rPr>
          <w:rFonts w:ascii="Courier New" w:hAnsi="Courier New"/>
          <w:color w:val="17202A"/>
        </w:rPr>
        <w:t>490a392</w:t>
      </w:r>
      <w:r>
        <w:rPr>
          <w:rFonts w:ascii="Calibri" w:hAnsi="Calibri"/>
          <w:color w:val="17202A"/>
        </w:rPr>
        <w:t>, the public package also exposes a governed runtime profile that rejects missing critical phases before start, durable CAS, idempotency, causal-receipt, and epoch-fence ports, and the post-V28 evaluability and publication-bundle gates. Its local release smoke passed restart, idempotency, revision-conflict, and epoch-rollback scenarios; the packed public consumer passed import and TypeScript compilation checks; and the evaluability gate passed its synthetic boundary fixture while rejecting a tampered certificate. These are source and conformance results, not mission-performance measurements. Campaign V28 separately establishes that its earlier registered execution workflow reached complete shard and projection closure while preserving interruptions, receipts, content-addressed artifacts, and an independent eligibility decision.</w:t>
      </w:r>
    </w:p>
    <w:p>
      <w:pPr>
        <w:widowControl/>
      </w:pPr>
      <w:r>
        <w:rPr>
          <w:rFonts w:ascii="Calibri" w:hAnsi="Calibri"/>
          <w:color w:val="17202A"/>
        </w:rPr>
        <w:t>The eligibility failure is informative about the workflow but does not validate the architecture's substantive hypotheses. The normative gate correctly prevented operational completion from becoming a favorable research conclusion. At the same time, the workflow failed too late: the absence or invalidity of required endpoint evidence was detected only after all shards and projections had run. V28 therefore demonstrates both a functioning final eligibility gate and an inadequate pre-execution evaluability gate. Treating only the former as confirmation of the design would invert the most important methodological lesson.</w:t>
      </w:r>
    </w:p>
    <w:p>
      <w:pPr>
        <w:widowControl/>
      </w:pPr>
      <w:r>
        <w:rPr>
          <w:rFonts w:ascii="Calibri" w:hAnsi="Calibri"/>
          <w:color w:val="17202A"/>
        </w:rPr>
        <w:t>The post-V28 remediation closes part of that process gap at the implementation level. The evaluability gate now blocks confirmatory authorization before the first shard when the registered instrument cannot satisfy its structural and synthetic boundary checks. The publication-bundle gate then re-runs the normative analysis from preserved projections and checks the reconstructed raw rows and paper tables. Together these controls make an invalid or unrecoverable package fail earlier and more visibly. They do not prove semantic calibration, live convergence, or mission performance; those properties still require the next registered study.</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2"/>
        <w:widowControl/>
      </w:pPr>
      <w:r>
        <w:rPr>
          <w:rFonts w:ascii="Calibri" w:hAnsi="Calibri"/>
          <w:color w:val="17202A"/>
        </w:rPr>
        <w:t>9.4 Lessons from the ineligible campaign</w:t>
      </w:r>
    </w:p>
    <w:p>
      <w:pPr>
        <w:widowControl/>
      </w:pPr>
      <w:r>
        <w:rPr>
          <w:rFonts w:ascii="Calibri" w:hAnsi="Calibri"/>
          <w:color w:val="17202A"/>
        </w:rPr>
        <w:t>Three follow-up questions should be handled through a new registered study rather than retrospective threshold changes. First, the role-coherence horizon must be operationalized so that exactly the required decision population can be observed under the registered terminal rules. Second, low useful-decision rate must be diagnosed jointly with replan and safe-stop behavior; increasing permissiveness is not acceptable if it weakens effect safety. Third, convergence needs a concrete, evaluator-derived artifact showing the relevant state, membership, and time assumptions rather than a runner assertion.</w:t>
      </w:r>
    </w:p>
    <w:p>
      <w:pPr>
        <w:widowControl/>
      </w:pPr>
      <w:r>
        <w:rPr>
          <w:rFonts w:ascii="Calibri" w:hAnsi="Calibri"/>
          <w:color w:val="17202A"/>
        </w:rPr>
        <w:t>Canonical result artifacts must accompany review before any endpoint reproducibility claim is made. The post-V28 publication-bundle verifier now binds the registered inputs, authorization, projections, raw paired rows, table source, analysis and receipts into one recoverable manifest and reconstructs the analysis before collection can close. Content digests can bind an available object to an identifier; without the object they do not permit reproduction, reanalysis, or verification of row-level transformations. The verifier reduces that risk for future campaigns, but a live pilot must still demonstrate that the bundle survives independent retrieval and reanalysis.</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the concurrency, model invocations, or state pressure of deployed agents. Useful-decision rate and semantic convergence depend on evaluator definitions; the invalid horizon observed in V28 shows that these constructs require further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widowControl/>
      </w:pPr>
      <w:r>
        <w:rPr>
          <w:rFonts w:ascii="Calibri" w:hAnsi="Calibri"/>
          <w:b/>
          <w:color w:val="17202A"/>
        </w:rPr>
        <w:t>Statistical conclusion validity.</w:t>
      </w:r>
      <w:r>
        <w:rPr>
          <w:rFonts w:ascii="Calibri" w:hAnsi="Calibri"/>
          <w:color w:val="17202A"/>
        </w:rPr>
        <w:t xml:space="preserve"> Confirmatory procedures were preregistered, but the ineligible outcome prevents planned inference. No post hoc analysis may be promoted to confirmatory evidence. Replays are verification runs, not additional samples.</w:t>
      </w:r>
    </w:p>
    <w:p>
      <w:pPr>
        <w:widowControl/>
      </w:pPr>
      <w:r>
        <w:rPr>
          <w:rFonts w:ascii="Calibri" w:hAnsi="Calibri"/>
          <w:b/>
          <w:color w:val="17202A"/>
        </w:rPr>
        <w:t>Baseline validity.</w:t>
      </w:r>
      <w:r>
        <w:rPr>
          <w:rFonts w:ascii="Calibri" w:hAnsi="Calibri"/>
          <w:color w:val="17202A"/>
        </w:rPr>
        <w:t xml:space="preserve"> The centralized planner is fairness-constrained to equal admitted information and accounting. Conclusions would apply to that baseline, not every centralized architecture. A centralized system with reliable global state or a different optimization objective might behave differently.</w:t>
      </w:r>
    </w:p>
    <w:p>
      <w:pPr>
        <w:widowControl/>
      </w:pPr>
      <w:r>
        <w:rPr>
          <w:rFonts w:ascii="Calibri" w:hAnsi="Calibri"/>
          <w:b/>
          <w:color w:val="17202A"/>
        </w:rPr>
        <w:t>Scale validity.</w:t>
      </w:r>
      <w:r>
        <w:rPr>
          <w:rFonts w:ascii="Calibri" w:hAnsi="Calibri"/>
          <w:color w:val="17202A"/>
        </w:rPr>
        <w:t xml:space="preserve"> Measurements at 50–500 logical agents are finite-range observations. They cannot prove asymptotic behavior, and sparse topology formulas are implementation envelopes rather than empirical scaling laws.</w:t>
      </w:r>
    </w:p>
    <w:p>
      <w:pPr>
        <w:widowControl/>
      </w:pPr>
      <w:r>
        <w:rPr>
          <w:rFonts w:ascii="Calibri" w:hAnsi="Calibri"/>
          <w:b/>
          <w:color w:val="17202A"/>
        </w:rPr>
        <w:t>Version validity.</w:t>
      </w:r>
      <w:r>
        <w:rPr>
          <w:rFonts w:ascii="Calibri" w:hAnsi="Calibri"/>
          <w:color w:val="17202A"/>
        </w:rPr>
        <w:t xml:space="preserve"> Sections 3–6 describe the architecture and evaluation controls at commit </w:t>
      </w:r>
      <w:r>
        <w:rPr>
          <w:rFonts w:ascii="Courier New" w:hAnsi="Courier New"/>
          <w:color w:val="17202A"/>
        </w:rPr>
        <w:t>490a392</w:t>
      </w:r>
      <w:r>
        <w:rPr>
          <w:rFonts w:ascii="Calibri" w:hAnsi="Calibri"/>
          <w:color w:val="17202A"/>
        </w:rPr>
        <w:t xml:space="preserve">, whereas Campaign V28 was frozen at </w:t>
      </w:r>
      <w:r>
        <w:rPr>
          <w:rFonts w:ascii="Courier New" w:hAnsi="Courier New"/>
          <w:color w:val="17202A"/>
        </w:rPr>
        <w:t>f0412840</w:t>
      </w:r>
      <w:r>
        <w:rPr>
          <w:rFonts w:ascii="Calibri" w:hAnsi="Calibri"/>
          <w:color w:val="17202A"/>
        </w:rPr>
        <w:t>. Later runtime, partition, topology, continuity, strategy, approval, compromise, forensic, evaluability, and publication-bundle surfaces were not treatments in V28. Their implementation and local release checks cannot be interpreted as retrospective experimental evidence.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 xml:space="preserve">The public AgentPlat source repository [11] records the protocol, control model, threat model, preregistered hypotheses, data dictionary, statistical procedures, and paper structure. The architecture and post-V28 evaluation controls described in this version are pinned to source commit </w:t>
      </w:r>
      <w:r>
        <w:rPr>
          <w:rFonts w:ascii="Courier New" w:hAnsi="Courier New"/>
          <w:color w:val="17202A"/>
        </w:rPr>
        <w:t>490a392</w:t>
      </w:r>
      <w:r>
        <w:rPr>
          <w:rFonts w:ascii="Calibri" w:hAnsi="Calibri"/>
          <w:color w:val="17202A"/>
        </w:rPr>
        <w:t xml:space="preserve">. At that commit, </w:t>
      </w:r>
      <w:r>
        <w:rPr>
          <w:rFonts w:ascii="Courier New" w:hAnsi="Courier New"/>
          <w:color w:val="17202A"/>
        </w:rPr>
        <w:t>pnpm run verify:governed-runtime-release</w:t>
      </w:r>
      <w:r>
        <w:rPr>
          <w:rFonts w:ascii="Calibri" w:hAnsi="Calibri"/>
          <w:color w:val="17202A"/>
        </w:rPr>
        <w:t xml:space="preserve"> passed restart, idempotency, compare-and-swap, and epoch-fence smoke checks; </w:t>
      </w:r>
      <w:r>
        <w:rPr>
          <w:rFonts w:ascii="Courier New" w:hAnsi="Courier New"/>
          <w:color w:val="17202A"/>
        </w:rPr>
        <w:t>pnpm run verify:public-consumer</w:t>
      </w:r>
      <w:r>
        <w:rPr>
          <w:rFonts w:ascii="Calibri" w:hAnsi="Calibri"/>
          <w:color w:val="17202A"/>
        </w:rPr>
        <w:t xml:space="preserve"> verified the packed </w:t>
      </w:r>
      <w:r>
        <w:rPr>
          <w:rFonts w:ascii="Courier New" w:hAnsi="Courier New"/>
          <w:color w:val="17202A"/>
        </w:rPr>
        <w:t>@agentplat/collective-runtime</w:t>
      </w:r>
      <w:r>
        <w:rPr>
          <w:rFonts w:ascii="Calibri" w:hAnsi="Calibri"/>
          <w:color w:val="17202A"/>
        </w:rPr>
        <w:t xml:space="preserve"> and </w:t>
      </w:r>
      <w:r>
        <w:rPr>
          <w:rFonts w:ascii="Courier New" w:hAnsi="Courier New"/>
          <w:color w:val="17202A"/>
        </w:rPr>
        <w:t>@agentplat/audit</w:t>
      </w:r>
      <w:r>
        <w:rPr>
          <w:rFonts w:ascii="Calibri" w:hAnsi="Calibri"/>
          <w:color w:val="17202A"/>
        </w:rPr>
        <w:t xml:space="preserve"> packages through installation, runtime import, and strict TypeScript compilation; and the evaluability/publication gates passed their synthetic and negative tests. These commands are reproducible local conformance checks; they do not validate distributed mission outcomes.</w:t>
      </w:r>
    </w:p>
    <w:p>
      <w:pPr>
        <w:widowControl/>
      </w:pPr>
      <w:r>
        <w:rPr>
          <w:rFonts w:ascii="Calibri" w:hAnsi="Calibri"/>
          <w:color w:val="17202A"/>
        </w:rPr>
        <w:t>Campaign V28 predates those additions and binds the following separate identifiers:</w:t>
      </w:r>
    </w:p>
    <w:p>
      <w:pPr>
        <w:pStyle w:val="ListBullet"/>
        <w:widowControl/>
      </w:pPr>
      <w:r>
        <w:rPr>
          <w:rFonts w:ascii="Calibri" w:hAnsi="Calibri"/>
          <w:color w:val="17202A"/>
        </w:rPr>
        <w:t xml:space="preserve">source commit: </w:t>
      </w:r>
      <w:r>
        <w:rPr>
          <w:rFonts w:ascii="Courier New" w:hAnsi="Courier New"/>
          <w:color w:val="17202A"/>
        </w:rPr>
        <w:t>f041284000672b2035138769da7589a6ce89e3f3</w:t>
      </w:r>
      <w:r>
        <w:rPr>
          <w:rFonts w:ascii="Calibri" w:hAnsi="Calibri"/>
          <w:color w:val="17202A"/>
        </w:rPr>
        <w:t>;</w:t>
      </w:r>
    </w:p>
    <w:p>
      <w:pPr>
        <w:pStyle w:val="ListBullet"/>
        <w:widowControl/>
      </w:pPr>
      <w:r>
        <w:rPr>
          <w:rFonts w:ascii="Calibri" w:hAnsi="Calibri"/>
          <w:color w:val="17202A"/>
        </w:rPr>
        <w:t xml:space="preserve">authorization digest: </w:t>
      </w:r>
      <w:r>
        <w:rPr>
          <w:rFonts w:ascii="Courier New" w:hAnsi="Courier New"/>
          <w:color w:val="17202A"/>
        </w:rPr>
        <w:t>sha256:d76c1269fd5c98c54662c001565ac8a76089ccc373591c145ed3a2fc6b411625</w:t>
      </w:r>
      <w:r>
        <w:rPr>
          <w:rFonts w:ascii="Calibri" w:hAnsi="Calibri"/>
          <w:color w:val="17202A"/>
        </w:rPr>
        <w:t>;</w:t>
      </w:r>
    </w:p>
    <w:p>
      <w:pPr>
        <w:pStyle w:val="ListBullet"/>
        <w:widowControl/>
      </w:pPr>
      <w:r>
        <w:rPr>
          <w:rFonts w:ascii="Calibri" w:hAnsi="Calibri"/>
          <w:color w:val="17202A"/>
        </w:rPr>
        <w:t xml:space="preserve">collection-manifest digest: </w:t>
      </w:r>
      <w:r>
        <w:rPr>
          <w:rFonts w:ascii="Courier New" w:hAnsi="Courier New"/>
          <w:color w:val="17202A"/>
        </w:rPr>
        <w:t>sha256:5cdd29b44f21bfa10b00aa7eed1023be2826a8ed5322e3159d1a91345fac535b</w:t>
      </w:r>
      <w:r>
        <w:rPr>
          <w:rFonts w:ascii="Calibri" w:hAnsi="Calibri"/>
          <w:color w:val="17202A"/>
        </w:rPr>
        <w:t>;</w:t>
      </w:r>
    </w:p>
    <w:p>
      <w:pPr>
        <w:pStyle w:val="ListBullet"/>
        <w:widowControl/>
      </w:pPr>
      <w:r>
        <w:rPr>
          <w:rFonts w:ascii="Calibri" w:hAnsi="Calibri"/>
          <w:color w:val="17202A"/>
        </w:rPr>
        <w:t xml:space="preserve">normative-analysis digest: </w:t>
      </w:r>
      <w:r>
        <w:rPr>
          <w:rFonts w:ascii="Courier New" w:hAnsi="Courier New"/>
          <w:color w:val="17202A"/>
        </w:rPr>
        <w:t>sha256:c749f7f7efe7732596dd089cd646fcc97f3d1002785d14301c0ea27ab23ade14</w:t>
      </w:r>
      <w:r>
        <w:rPr>
          <w:rFonts w:ascii="Calibri" w:hAnsi="Calibri"/>
          <w:color w:val="17202A"/>
        </w:rPr>
        <w:t>;</w:t>
      </w:r>
    </w:p>
    <w:p>
      <w:pPr>
        <w:pStyle w:val="ListBullet"/>
        <w:widowControl/>
      </w:pPr>
      <w:r>
        <w:rPr>
          <w:rFonts w:ascii="Calibri" w:hAnsi="Calibri"/>
          <w:color w:val="17202A"/>
        </w:rPr>
        <w:t xml:space="preserve">receipt root: </w:t>
      </w:r>
      <w:r>
        <w:rPr>
          <w:rFonts w:ascii="Courier New" w:hAnsi="Courier New"/>
          <w:color w:val="17202A"/>
        </w:rPr>
        <w:t>sha256:c74d779e532d6b3930497e0b38e44f718e6345af9fd840842248d4d4dab92c6a</w:t>
      </w:r>
      <w:r>
        <w:rPr>
          <w:rFonts w:ascii="Calibri" w:hAnsi="Calibri"/>
          <w:color w:val="17202A"/>
        </w:rPr>
        <w:t>.</w:t>
      </w:r>
    </w:p>
    <w:p>
      <w:pPr>
        <w:widowControl/>
      </w:pPr>
      <w:r>
        <w:rPr>
          <w:rFonts w:ascii="Calibri" w:hAnsi="Calibri"/>
          <w:color w:val="17202A"/>
        </w:rPr>
        <w:t xml:space="preserve">The retained digests bind identifiers to the objects that existed when the records were produced, but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are not recoverable from the repository snapshot used for this manuscript. The endpoint analysis is therefore </w:t>
      </w:r>
      <w:r>
        <w:rPr>
          <w:rFonts w:ascii="Calibri" w:hAnsi="Calibri"/>
          <w:b/>
          <w:color w:val="17202A"/>
        </w:rPr>
        <w:t>not independently reproducible from the available artifact package</w:t>
      </w:r>
      <w:r>
        <w:rPr>
          <w:rFonts w:ascii="Calibri" w:hAnsi="Calibri"/>
          <w:color w:val="17202A"/>
        </w:rPr>
        <w:t>. The execution summary and signed-off eligibility decision remain reportable as provenance-bound records, but they are not substitutes for row-level evidence.</w:t>
      </w:r>
    </w:p>
    <w:p>
      <w:pPr>
        <w:widowControl/>
      </w:pPr>
      <w:r>
        <w:rPr>
          <w:rFonts w:ascii="Calibri" w:hAnsi="Calibri"/>
          <w:color w:val="17202A"/>
        </w:rPr>
        <w:t>The manuscript should not be submitted to an artifact-evaluated venue with digest references alone. A publication package must make the referenced registration, manifest, normative analysis, raw paired rows, table source, receipts, analysis code, and verification key accessible to reviewers or explain each restriction. Unless those exact objects are recovered, the appropriate remedy is not to reconstruct them from summaries; it is to retain V28 as an instrument-failure report and conduct any new confirmatory evaluation under a new registration.</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Campaign V28 demonstrates complete execution-process closure for a substantial preregistered simulation design. It does not demonstrate complete recoverable evidence collection and provides no confirmatory validation of the target collective-control properties. The analysis remained ineligible because role-coherence, useful-decision, and convergence requirements were not satisfied; canonical row and table artifacts are also unavailable in the retained repository snapshot. The post-V28 evaluability and publication-bundle gates now address the corresponding process failures through deterministic pre-authorization checks and independent artifact reconstruction, but their current evidence is limited to synthetic fixtures and negative tests. The proper conclusion is narrower than a performance result: the final eligibility gate rejected an invalid claim, the remediation makes future failure earlier and more auditable, and Agent Mesh's empirical performance claims remain open.</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1.2 prepared for archival publication on Zenodo.</dc:description>
  <cp:lastModifiedBy/>
  <cp:revision>1</cp:revision>
  <dcterms:created xsi:type="dcterms:W3CDTF">2013-12-23T23:15:00Z</dcterms:created>
  <dcterms:modified xsi:type="dcterms:W3CDTF">2013-12-23T23:15:00Z</dcterms:modified>
  <cp:category/>
</cp:coreProperties>
</file>