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2E74B5"/>
          <w:sz w:val="20"/>
        </w:rPr>
        <w:t>SUPPLEMENTARY METHODS AND RESULTS</w:t>
      </w:r>
    </w:p>
    <w:p>
      <w:pPr>
        <w:spacing w:after="80"/>
      </w:pPr>
      <w:r>
        <w:rPr>
          <w:rFonts w:ascii="Calibri" w:hAnsi="Calibri"/>
          <w:b/>
          <w:color w:val="000000"/>
          <w:sz w:val="46"/>
        </w:rPr>
        <w:t>Reproducible Local Empirical Study: Campaign V28</w:t>
      </w:r>
    </w:p>
    <w:p>
      <w:pPr>
        <w:spacing w:after="320"/>
      </w:pPr>
      <w:r>
        <w:rPr>
          <w:rFonts w:ascii="Calibri" w:hAnsi="Calibri"/>
          <w:b w:val="0"/>
          <w:i/>
          <w:color w:val="5B6470"/>
          <w:sz w:val="26"/>
        </w:rPr>
        <w:t>Execution closure, evidence provenance, and analytical eligibility</w:t>
      </w:r>
    </w:p>
    <w:p>
      <w:pPr>
        <w:spacing w:after="40" w:line="264" w:lineRule="auto"/>
      </w:pPr>
      <w:r>
        <w:rPr>
          <w:rFonts w:ascii="Calibri" w:hAnsi="Calibri"/>
          <w:b/>
          <w:color w:val="1F2937"/>
          <w:sz w:val="21"/>
        </w:rPr>
        <w:t xml:space="preserve">Study identifier: </w:t>
      </w:r>
      <w:r>
        <w:rPr>
          <w:rFonts w:ascii="Calibri" w:hAnsi="Calibri"/>
          <w:color w:val="1F2937"/>
          <w:sz w:val="21"/>
        </w:rPr>
        <w:t>paper-study-v28</w:t>
      </w:r>
    </w:p>
    <w:p>
      <w:pPr>
        <w:spacing w:after="40" w:line="264" w:lineRule="auto"/>
      </w:pPr>
      <w:r>
        <w:rPr>
          <w:rFonts w:ascii="Calibri" w:hAnsi="Calibri"/>
          <w:b/>
          <w:color w:val="1F2937"/>
          <w:sz w:val="21"/>
        </w:rPr>
        <w:t xml:space="preserve">Frozen source commit: </w:t>
      </w:r>
      <w:r>
        <w:rPr>
          <w:rFonts w:ascii="Calibri" w:hAnsi="Calibri"/>
          <w:color w:val="1F2937"/>
          <w:sz w:val="21"/>
        </w:rPr>
        <w:t>f041284000672b2035138769da7589a6ce89e3f3</w:t>
      </w:r>
    </w:p>
    <w:p>
      <w:pPr>
        <w:spacing w:after="40" w:line="264" w:lineRule="auto"/>
      </w:pPr>
      <w:r>
        <w:rPr>
          <w:rFonts w:ascii="Calibri" w:hAnsi="Calibri"/>
          <w:b/>
          <w:color w:val="1F2937"/>
          <w:sz w:val="21"/>
        </w:rPr>
        <w:t xml:space="preserve">Execution environment: </w:t>
      </w:r>
      <w:r>
        <w:rPr>
          <w:rFonts w:ascii="Calibri" w:hAnsi="Calibri"/>
          <w:color w:val="1F2937"/>
          <w:sz w:val="21"/>
        </w:rPr>
        <w:t>Local Apple Silicon workstation; no cloud services or paid model calls</w:t>
      </w:r>
    </w:p>
    <w:p>
      <w:pPr>
        <w:spacing w:after="40" w:line="264" w:lineRule="auto"/>
      </w:pPr>
      <w:r>
        <w:rPr>
          <w:rFonts w:ascii="Calibri" w:hAnsi="Calibri"/>
          <w:b/>
          <w:color w:val="1F2937"/>
          <w:sz w:val="21"/>
        </w:rPr>
        <w:t xml:space="preserve">Collection status: </w:t>
      </w:r>
      <w:r>
        <w:rPr>
          <w:rFonts w:ascii="Calibri" w:hAnsi="Calibri"/>
          <w:color w:val="1F2937"/>
          <w:sz w:val="21"/>
        </w:rPr>
        <w:t>Complete and collected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EEF5"/>
          </w:tcPr>
          <w:p>
            <w:pPr>
              <w:spacing w:after="40"/>
            </w:pPr>
            <w:r>
              <w:rPr>
                <w:rFonts w:ascii="Calibri" w:hAnsi="Calibri"/>
                <w:b/>
                <w:color w:val="1F4D78"/>
                <w:sz w:val="22"/>
              </w:rPr>
              <w:t>Reader-facing conclusion.</w:t>
            </w:r>
          </w:p>
          <w:p>
            <w:pPr>
              <w:spacing w:after="0" w:line="269" w:lineRule="auto"/>
            </w:pPr>
            <w:r>
              <w:rPr>
                <w:rFonts w:ascii="Calibri" w:hAnsi="Calibri"/>
                <w:color w:val="1F2937"/>
                <w:sz w:val="21"/>
              </w:rPr>
              <w:t>The preregistered local execution completed all 48 authorized shards and 960 projections with zero recorded failed executions and USD 0 external spend. The resulting analysis is intentionally labeled ineligible for an empirical claim because three prespecified normative evidence conditions were not satisfied. This is an analytical qualification, not an execution failure.</w:t>
            </w:r>
          </w:p>
        </w:tc>
      </w:tr>
    </w:tbl>
    <w:p>
      <w:pPr>
        <w:pStyle w:val="Heading1"/>
      </w:pPr>
      <w:r>
        <w:t>1. Study purpose and scope</w:t>
      </w:r>
    </w:p>
    <w:p>
      <w:r>
        <w:t>This appendix documents the reproducible local execution of a preregistered comparative simulation campaign. It is designed to make the execution record, evidence topology, and interpretive boundaries suitable for inclusion with a research manuscript. The campaign compares an adaptive collective configuration with a centralized planner across four operating strata and a fixed family of scales and seeds.</w:t>
      </w:r>
    </w:p>
    <w:p>
      <w:pPr>
        <w:pStyle w:val="Heading1"/>
      </w:pPr>
      <w:r>
        <w:t>2. Preregistered execution design</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Component</w:t>
            </w:r>
          </w:p>
        </w:tc>
        <w:tc>
          <w:tcPr>
            <w:tcW w:type="dxa" w:w="686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Registered value</w:t>
            </w:r>
          </w:p>
        </w:tc>
      </w:tr>
      <w:tr>
        <w:tc>
          <w:tcPr>
            <w:tcW w:type="dxa" w:w="2500"/>
          </w:tcPr>
          <w:p>
            <w:pPr>
              <w:spacing w:after="0" w:before="0" w:line="252" w:lineRule="auto"/>
              <w:jc w:val="left"/>
            </w:pPr>
            <w:r>
              <w:rPr>
                <w:rFonts w:ascii="Calibri" w:hAnsi="Calibri"/>
                <w:b w:val="0"/>
                <w:color w:val="1F2937"/>
                <w:sz w:val="19"/>
              </w:rPr>
              <w:t>Authorized shards</w:t>
            </w:r>
          </w:p>
        </w:tc>
        <w:tc>
          <w:tcPr>
            <w:tcW w:type="dxa" w:w="6860"/>
          </w:tcPr>
          <w:p>
            <w:pPr>
              <w:spacing w:after="0" w:before="0" w:line="252" w:lineRule="auto"/>
              <w:jc w:val="center"/>
            </w:pPr>
            <w:r>
              <w:rPr>
                <w:rFonts w:ascii="Calibri" w:hAnsi="Calibri"/>
                <w:b w:val="0"/>
                <w:color w:val="1F2937"/>
                <w:sz w:val="19"/>
              </w:rPr>
              <w:t>48</w:t>
            </w:r>
          </w:p>
        </w:tc>
      </w:tr>
      <w:tr>
        <w:tc>
          <w:tcPr>
            <w:tcW w:type="dxa" w:w="2500"/>
          </w:tcPr>
          <w:p>
            <w:pPr>
              <w:spacing w:after="0" w:before="0" w:line="252" w:lineRule="auto"/>
              <w:jc w:val="left"/>
            </w:pPr>
            <w:r>
              <w:rPr>
                <w:rFonts w:ascii="Calibri" w:hAnsi="Calibri"/>
                <w:b w:val="0"/>
                <w:color w:val="1F2937"/>
                <w:sz w:val="19"/>
              </w:rPr>
              <w:t>Experimental cells</w:t>
            </w:r>
          </w:p>
        </w:tc>
        <w:tc>
          <w:tcPr>
            <w:tcW w:type="dxa" w:w="6860"/>
          </w:tcPr>
          <w:p>
            <w:pPr>
              <w:spacing w:after="0" w:before="0" w:line="252" w:lineRule="auto"/>
              <w:jc w:val="center"/>
            </w:pPr>
            <w:r>
              <w:rPr>
                <w:rFonts w:ascii="Calibri" w:hAnsi="Calibri"/>
                <w:b w:val="0"/>
                <w:color w:val="1F2937"/>
                <w:sz w:val="19"/>
              </w:rPr>
              <w:t>240</w:t>
            </w:r>
          </w:p>
        </w:tc>
      </w:tr>
      <w:tr>
        <w:tc>
          <w:tcPr>
            <w:tcW w:type="dxa" w:w="2500"/>
          </w:tcPr>
          <w:p>
            <w:pPr>
              <w:spacing w:after="0" w:before="0" w:line="252" w:lineRule="auto"/>
              <w:jc w:val="left"/>
            </w:pPr>
            <w:r>
              <w:rPr>
                <w:rFonts w:ascii="Calibri" w:hAnsi="Calibri"/>
                <w:b w:val="0"/>
                <w:color w:val="1F2937"/>
                <w:sz w:val="19"/>
              </w:rPr>
              <w:t>Projections</w:t>
            </w:r>
          </w:p>
        </w:tc>
        <w:tc>
          <w:tcPr>
            <w:tcW w:type="dxa" w:w="6860"/>
          </w:tcPr>
          <w:p>
            <w:pPr>
              <w:spacing w:after="0" w:before="0" w:line="252" w:lineRule="auto"/>
              <w:jc w:val="center"/>
            </w:pPr>
            <w:r>
              <w:rPr>
                <w:rFonts w:ascii="Calibri" w:hAnsi="Calibri"/>
                <w:b w:val="0"/>
                <w:color w:val="1F2937"/>
                <w:sz w:val="19"/>
              </w:rPr>
              <w:t>960</w:t>
            </w:r>
          </w:p>
        </w:tc>
      </w:tr>
      <w:tr>
        <w:tc>
          <w:tcPr>
            <w:tcW w:type="dxa" w:w="2500"/>
          </w:tcPr>
          <w:p>
            <w:pPr>
              <w:spacing w:after="0" w:before="0" w:line="252" w:lineRule="auto"/>
              <w:jc w:val="left"/>
            </w:pPr>
            <w:r>
              <w:rPr>
                <w:rFonts w:ascii="Calibri" w:hAnsi="Calibri"/>
                <w:b w:val="0"/>
                <w:color w:val="1F2937"/>
                <w:sz w:val="19"/>
              </w:rPr>
              <w:t>Aggregation seed</w:t>
            </w:r>
          </w:p>
        </w:tc>
        <w:tc>
          <w:tcPr>
            <w:tcW w:type="dxa" w:w="6860"/>
          </w:tcPr>
          <w:p>
            <w:pPr>
              <w:spacing w:after="0" w:before="0" w:line="252" w:lineRule="auto"/>
              <w:jc w:val="center"/>
            </w:pPr>
            <w:r>
              <w:rPr>
                <w:rFonts w:ascii="Calibri" w:hAnsi="Calibri"/>
                <w:b w:val="0"/>
                <w:color w:val="1F2937"/>
                <w:sz w:val="19"/>
              </w:rPr>
              <w:t>20260810</w:t>
            </w:r>
          </w:p>
        </w:tc>
      </w:tr>
      <w:tr>
        <w:tc>
          <w:tcPr>
            <w:tcW w:type="dxa" w:w="2500"/>
          </w:tcPr>
          <w:p>
            <w:pPr>
              <w:spacing w:after="0" w:before="0" w:line="252" w:lineRule="auto"/>
              <w:jc w:val="left"/>
            </w:pPr>
            <w:r>
              <w:rPr>
                <w:rFonts w:ascii="Calibri" w:hAnsi="Calibri"/>
                <w:b w:val="0"/>
                <w:color w:val="1F2937"/>
                <w:sz w:val="19"/>
              </w:rPr>
              <w:t>Execution policy</w:t>
            </w:r>
          </w:p>
        </w:tc>
        <w:tc>
          <w:tcPr>
            <w:tcW w:type="dxa" w:w="6860"/>
          </w:tcPr>
          <w:p>
            <w:pPr>
              <w:spacing w:after="0" w:before="0" w:line="252" w:lineRule="auto"/>
              <w:jc w:val="left"/>
            </w:pPr>
            <w:r>
              <w:rPr>
                <w:rFonts w:ascii="Calibri" w:hAnsi="Calibri"/>
                <w:b w:val="0"/>
                <w:color w:val="1F2937"/>
                <w:sz w:val="19"/>
              </w:rPr>
              <w:t>Strictly sequential; stop on failure</w:t>
            </w:r>
          </w:p>
        </w:tc>
      </w:tr>
      <w:tr>
        <w:tc>
          <w:tcPr>
            <w:tcW w:type="dxa" w:w="2500"/>
          </w:tcPr>
          <w:p>
            <w:pPr>
              <w:spacing w:after="0" w:before="0" w:line="252" w:lineRule="auto"/>
              <w:jc w:val="left"/>
            </w:pPr>
            <w:r>
              <w:rPr>
                <w:rFonts w:ascii="Calibri" w:hAnsi="Calibri"/>
                <w:b w:val="0"/>
                <w:color w:val="1F2937"/>
                <w:sz w:val="19"/>
              </w:rPr>
              <w:t>Source commit</w:t>
            </w:r>
          </w:p>
        </w:tc>
        <w:tc>
          <w:tcPr>
            <w:tcW w:type="dxa" w:w="6860"/>
          </w:tcPr>
          <w:p>
            <w:pPr>
              <w:spacing w:after="0" w:before="0" w:line="252" w:lineRule="auto"/>
              <w:jc w:val="left"/>
            </w:pPr>
            <w:r>
              <w:rPr>
                <w:rFonts w:ascii="Calibri" w:hAnsi="Calibri"/>
                <w:b w:val="0"/>
                <w:color w:val="1F2937"/>
                <w:sz w:val="19"/>
              </w:rPr>
              <w:t>f041284000672b2035138769da7589a6ce89e3f3</w:t>
            </w:r>
          </w:p>
        </w:tc>
      </w:tr>
      <w:tr>
        <w:tc>
          <w:tcPr>
            <w:tcW w:type="dxa" w:w="2500"/>
          </w:tcPr>
          <w:p>
            <w:pPr>
              <w:spacing w:after="0" w:before="0" w:line="252" w:lineRule="auto"/>
              <w:jc w:val="left"/>
            </w:pPr>
            <w:r>
              <w:rPr>
                <w:rFonts w:ascii="Calibri" w:hAnsi="Calibri"/>
                <w:b w:val="0"/>
                <w:color w:val="1F2937"/>
                <w:sz w:val="19"/>
              </w:rPr>
              <w:t>Authorization digest</w:t>
            </w:r>
          </w:p>
        </w:tc>
        <w:tc>
          <w:tcPr>
            <w:tcW w:type="dxa" w:w="6860"/>
          </w:tcPr>
          <w:p>
            <w:pPr>
              <w:spacing w:after="0" w:before="0" w:line="252" w:lineRule="auto"/>
              <w:jc w:val="left"/>
            </w:pPr>
            <w:r>
              <w:rPr>
                <w:rFonts w:ascii="Calibri" w:hAnsi="Calibri"/>
                <w:b w:val="0"/>
                <w:color w:val="1F2937"/>
                <w:sz w:val="19"/>
              </w:rPr>
              <w:t>sha256:d76c1269fd5c98c54662c001565ac8a76089ccc373591c145ed3a2fc6b411625</w:t>
            </w:r>
          </w:p>
        </w:tc>
      </w:tr>
    </w:tbl>
    <w:p>
      <w:pPr>
        <w:spacing w:after="80"/>
      </w:pPr>
      <w:r>
        <w:t>The campaign used content-addressed evidence, immutable shard receipts, and a hash-chained operational event log. Mutable supervisor metadata is treated as operational provenance rather than as a scientific outcome.</w:t>
      </w:r>
    </w:p>
    <w:p>
      <w:pPr>
        <w:pStyle w:val="Heading1"/>
      </w:pPr>
      <w:r>
        <w:t>3. Execution completion and collection</w:t>
      </w:r>
    </w:p>
    <w:tbl>
      <w:tblPr>
        <w:tblStyle w:val="TableGrid"/>
        <w:tblW w:type="dxa" w:w="9360"/>
        <w:jc w:val="left"/>
        <w:tblLayout w:type="fixed"/>
        <w:tblLook w:firstColumn="1" w:firstRow="1" w:lastColumn="0" w:lastRow="0" w:noHBand="0" w:noVBand="1" w:val="04A0"/>
        <w:tblInd w:w="120" w:type="dxa"/>
      </w:tblPr>
      <w:tblGrid>
        <w:gridCol w:w="2450"/>
        <w:gridCol w:w="2000"/>
        <w:gridCol w:w="4910"/>
      </w:tblGrid>
      <w:tr>
        <w:trPr>
          <w:tblHeader w:val="true"/>
        </w:trPr>
        <w:tc>
          <w:tcPr>
            <w:tcW w:type="dxa" w:w="245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Measure</w:t>
            </w:r>
          </w:p>
        </w:tc>
        <w:tc>
          <w:tcPr>
            <w:tcW w:type="dxa" w:w="200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Observed result</w:t>
            </w:r>
          </w:p>
        </w:tc>
        <w:tc>
          <w:tcPr>
            <w:tcW w:type="dxa" w:w="491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Interpretation</w:t>
            </w:r>
          </w:p>
        </w:tc>
      </w:tr>
      <w:tr>
        <w:tc>
          <w:tcPr>
            <w:tcW w:type="dxa" w:w="2450"/>
          </w:tcPr>
          <w:p>
            <w:pPr>
              <w:spacing w:after="0" w:before="0" w:line="252" w:lineRule="auto"/>
              <w:jc w:val="left"/>
            </w:pPr>
            <w:r>
              <w:rPr>
                <w:rFonts w:ascii="Calibri" w:hAnsi="Calibri"/>
                <w:b w:val="0"/>
                <w:color w:val="1F2937"/>
                <w:sz w:val="19"/>
              </w:rPr>
              <w:t>Completed shards</w:t>
            </w:r>
          </w:p>
        </w:tc>
        <w:tc>
          <w:tcPr>
            <w:tcW w:type="dxa" w:w="2000"/>
          </w:tcPr>
          <w:p>
            <w:pPr>
              <w:spacing w:after="0" w:before="0" w:line="252" w:lineRule="auto"/>
              <w:jc w:val="center"/>
            </w:pPr>
            <w:r>
              <w:rPr>
                <w:rFonts w:ascii="Calibri" w:hAnsi="Calibri"/>
                <w:b w:val="0"/>
                <w:color w:val="1F2937"/>
                <w:sz w:val="19"/>
              </w:rPr>
              <w:t>48 / 48</w:t>
            </w:r>
          </w:p>
        </w:tc>
        <w:tc>
          <w:tcPr>
            <w:tcW w:type="dxa" w:w="4910"/>
          </w:tcPr>
          <w:p>
            <w:pPr>
              <w:spacing w:after="0" w:before="0" w:line="252" w:lineRule="auto"/>
              <w:jc w:val="left"/>
            </w:pPr>
            <w:r>
              <w:rPr>
                <w:rFonts w:ascii="Calibri" w:hAnsi="Calibri"/>
                <w:b w:val="0"/>
                <w:color w:val="1F2937"/>
                <w:sz w:val="19"/>
              </w:rPr>
              <w:t>All authorized shards completed</w:t>
            </w:r>
          </w:p>
        </w:tc>
      </w:tr>
      <w:tr>
        <w:tc>
          <w:tcPr>
            <w:tcW w:type="dxa" w:w="2450"/>
          </w:tcPr>
          <w:p>
            <w:pPr>
              <w:spacing w:after="0" w:before="0" w:line="252" w:lineRule="auto"/>
              <w:jc w:val="left"/>
            </w:pPr>
            <w:r>
              <w:rPr>
                <w:rFonts w:ascii="Calibri" w:hAnsi="Calibri"/>
                <w:b w:val="0"/>
                <w:color w:val="1F2937"/>
                <w:sz w:val="19"/>
              </w:rPr>
              <w:t>Completed projections</w:t>
            </w:r>
          </w:p>
        </w:tc>
        <w:tc>
          <w:tcPr>
            <w:tcW w:type="dxa" w:w="2000"/>
          </w:tcPr>
          <w:p>
            <w:pPr>
              <w:spacing w:after="0" w:before="0" w:line="252" w:lineRule="auto"/>
              <w:jc w:val="center"/>
            </w:pPr>
            <w:r>
              <w:rPr>
                <w:rFonts w:ascii="Calibri" w:hAnsi="Calibri"/>
                <w:b w:val="0"/>
                <w:color w:val="1F2937"/>
                <w:sz w:val="19"/>
              </w:rPr>
              <w:t>960 / 960</w:t>
            </w:r>
          </w:p>
        </w:tc>
        <w:tc>
          <w:tcPr>
            <w:tcW w:type="dxa" w:w="4910"/>
          </w:tcPr>
          <w:p>
            <w:pPr>
              <w:spacing w:after="0" w:before="0" w:line="252" w:lineRule="auto"/>
              <w:jc w:val="left"/>
            </w:pPr>
            <w:r>
              <w:rPr>
                <w:rFonts w:ascii="Calibri" w:hAnsi="Calibri"/>
                <w:b w:val="0"/>
                <w:color w:val="1F2937"/>
                <w:sz w:val="19"/>
              </w:rPr>
              <w:t>Full preregistered projection scope</w:t>
            </w:r>
          </w:p>
        </w:tc>
      </w:tr>
      <w:tr>
        <w:tc>
          <w:tcPr>
            <w:tcW w:type="dxa" w:w="2450"/>
          </w:tcPr>
          <w:p>
            <w:pPr>
              <w:spacing w:after="0" w:before="0" w:line="252" w:lineRule="auto"/>
              <w:jc w:val="left"/>
            </w:pPr>
            <w:r>
              <w:rPr>
                <w:rFonts w:ascii="Calibri" w:hAnsi="Calibri"/>
                <w:b w:val="0"/>
                <w:color w:val="1F2937"/>
                <w:sz w:val="19"/>
              </w:rPr>
              <w:t>Execution outcomes</w:t>
            </w:r>
          </w:p>
        </w:tc>
        <w:tc>
          <w:tcPr>
            <w:tcW w:type="dxa" w:w="2000"/>
          </w:tcPr>
          <w:p>
            <w:pPr>
              <w:spacing w:after="0" w:before="0" w:line="252" w:lineRule="auto"/>
              <w:jc w:val="left"/>
            </w:pPr>
            <w:r>
              <w:rPr>
                <w:rFonts w:ascii="Calibri" w:hAnsi="Calibri"/>
                <w:b w:val="0"/>
                <w:color w:val="1F2937"/>
                <w:sz w:val="19"/>
              </w:rPr>
              <w:t>960 succeeded; 0 failed</w:t>
            </w:r>
          </w:p>
        </w:tc>
        <w:tc>
          <w:tcPr>
            <w:tcW w:type="dxa" w:w="4910"/>
          </w:tcPr>
          <w:p>
            <w:pPr>
              <w:spacing w:after="0" w:before="0" w:line="252" w:lineRule="auto"/>
              <w:jc w:val="left"/>
            </w:pPr>
            <w:r>
              <w:rPr>
                <w:rFonts w:ascii="Calibri" w:hAnsi="Calibri"/>
                <w:b w:val="0"/>
                <w:color w:val="1F2937"/>
                <w:sz w:val="19"/>
              </w:rPr>
              <w:t>No failed projection executions</w:t>
            </w:r>
          </w:p>
        </w:tc>
      </w:tr>
      <w:tr>
        <w:tc>
          <w:tcPr>
            <w:tcW w:type="dxa" w:w="2450"/>
          </w:tcPr>
          <w:p>
            <w:pPr>
              <w:spacing w:after="0" w:before="0" w:line="252" w:lineRule="auto"/>
              <w:jc w:val="left"/>
            </w:pPr>
            <w:r>
              <w:rPr>
                <w:rFonts w:ascii="Calibri" w:hAnsi="Calibri"/>
                <w:b w:val="0"/>
                <w:color w:val="1F2937"/>
                <w:sz w:val="19"/>
              </w:rPr>
              <w:t>Collection status</w:t>
            </w:r>
          </w:p>
        </w:tc>
        <w:tc>
          <w:tcPr>
            <w:tcW w:type="dxa" w:w="2000"/>
          </w:tcPr>
          <w:p>
            <w:pPr>
              <w:spacing w:after="0" w:before="0" w:line="252" w:lineRule="auto"/>
              <w:jc w:val="center"/>
            </w:pPr>
            <w:r>
              <w:rPr>
                <w:rFonts w:ascii="Calibri" w:hAnsi="Calibri"/>
                <w:b w:val="0"/>
                <w:color w:val="1F2937"/>
                <w:sz w:val="19"/>
              </w:rPr>
              <w:t>Collected</w:t>
            </w:r>
          </w:p>
        </w:tc>
        <w:tc>
          <w:tcPr>
            <w:tcW w:type="dxa" w:w="4910"/>
          </w:tcPr>
          <w:p>
            <w:pPr>
              <w:spacing w:after="0" w:before="0" w:line="252" w:lineRule="auto"/>
              <w:jc w:val="left"/>
            </w:pPr>
            <w:r>
              <w:rPr>
                <w:rFonts w:ascii="Calibri" w:hAnsi="Calibri"/>
                <w:b w:val="0"/>
                <w:color w:val="1F2937"/>
                <w:sz w:val="19"/>
              </w:rPr>
              <w:t>Results manifest and analysis emitted</w:t>
            </w:r>
          </w:p>
        </w:tc>
      </w:tr>
      <w:tr>
        <w:tc>
          <w:tcPr>
            <w:tcW w:type="dxa" w:w="2450"/>
          </w:tcPr>
          <w:p>
            <w:pPr>
              <w:spacing w:after="0" w:before="0" w:line="252" w:lineRule="auto"/>
              <w:jc w:val="left"/>
            </w:pPr>
            <w:r>
              <w:rPr>
                <w:rFonts w:ascii="Calibri" w:hAnsi="Calibri"/>
                <w:b w:val="0"/>
                <w:color w:val="1F2937"/>
                <w:sz w:val="19"/>
              </w:rPr>
              <w:t>External spend</w:t>
            </w:r>
          </w:p>
        </w:tc>
        <w:tc>
          <w:tcPr>
            <w:tcW w:type="dxa" w:w="2000"/>
          </w:tcPr>
          <w:p>
            <w:pPr>
              <w:spacing w:after="0" w:before="0" w:line="252" w:lineRule="auto"/>
              <w:jc w:val="center"/>
            </w:pPr>
            <w:r>
              <w:rPr>
                <w:rFonts w:ascii="Calibri" w:hAnsi="Calibri"/>
                <w:b w:val="0"/>
                <w:color w:val="1F2937"/>
                <w:sz w:val="19"/>
              </w:rPr>
              <w:t>USD 0</w:t>
            </w:r>
          </w:p>
        </w:tc>
        <w:tc>
          <w:tcPr>
            <w:tcW w:type="dxa" w:w="4910"/>
          </w:tcPr>
          <w:p>
            <w:pPr>
              <w:spacing w:after="0" w:before="0" w:line="252" w:lineRule="auto"/>
              <w:jc w:val="center"/>
            </w:pPr>
            <w:r>
              <w:rPr>
                <w:rFonts w:ascii="Calibri" w:hAnsi="Calibri"/>
                <w:b w:val="0"/>
                <w:color w:val="1F2937"/>
                <w:sz w:val="19"/>
              </w:rPr>
              <w:t>Local-only execution</w:t>
            </w:r>
          </w:p>
        </w:tc>
      </w:tr>
      <w:tr>
        <w:tc>
          <w:tcPr>
            <w:tcW w:type="dxa" w:w="2450"/>
          </w:tcPr>
          <w:p>
            <w:pPr>
              <w:spacing w:after="0" w:before="0" w:line="252" w:lineRule="auto"/>
              <w:jc w:val="left"/>
            </w:pPr>
            <w:r>
              <w:rPr>
                <w:rFonts w:ascii="Calibri" w:hAnsi="Calibri"/>
                <w:b w:val="0"/>
                <w:color w:val="1F2937"/>
                <w:sz w:val="19"/>
              </w:rPr>
              <w:t>Recorded shard wall time</w:t>
            </w:r>
          </w:p>
        </w:tc>
        <w:tc>
          <w:tcPr>
            <w:tcW w:type="dxa" w:w="2000"/>
          </w:tcPr>
          <w:p>
            <w:pPr>
              <w:spacing w:after="0" w:before="0" w:line="252" w:lineRule="auto"/>
              <w:jc w:val="center"/>
            </w:pPr>
            <w:r>
              <w:rPr>
                <w:rFonts w:ascii="Calibri" w:hAnsi="Calibri"/>
                <w:b w:val="0"/>
                <w:color w:val="1F2937"/>
                <w:sz w:val="19"/>
              </w:rPr>
              <w:t>10 h 27 m 38 s</w:t>
            </w:r>
          </w:p>
        </w:tc>
        <w:tc>
          <w:tcPr>
            <w:tcW w:type="dxa" w:w="4910"/>
          </w:tcPr>
          <w:p>
            <w:pPr>
              <w:spacing w:after="0" w:before="0" w:line="252" w:lineRule="auto"/>
              <w:jc w:val="left"/>
            </w:pPr>
            <w:r>
              <w:rPr>
                <w:rFonts w:ascii="Calibri" w:hAnsi="Calibri"/>
                <w:b w:val="0"/>
                <w:color w:val="1F2937"/>
                <w:sz w:val="19"/>
              </w:rPr>
              <w:t>Aggregate recorded shard duration</w:t>
            </w:r>
          </w:p>
        </w:tc>
      </w:tr>
    </w:tbl>
    <w:p>
      <w:r>
        <w:t>The supervisor recorded two recoveries during execution. Each interruption was retained in the operational event chain; only immutable shard receipts count toward completion. The final report confirms 48 completed shards, no missing shards, and 960 completed projections.</w:t>
      </w:r>
    </w:p>
    <w:p>
      <w:pPr>
        <w:pStyle w:val="Heading1"/>
      </w:pPr>
      <w:r>
        <w:t>4. Analysis status and interpretive boundary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EEF5"/>
          </w:tcPr>
          <w:p>
            <w:pPr>
              <w:spacing w:after="40"/>
            </w:pPr>
            <w:r>
              <w:rPr>
                <w:rFonts w:ascii="Calibri" w:hAnsi="Calibri"/>
                <w:b/>
                <w:color w:val="1F4D78"/>
                <w:sz w:val="22"/>
              </w:rPr>
              <w:t>Important analytical boundary.</w:t>
            </w:r>
          </w:p>
          <w:p>
            <w:pPr>
              <w:spacing w:after="0" w:line="269" w:lineRule="auto"/>
            </w:pPr>
            <w:r>
              <w:rPr>
                <w:rFonts w:ascii="Calibri" w:hAnsi="Calibri"/>
                <w:color w:val="1F2937"/>
                <w:sz w:val="21"/>
              </w:rPr>
              <w:t>Completeness of execution does not by itself permit a research claim. The collected normative analysis returns the decision ineligible. The report must therefore be cited as an executed, reproducible evidence package rather than as a validated empirical claim of the target capability.</w:t>
            </w:r>
          </w:p>
        </w:tc>
      </w:tr>
    </w:tbl>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Analysis field</w:t>
            </w:r>
          </w:p>
        </w:tc>
        <w:tc>
          <w:tcPr>
            <w:tcW w:type="dxa" w:w="636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Value</w:t>
            </w:r>
          </w:p>
        </w:tc>
      </w:tr>
      <w:tr>
        <w:tc>
          <w:tcPr>
            <w:tcW w:type="dxa" w:w="3000"/>
          </w:tcPr>
          <w:p>
            <w:pPr>
              <w:spacing w:after="0" w:before="0" w:line="252" w:lineRule="auto"/>
              <w:jc w:val="left"/>
            </w:pPr>
            <w:r>
              <w:rPr>
                <w:rFonts w:ascii="Calibri" w:hAnsi="Calibri"/>
                <w:b w:val="0"/>
                <w:color w:val="1F2937"/>
                <w:sz w:val="19"/>
              </w:rPr>
              <w:t>Decision</w:t>
            </w:r>
          </w:p>
        </w:tc>
        <w:tc>
          <w:tcPr>
            <w:tcW w:type="dxa" w:w="6360"/>
          </w:tcPr>
          <w:p>
            <w:pPr>
              <w:spacing w:after="0" w:before="0" w:line="252" w:lineRule="auto"/>
              <w:jc w:val="center"/>
            </w:pPr>
            <w:r>
              <w:rPr>
                <w:rFonts w:ascii="Calibri" w:hAnsi="Calibri"/>
                <w:b w:val="0"/>
                <w:color w:val="1F2937"/>
                <w:sz w:val="19"/>
              </w:rPr>
              <w:t>ineligible</w:t>
            </w:r>
          </w:p>
        </w:tc>
      </w:tr>
      <w:tr>
        <w:tc>
          <w:tcPr>
            <w:tcW w:type="dxa" w:w="3000"/>
          </w:tcPr>
          <w:p>
            <w:pPr>
              <w:spacing w:after="0" w:before="0" w:line="252" w:lineRule="auto"/>
              <w:jc w:val="left"/>
            </w:pPr>
            <w:r>
              <w:rPr>
                <w:rFonts w:ascii="Calibri" w:hAnsi="Calibri"/>
                <w:b w:val="0"/>
                <w:color w:val="1F2937"/>
                <w:sz w:val="19"/>
              </w:rPr>
              <w:t>Empirical claim permitted</w:t>
            </w:r>
          </w:p>
        </w:tc>
        <w:tc>
          <w:tcPr>
            <w:tcW w:type="dxa" w:w="6360"/>
          </w:tcPr>
          <w:p>
            <w:pPr>
              <w:spacing w:after="0" w:before="0" w:line="252" w:lineRule="auto"/>
              <w:jc w:val="center"/>
            </w:pPr>
            <w:r>
              <w:rPr>
                <w:rFonts w:ascii="Calibri" w:hAnsi="Calibri"/>
                <w:b w:val="0"/>
                <w:color w:val="1F2937"/>
                <w:sz w:val="19"/>
              </w:rPr>
              <w:t>No</w:t>
            </w:r>
          </w:p>
        </w:tc>
      </w:tr>
      <w:tr>
        <w:tc>
          <w:tcPr>
            <w:tcW w:type="dxa" w:w="3000"/>
          </w:tcPr>
          <w:p>
            <w:pPr>
              <w:spacing w:after="0" w:before="0" w:line="252" w:lineRule="auto"/>
              <w:jc w:val="left"/>
            </w:pPr>
            <w:r>
              <w:rPr>
                <w:rFonts w:ascii="Calibri" w:hAnsi="Calibri"/>
                <w:b w:val="0"/>
                <w:color w:val="1F2937"/>
                <w:sz w:val="19"/>
              </w:rPr>
              <w:t>Reason code 1</w:t>
            </w:r>
          </w:p>
        </w:tc>
        <w:tc>
          <w:tcPr>
            <w:tcW w:type="dxa" w:w="6360"/>
          </w:tcPr>
          <w:p>
            <w:pPr>
              <w:spacing w:after="0" w:before="0" w:line="252" w:lineRule="auto"/>
              <w:jc w:val="left"/>
            </w:pPr>
            <w:r>
              <w:rPr>
                <w:rFonts w:ascii="Calibri" w:hAnsi="Calibri"/>
                <w:b w:val="0"/>
                <w:color w:val="1F2937"/>
                <w:sz w:val="19"/>
              </w:rPr>
              <w:t>normative_role_coherence_horizon_invalid</w:t>
            </w:r>
          </w:p>
        </w:tc>
      </w:tr>
      <w:tr>
        <w:tc>
          <w:tcPr>
            <w:tcW w:type="dxa" w:w="3000"/>
          </w:tcPr>
          <w:p>
            <w:pPr>
              <w:spacing w:after="0" w:before="0" w:line="252" w:lineRule="auto"/>
              <w:jc w:val="left"/>
            </w:pPr>
            <w:r>
              <w:rPr>
                <w:rFonts w:ascii="Calibri" w:hAnsi="Calibri"/>
                <w:b w:val="0"/>
                <w:color w:val="1F2937"/>
                <w:sz w:val="19"/>
              </w:rPr>
              <w:t>Reason code 2</w:t>
            </w:r>
          </w:p>
        </w:tc>
        <w:tc>
          <w:tcPr>
            <w:tcW w:type="dxa" w:w="6360"/>
          </w:tcPr>
          <w:p>
            <w:pPr>
              <w:spacing w:after="0" w:before="0" w:line="252" w:lineRule="auto"/>
              <w:jc w:val="left"/>
            </w:pPr>
            <w:r>
              <w:rPr>
                <w:rFonts w:ascii="Calibri" w:hAnsi="Calibri"/>
                <w:b w:val="0"/>
                <w:color w:val="1F2937"/>
                <w:sz w:val="19"/>
              </w:rPr>
              <w:t>normative_role_useful_rate_below_threshold</w:t>
            </w:r>
          </w:p>
        </w:tc>
      </w:tr>
      <w:tr>
        <w:tc>
          <w:tcPr>
            <w:tcW w:type="dxa" w:w="3000"/>
          </w:tcPr>
          <w:p>
            <w:pPr>
              <w:spacing w:after="0" w:before="0" w:line="252" w:lineRule="auto"/>
              <w:jc w:val="left"/>
            </w:pPr>
            <w:r>
              <w:rPr>
                <w:rFonts w:ascii="Calibri" w:hAnsi="Calibri"/>
                <w:b w:val="0"/>
                <w:color w:val="1F2937"/>
                <w:sz w:val="19"/>
              </w:rPr>
              <w:t>Reason code 3</w:t>
            </w:r>
          </w:p>
        </w:tc>
        <w:tc>
          <w:tcPr>
            <w:tcW w:type="dxa" w:w="6360"/>
          </w:tcPr>
          <w:p>
            <w:pPr>
              <w:spacing w:after="0" w:before="0" w:line="252" w:lineRule="auto"/>
              <w:jc w:val="left"/>
            </w:pPr>
            <w:r>
              <w:rPr>
                <w:rFonts w:ascii="Calibri" w:hAnsi="Calibri"/>
                <w:b w:val="0"/>
                <w:color w:val="1F2937"/>
                <w:sz w:val="19"/>
              </w:rPr>
              <w:t>normative_convergence_evidence_missing</w:t>
            </w:r>
          </w:p>
        </w:tc>
      </w:tr>
    </w:tbl>
    <w:p>
      <w:r>
        <w:t>The ineligibility decision preserves the separation between operational reliability and substantive validity. It identifies the next methodological work: satisfy or revise the normative role-coherence horizon, useful-role-rate threshold, and convergence evidence requirements before claiming the evaluated property.</w:t>
      </w:r>
    </w:p>
    <w:p>
      <w:pPr>
        <w:pStyle w:val="Heading1"/>
      </w:pPr>
      <w:r>
        <w:t>5. Evidence provenance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Artifact</w:t>
            </w:r>
          </w:p>
        </w:tc>
        <w:tc>
          <w:tcPr>
            <w:tcW w:type="dxa" w:w="636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Digest or status</w:t>
            </w:r>
          </w:p>
        </w:tc>
      </w:tr>
      <w:tr>
        <w:tc>
          <w:tcPr>
            <w:tcW w:type="dxa" w:w="3000"/>
          </w:tcPr>
          <w:p>
            <w:pPr>
              <w:spacing w:after="0" w:before="0" w:line="252" w:lineRule="auto"/>
              <w:jc w:val="left"/>
            </w:pPr>
            <w:r>
              <w:rPr>
                <w:rFonts w:ascii="Calibri" w:hAnsi="Calibri"/>
                <w:b w:val="0"/>
                <w:color w:val="1F2937"/>
                <w:sz w:val="19"/>
              </w:rPr>
              <w:t>Collection manifest</w:t>
            </w:r>
          </w:p>
        </w:tc>
        <w:tc>
          <w:tcPr>
            <w:tcW w:type="dxa" w:w="6360"/>
          </w:tcPr>
          <w:p>
            <w:pPr>
              <w:spacing w:after="0" w:before="0" w:line="252" w:lineRule="auto"/>
              <w:jc w:val="left"/>
            </w:pPr>
            <w:r>
              <w:rPr>
                <w:rFonts w:ascii="Calibri" w:hAnsi="Calibri"/>
                <w:b w:val="0"/>
                <w:color w:val="1F2937"/>
                <w:sz w:val="19"/>
              </w:rPr>
              <w:t>sha256:5cdd29b44f21bfa10b00aa7eed1023be2826a8ed5322e3159d1a91345fac535b</w:t>
            </w:r>
          </w:p>
        </w:tc>
      </w:tr>
      <w:tr>
        <w:tc>
          <w:tcPr>
            <w:tcW w:type="dxa" w:w="3000"/>
          </w:tcPr>
          <w:p>
            <w:pPr>
              <w:spacing w:after="0" w:before="0" w:line="252" w:lineRule="auto"/>
              <w:jc w:val="left"/>
            </w:pPr>
            <w:r>
              <w:rPr>
                <w:rFonts w:ascii="Calibri" w:hAnsi="Calibri"/>
                <w:b w:val="0"/>
                <w:color w:val="1F2937"/>
                <w:sz w:val="19"/>
              </w:rPr>
              <w:t>Normative analysis</w:t>
            </w:r>
          </w:p>
        </w:tc>
        <w:tc>
          <w:tcPr>
            <w:tcW w:type="dxa" w:w="6360"/>
          </w:tcPr>
          <w:p>
            <w:pPr>
              <w:spacing w:after="0" w:before="0" w:line="252" w:lineRule="auto"/>
              <w:jc w:val="left"/>
            </w:pPr>
            <w:r>
              <w:rPr>
                <w:rFonts w:ascii="Calibri" w:hAnsi="Calibri"/>
                <w:b w:val="0"/>
                <w:color w:val="1F2937"/>
                <w:sz w:val="19"/>
              </w:rPr>
              <w:t>sha256:c749f7f7efe7732596dd089cd646fcc97f3d1002785d14301c0ea27ab23ade14</w:t>
            </w:r>
          </w:p>
        </w:tc>
      </w:tr>
      <w:tr>
        <w:tc>
          <w:tcPr>
            <w:tcW w:type="dxa" w:w="3000"/>
          </w:tcPr>
          <w:p>
            <w:pPr>
              <w:spacing w:after="0" w:before="0" w:line="252" w:lineRule="auto"/>
              <w:jc w:val="left"/>
            </w:pPr>
            <w:r>
              <w:rPr>
                <w:rFonts w:ascii="Calibri" w:hAnsi="Calibri"/>
                <w:b w:val="0"/>
                <w:color w:val="1F2937"/>
                <w:sz w:val="19"/>
              </w:rPr>
              <w:t>Receipt root</w:t>
            </w:r>
          </w:p>
        </w:tc>
        <w:tc>
          <w:tcPr>
            <w:tcW w:type="dxa" w:w="6360"/>
          </w:tcPr>
          <w:p>
            <w:pPr>
              <w:spacing w:after="0" w:before="0" w:line="252" w:lineRule="auto"/>
              <w:jc w:val="left"/>
            </w:pPr>
            <w:r>
              <w:rPr>
                <w:rFonts w:ascii="Calibri" w:hAnsi="Calibri"/>
                <w:b w:val="0"/>
                <w:color w:val="1F2937"/>
                <w:sz w:val="19"/>
              </w:rPr>
              <w:t>sha256:c74d779e532d6b3930497e0b38e44f718e6345af9fd840842248d4d4dab92c6a</w:t>
            </w:r>
          </w:p>
        </w:tc>
      </w:tr>
      <w:tr>
        <w:tc>
          <w:tcPr>
            <w:tcW w:type="dxa" w:w="3000"/>
          </w:tcPr>
          <w:p>
            <w:pPr>
              <w:spacing w:after="0" w:before="0" w:line="252" w:lineRule="auto"/>
              <w:jc w:val="left"/>
            </w:pPr>
            <w:r>
              <w:rPr>
                <w:rFonts w:ascii="Calibri" w:hAnsi="Calibri"/>
                <w:b w:val="0"/>
                <w:color w:val="1F2937"/>
                <w:sz w:val="19"/>
              </w:rPr>
              <w:t>Operational events</w:t>
            </w:r>
          </w:p>
        </w:tc>
        <w:tc>
          <w:tcPr>
            <w:tcW w:type="dxa" w:w="6360"/>
          </w:tcPr>
          <w:p>
            <w:pPr>
              <w:spacing w:after="0" w:before="0" w:line="252" w:lineRule="auto"/>
              <w:jc w:val="left"/>
            </w:pPr>
            <w:r>
              <w:rPr>
                <w:rFonts w:ascii="Calibri" w:hAnsi="Calibri"/>
                <w:b w:val="0"/>
                <w:color w:val="1F2937"/>
                <w:sz w:val="19"/>
              </w:rPr>
              <w:t>102 hash-chained events</w:t>
            </w:r>
          </w:p>
        </w:tc>
      </w:tr>
      <w:tr>
        <w:tc>
          <w:tcPr>
            <w:tcW w:type="dxa" w:w="3000"/>
          </w:tcPr>
          <w:p>
            <w:pPr>
              <w:spacing w:after="0" w:before="0" w:line="252" w:lineRule="auto"/>
              <w:jc w:val="left"/>
            </w:pPr>
            <w:r>
              <w:rPr>
                <w:rFonts w:ascii="Calibri" w:hAnsi="Calibri"/>
                <w:b w:val="0"/>
                <w:color w:val="1F2937"/>
                <w:sz w:val="19"/>
              </w:rPr>
              <w:t>Final execution report</w:t>
            </w:r>
          </w:p>
        </w:tc>
        <w:tc>
          <w:tcPr>
            <w:tcW w:type="dxa" w:w="6360"/>
          </w:tcPr>
          <w:p>
            <w:pPr>
              <w:spacing w:after="0" w:before="0" w:line="252" w:lineRule="auto"/>
              <w:jc w:val="left"/>
            </w:pPr>
            <w:r>
              <w:rPr>
                <w:rFonts w:ascii="Calibri" w:hAnsi="Calibri"/>
                <w:b w:val="0"/>
                <w:color w:val="1F2937"/>
                <w:sz w:val="19"/>
              </w:rPr>
              <w:t>Created; 48 per-shard receipt records</w:t>
            </w:r>
          </w:p>
        </w:tc>
      </w:tr>
      <w:tr>
        <w:tc>
          <w:tcPr>
            <w:tcW w:type="dxa" w:w="3000"/>
          </w:tcPr>
          <w:p>
            <w:pPr>
              <w:spacing w:after="0" w:before="0" w:line="252" w:lineRule="auto"/>
              <w:jc w:val="left"/>
            </w:pPr>
            <w:r>
              <w:rPr>
                <w:rFonts w:ascii="Calibri" w:hAnsi="Calibri"/>
                <w:b w:val="0"/>
                <w:color w:val="1F2937"/>
                <w:sz w:val="19"/>
              </w:rPr>
              <w:t>Content-addressed objects</w:t>
            </w:r>
          </w:p>
        </w:tc>
        <w:tc>
          <w:tcPr>
            <w:tcW w:type="dxa" w:w="6360"/>
          </w:tcPr>
          <w:p>
            <w:pPr>
              <w:spacing w:after="0" w:before="0" w:line="252" w:lineRule="auto"/>
              <w:jc w:val="center"/>
            </w:pPr>
            <w:r>
              <w:rPr>
                <w:rFonts w:ascii="Calibri" w:hAnsi="Calibri"/>
                <w:b w:val="0"/>
                <w:color w:val="1F2937"/>
                <w:sz w:val="19"/>
              </w:rPr>
              <w:t>3,840 stored objects</w:t>
            </w:r>
          </w:p>
        </w:tc>
      </w:tr>
    </w:tbl>
    <w:p>
      <w:pPr>
        <w:pStyle w:val="Heading1"/>
      </w:pPr>
      <w:r>
        <w:t>6. Reproducibility statement for manuscript use</w:t>
      </w:r>
    </w:p>
    <w:p>
      <w:r>
        <w:t>The study was executed locally from the frozen commit listed above. The evidence package preserves authorization, source identity, shard completion, projection count, collection manifest, analysis digest, per-shard receipts, and the final supervisor report. Re-execution should use the registered operation and authorization artifacts, retain the fixed aggregation seed, and report analytical eligibility independently from completion status.</w:t>
      </w:r>
    </w:p>
    <w:p>
      <w:pPr>
        <w:pStyle w:val="Heading2"/>
      </w:pPr>
      <w:r>
        <w:t>Suggested manuscript language</w:t>
      </w:r>
    </w:p>
    <w:p>
      <w:pPr>
        <w:spacing w:after="80"/>
        <w:ind w:left="288" w:right="288"/>
      </w:pPr>
      <w:r>
        <w:rPr>
          <w:rFonts w:ascii="Calibri" w:hAnsi="Calibri"/>
          <w:b w:val="0"/>
          <w:i/>
          <w:color w:val="1F2937"/>
          <w:sz w:val="21"/>
        </w:rPr>
        <w:t>“We completed a preregistered local campaign comprising 48 shards, 240 experimental cells, and 960 projections from a frozen source commit. The evidence collection completed with no failed projection executions and no external spend. However, the prespecified normative analysis classified the evidence as ineligible for an empirical claim because role-coherence, useful-role-rate, and convergence-evidence criteria were not satisfied. We therefore report the result as an auditable execution record and not as confirmation of the evaluated capability.”</w:t>
      </w:r>
    </w:p>
    <w:p>
      <w:pPr>
        <w:pStyle w:val="Heading1"/>
      </w:pPr>
      <w:r>
        <w:t>Appendix A. Artifact inventory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Artifact</w:t>
            </w:r>
          </w:p>
        </w:tc>
        <w:tc>
          <w:tcPr>
            <w:tcW w:type="dxa" w:w="6360"/>
            <w:vAlign w:val="center"/>
            <w:tcMar>
              <w:top w:w="80" w:type="dxa"/>
              <w:bottom w:w="80" w:type="dxa"/>
              <w:start w:w="120" w:type="dxa"/>
              <w:end w:w="120" w:type="dxa"/>
            </w:tcMar>
            <w:shd w:fill="F2F4F7"/>
          </w:tcPr>
          <w:p>
            <w:pPr>
              <w:spacing w:after="0" w:before="0" w:line="252" w:lineRule="auto"/>
              <w:jc w:val="left"/>
            </w:pPr>
            <w:r>
              <w:rPr>
                <w:rFonts w:ascii="Calibri" w:hAnsi="Calibri"/>
                <w:b/>
                <w:color w:val="1F4D78"/>
                <w:sz w:val="19"/>
              </w:rPr>
              <w:t>Role in the study record</w:t>
            </w:r>
          </w:p>
        </w:tc>
      </w:tr>
      <w:tr>
        <w:tc>
          <w:tcPr>
            <w:tcW w:type="dxa" w:w="3000"/>
          </w:tcPr>
          <w:p>
            <w:pPr>
              <w:spacing w:after="0" w:before="0" w:line="252" w:lineRule="auto"/>
              <w:jc w:val="left"/>
            </w:pPr>
            <w:r>
              <w:rPr>
                <w:rFonts w:ascii="Calibri" w:hAnsi="Calibri"/>
                <w:b w:val="0"/>
                <w:color w:val="1F2937"/>
                <w:sz w:val="19"/>
              </w:rPr>
              <w:t>Registered operation</w:t>
            </w:r>
          </w:p>
        </w:tc>
        <w:tc>
          <w:tcPr>
            <w:tcW w:type="dxa" w:w="6360"/>
          </w:tcPr>
          <w:p>
            <w:pPr>
              <w:spacing w:after="0" w:before="0" w:line="252" w:lineRule="auto"/>
              <w:jc w:val="left"/>
            </w:pPr>
            <w:r>
              <w:rPr>
                <w:rFonts w:ascii="Calibri" w:hAnsi="Calibri"/>
                <w:b w:val="0"/>
                <w:color w:val="1F2937"/>
                <w:sz w:val="19"/>
              </w:rPr>
              <w:t>Frozen study identity and preregistered parameters</w:t>
            </w:r>
          </w:p>
        </w:tc>
      </w:tr>
      <w:tr>
        <w:tc>
          <w:tcPr>
            <w:tcW w:type="dxa" w:w="3000"/>
          </w:tcPr>
          <w:p>
            <w:pPr>
              <w:spacing w:after="0" w:before="0" w:line="252" w:lineRule="auto"/>
              <w:jc w:val="left"/>
            </w:pPr>
            <w:r>
              <w:rPr>
                <w:rFonts w:ascii="Calibri" w:hAnsi="Calibri"/>
                <w:b w:val="0"/>
                <w:color w:val="1F2937"/>
                <w:sz w:val="19"/>
              </w:rPr>
              <w:t>Authorization record</w:t>
            </w:r>
          </w:p>
        </w:tc>
        <w:tc>
          <w:tcPr>
            <w:tcW w:type="dxa" w:w="6360"/>
          </w:tcPr>
          <w:p>
            <w:pPr>
              <w:spacing w:after="0" w:before="0" w:line="252" w:lineRule="auto"/>
              <w:jc w:val="left"/>
            </w:pPr>
            <w:r>
              <w:rPr>
                <w:rFonts w:ascii="Calibri" w:hAnsi="Calibri"/>
                <w:b w:val="0"/>
                <w:color w:val="1F2937"/>
                <w:sz w:val="19"/>
              </w:rPr>
              <w:t>Permitted shard scope and collection authorization</w:t>
            </w:r>
          </w:p>
        </w:tc>
      </w:tr>
      <w:tr>
        <w:tc>
          <w:tcPr>
            <w:tcW w:type="dxa" w:w="3000"/>
          </w:tcPr>
          <w:p>
            <w:pPr>
              <w:spacing w:after="0" w:before="0" w:line="252" w:lineRule="auto"/>
              <w:jc w:val="left"/>
            </w:pPr>
            <w:r>
              <w:rPr>
                <w:rFonts w:ascii="Calibri" w:hAnsi="Calibri"/>
                <w:b w:val="0"/>
                <w:color w:val="1F2937"/>
                <w:sz w:val="19"/>
              </w:rPr>
              <w:t>Content-addressed store</w:t>
            </w:r>
          </w:p>
        </w:tc>
        <w:tc>
          <w:tcPr>
            <w:tcW w:type="dxa" w:w="6360"/>
          </w:tcPr>
          <w:p>
            <w:pPr>
              <w:spacing w:after="0" w:before="0" w:line="252" w:lineRule="auto"/>
              <w:jc w:val="left"/>
            </w:pPr>
            <w:r>
              <w:rPr>
                <w:rFonts w:ascii="Calibri" w:hAnsi="Calibri"/>
                <w:b w:val="0"/>
                <w:color w:val="1F2937"/>
                <w:sz w:val="19"/>
              </w:rPr>
              <w:t>Immutable projection and evidence content</w:t>
            </w:r>
          </w:p>
        </w:tc>
      </w:tr>
      <w:tr>
        <w:tc>
          <w:tcPr>
            <w:tcW w:type="dxa" w:w="3000"/>
          </w:tcPr>
          <w:p>
            <w:pPr>
              <w:spacing w:after="0" w:before="0" w:line="252" w:lineRule="auto"/>
              <w:jc w:val="left"/>
            </w:pPr>
            <w:r>
              <w:rPr>
                <w:rFonts w:ascii="Calibri" w:hAnsi="Calibri"/>
                <w:b w:val="0"/>
                <w:color w:val="1F2937"/>
                <w:sz w:val="19"/>
              </w:rPr>
              <w:t>Collection manifest</w:t>
            </w:r>
          </w:p>
        </w:tc>
        <w:tc>
          <w:tcPr>
            <w:tcW w:type="dxa" w:w="6360"/>
          </w:tcPr>
          <w:p>
            <w:pPr>
              <w:spacing w:after="0" w:before="0" w:line="252" w:lineRule="auto"/>
              <w:jc w:val="left"/>
            </w:pPr>
            <w:r>
              <w:rPr>
                <w:rFonts w:ascii="Calibri" w:hAnsi="Calibri"/>
                <w:b w:val="0"/>
                <w:color w:val="1F2937"/>
                <w:sz w:val="19"/>
              </w:rPr>
              <w:t>Counts, digests, and result-status closure</w:t>
            </w:r>
          </w:p>
        </w:tc>
      </w:tr>
      <w:tr>
        <w:tc>
          <w:tcPr>
            <w:tcW w:type="dxa" w:w="3000"/>
          </w:tcPr>
          <w:p>
            <w:pPr>
              <w:spacing w:after="0" w:before="0" w:line="252" w:lineRule="auto"/>
              <w:jc w:val="left"/>
            </w:pPr>
            <w:r>
              <w:rPr>
                <w:rFonts w:ascii="Calibri" w:hAnsi="Calibri"/>
                <w:b w:val="0"/>
                <w:color w:val="1F2937"/>
                <w:sz w:val="19"/>
              </w:rPr>
              <w:t>Normative analysis</w:t>
            </w:r>
          </w:p>
        </w:tc>
        <w:tc>
          <w:tcPr>
            <w:tcW w:type="dxa" w:w="6360"/>
          </w:tcPr>
          <w:p>
            <w:pPr>
              <w:spacing w:after="0" w:before="0" w:line="252" w:lineRule="auto"/>
              <w:jc w:val="left"/>
            </w:pPr>
            <w:r>
              <w:rPr>
                <w:rFonts w:ascii="Calibri" w:hAnsi="Calibri"/>
                <w:b w:val="0"/>
                <w:color w:val="1F2937"/>
                <w:sz w:val="19"/>
              </w:rPr>
              <w:t>Endpoint calculations, decision, and reason codes</w:t>
            </w:r>
          </w:p>
        </w:tc>
      </w:tr>
      <w:tr>
        <w:tc>
          <w:tcPr>
            <w:tcW w:type="dxa" w:w="3000"/>
          </w:tcPr>
          <w:p>
            <w:pPr>
              <w:spacing w:after="0" w:before="0" w:line="252" w:lineRule="auto"/>
              <w:jc w:val="left"/>
            </w:pPr>
            <w:r>
              <w:rPr>
                <w:rFonts w:ascii="Calibri" w:hAnsi="Calibri"/>
                <w:b w:val="0"/>
                <w:color w:val="1F2937"/>
                <w:sz w:val="19"/>
              </w:rPr>
              <w:t>Final supervisor report</w:t>
            </w:r>
          </w:p>
        </w:tc>
        <w:tc>
          <w:tcPr>
            <w:tcW w:type="dxa" w:w="6360"/>
          </w:tcPr>
          <w:p>
            <w:pPr>
              <w:spacing w:after="0" w:before="0" w:line="252" w:lineRule="auto"/>
              <w:jc w:val="left"/>
            </w:pPr>
            <w:r>
              <w:rPr>
                <w:rFonts w:ascii="Calibri" w:hAnsi="Calibri"/>
                <w:b w:val="0"/>
                <w:color w:val="1F2937"/>
                <w:sz w:val="19"/>
              </w:rPr>
              <w:t>Execution history, shard receipts, recoveries, and environment summary</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0"/>
        <w:sz w:val="17"/>
      </w:rPr>
      <w:t>Local evidence package V28 | Source commit f041284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470"/>
        <w:sz w:val="17"/>
      </w:rPr>
      <w:t>AgentPlat | Reproducible Empirical Study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AgentPlat V28 Reproducible Empirical Study Appendix</dc:title>
  <dc:subject>Supplementary methods and results</dc:subject>
  <dc:creator>AgentPlat</dc:creator>
  <cp:keywords/>
  <dc:description>Generated from the local V28 evidence package.</dc:description>
  <cp:lastModifiedBy/>
  <cp:revision>1</cp:revision>
  <dcterms:created xsi:type="dcterms:W3CDTF">2013-12-23T23:15:00Z</dcterms:created>
  <dcterms:modified xsi:type="dcterms:W3CDTF">2013-12-23T23:15:00Z</dcterms:modified>
  <cp:category/>
</cp:coreProperties>
</file>