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Architecture, Control Boundaries, and Lessons from an Inconclusive Preregistered Study</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1.0 — 14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composed stack adds evidence and Trust, Collective Runtime planning and adaptation, Inference Control,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 xml:space="preserve">We also report a preregistered paired simulation campaign comparing the adaptive collective configuration with a fairness-constrained centralized planner. The design comprises 240 paired experimental cells across four collective sizes and four operating strata, with first executions and exact replays for both treatments. Campaign V28 completed all 48 authorized shards and all 960 registered projection processes without an execution-level projection failure. That status did not denote mission success, endpoint validity, or eligibility for a scientific claim. The prespecified normative analysis classified the evidence as </w:t>
      </w:r>
      <w:r>
        <w:rPr>
          <w:rFonts w:ascii="Calibri" w:hAnsi="Calibri"/>
          <w:b/>
          <w:color w:val="17202A"/>
        </w:rPr>
        <w:t>ineligible for an empirical claim</w:t>
      </w:r>
      <w:r>
        <w:rPr>
          <w:rFonts w:ascii="Calibri" w:hAnsi="Calibri"/>
          <w:color w:val="17202A"/>
        </w:rPr>
        <w:t xml:space="preserve"> because the role-coherence horizon was invalid, useful-decision rate was below its registered threshold, and convergence evidence was missing. Moreover, the canonical row and table artifacts referenced by retained digests are not recoverable from the repository snapshot used for this manuscript. We therefore report operational closure and a study-instrument failure, not reproducibility of endpoint estimates or comparative superiority. V28 exposes a missing early evaluability check: integrity and completion controls worked, but they did not establish before execution that every registered endpoint could be computed from valid, recoverable evidence.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architectural contributions and reports one evaluation outcome.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makes the assumptions and fail-closed boundaries of that composition explicit enough to inspect against implementation artifacts. These contributions lie in the system-level composition and operational contracts, not in claiming invention of signatures, capabilities, leases, fencing, quorum protocols, causal clocks, or distributed task negotiation. Finally, the paper reports Campaign V28 as an inconclusive preregistered evaluation and instrument postmortem. The available evidence establishes neither comparative superiority nor reproducibility of the registered endpoint estimates.</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anytime-valid semantic bound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These contracts permit dynamic reconfiguration, but the current paper does not claim empirical measurements of Team complexity, strategy novelty, split/merge behavior, or adaptation quality.</w:t>
      </w:r>
    </w:p>
    <w:p>
      <w:pPr>
        <w:widowControl/>
      </w:pPr>
      <w:r>
        <w:rPr>
          <w:rFonts w:ascii="Calibri" w:hAnsi="Calibri"/>
          <w:color w:val="17202A"/>
        </w:rPr>
        <w:t>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The implementation preserves the original receipt on a crash replay and prevents recovery state from becoming authority before the successor passes the normal Work Contract, control, action, and commit boundaries.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containment of adversarial content after it has propagated through an otherwise credible chain, beyond source credibility, context validation, quarantine, causal provenance, and local admission controls;</w:t>
      </w:r>
    </w:p>
    <w:p>
      <w:pPr>
        <w:pStyle w:val="ListBullet"/>
        <w:widowControl/>
      </w:pPr>
      <w:r>
        <w:rPr>
          <w:rFonts w:ascii="Calibri" w:hAnsi="Calibri"/>
          <w:color w:val="17202A"/>
        </w:rPr>
        <w:t>one unified compromise lifecycle spanning suspicion, restriction, isolation, recovery, and expulsion across all Trust, quarantine, membership, and recovery components;</w:t>
      </w:r>
    </w:p>
    <w:p>
      <w:pPr>
        <w:pStyle w:val="ListBullet"/>
        <w:widowControl/>
      </w:pPr>
      <w:r>
        <w:rPr>
          <w:rFonts w:ascii="Calibri" w:hAnsi="Calibri"/>
          <w:color w:val="17202A"/>
        </w:rPr>
        <w:t>arbitrary Team split/merge, nested or federated Team organization, or a general local-leader election mechanism;</w:t>
      </w:r>
    </w:p>
    <w:p>
      <w:pPr>
        <w:pStyle w:val="ListBullet"/>
        <w:widowControl/>
      </w:pPr>
      <w:r>
        <w:rPr>
          <w:rFonts w:ascii="Calibri" w:hAnsi="Calibri"/>
          <w:color w:val="17202A"/>
        </w:rPr>
        <w:t>interchangeable allocation, negotiation, and evidence-fusion algorithms behind one stable strategy interface; the repository contains concrete reference mechanisms rather than a proof that one mechanism is optimal;</w:t>
      </w:r>
    </w:p>
    <w:p>
      <w:pPr>
        <w:pStyle w:val="ListBullet"/>
        <w:widowControl/>
      </w:pPr>
      <w:r>
        <w:rPr>
          <w:rFonts w:ascii="Calibri" w:hAnsi="Calibri"/>
          <w:color w:val="17202A"/>
        </w:rPr>
        <w:t>a general approval-mode policy that automatically places every autonomous mission transition into autonomous, notification, deferred-approval, or mandatory-approval operation; applications can pause, restrict, deny, or place approval at effect boundaries, but the autonomous loop does not infer a universal human-approval policy;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workflow did not include a sufficient pre-execution </w:t>
      </w:r>
      <w:r>
        <w:rPr>
          <w:rFonts w:ascii="Calibri" w:hAnsi="Calibri"/>
          <w:b/>
          <w:color w:val="17202A"/>
        </w:rPr>
        <w:t>evaluability gate</w:t>
      </w:r>
      <w:r>
        <w:rPr>
          <w:rFonts w:ascii="Calibri" w:hAnsi="Calibri"/>
          <w:color w:val="17202A"/>
        </w:rPr>
        <w:t>.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This is a methodological limitation of V28, not evidence that the affected endpoint conditions held during execution.</w:t>
      </w:r>
    </w:p>
    <w:p>
      <w:pPr>
        <w:pStyle w:val="Heading1"/>
        <w:widowControl/>
      </w:pPr>
      <w:r>
        <w:rPr>
          <w:rFonts w:ascii="Calibri" w:hAnsi="Calibri"/>
          <w:color w:val="17202A"/>
        </w:rPr>
        <w:t>8. Results</w:t>
      </w:r>
    </w:p>
    <w:p>
      <w:pPr>
        <w:pStyle w:val="Heading2"/>
        <w:widowControl/>
      </w:pPr>
      <w:r>
        <w:rPr>
          <w:rFonts w:ascii="Calibri" w:hAnsi="Calibri"/>
          <w:color w:val="17202A"/>
        </w:rPr>
        <w:t>8.1 Execution closure</w:t>
      </w:r>
    </w:p>
    <w:p>
      <w:pPr>
        <w:widowControl/>
      </w:pPr>
      <w:r>
        <w:rPr>
          <w:rFonts w:ascii="Calibri" w:hAnsi="Calibri"/>
          <w:color w:val="17202A"/>
        </w:rPr>
        <w:t xml:space="preserve">Campaign V28 used study identifier </w:t>
      </w:r>
      <w:r>
        <w:rPr>
          <w:rFonts w:ascii="Courier New" w:hAnsi="Courier New"/>
          <w:color w:val="17202A"/>
        </w:rPr>
        <w:t>paper-study-v28</w:t>
      </w:r>
      <w:r>
        <w:rPr>
          <w:rFonts w:ascii="Calibri" w:hAnsi="Calibri"/>
          <w:color w:val="17202A"/>
        </w:rPr>
        <w:t xml:space="preserve"> and frozen source commit </w:t>
      </w:r>
      <w:r>
        <w:rPr>
          <w:rFonts w:ascii="Courier New" w:hAnsi="Courier New"/>
          <w:color w:val="17202A"/>
        </w:rPr>
        <w:t>f041284000672b2035138769da7589a6ce89e3f3</w:t>
      </w:r>
      <w:r>
        <w:rPr>
          <w:rFonts w:ascii="Calibri" w:hAnsi="Calibri"/>
          <w:color w:val="17202A"/>
        </w:rPr>
        <w:t>. All 48 authorized shards completed. All 960 registered projection processes completed without a recorded execution-level projection failure. The supervisor retained two recoveries in a chain of 102 operational events. The final evidence inventory lists 3,840 content-addressed objects and one immutable receipt per shard. Recorded aggregate shard wall time was 10 h 27 min 38 s.</w:t>
      </w:r>
    </w:p>
    <w:p>
      <w:pPr>
        <w:widowControl/>
      </w:pPr>
      <w:r>
        <w:rPr>
          <w:rFonts w:ascii="Calibri" w:hAnsi="Calibri"/>
          <w:color w:val="17202A"/>
        </w:rPr>
        <w:t xml:space="preserve">These measurements establish operational completion under the registered local environment. They do not establish valid collection of every required endpoint, mission success, comparative advantage, safety, convergence, or external validity. “Projection success” is retained only as the implementation's status label; scientifically, it means that the projection process terminated without an execution-level error. It is not the hidden evaluator's </w:t>
      </w:r>
      <w:r>
        <w:rPr>
          <w:rFonts w:ascii="Courier New" w:hAnsi="Courier New"/>
          <w:color w:val="17202A"/>
        </w:rPr>
        <w:t>missionSuccess</w:t>
      </w:r>
      <w:r>
        <w:rPr>
          <w:rFonts w:ascii="Calibri" w:hAnsi="Calibri"/>
          <w:color w:val="17202A"/>
        </w:rPr>
        <w:t xml:space="preserve"> endpoint and must not be counted as a favorable observation in the Wilson or paired analyses.</w:t>
      </w:r>
    </w:p>
    <w:p>
      <w:pPr>
        <w:pStyle w:val="Heading2"/>
        <w:widowControl/>
      </w:pPr>
      <w:r>
        <w:rPr>
          <w:rFonts w:ascii="Calibri" w:hAnsi="Calibri"/>
          <w:color w:val="17202A"/>
        </w:rPr>
        <w:t>8.2 Analytical eligibility</w:t>
      </w:r>
    </w:p>
    <w:p>
      <w:pPr>
        <w:widowControl/>
      </w:pPr>
      <w:r>
        <w:rPr>
          <w:rFonts w:ascii="Calibri" w:hAnsi="Calibri"/>
          <w:color w:val="17202A"/>
        </w:rPr>
        <w:t xml:space="preserve">The normative analysis returned decision </w:t>
      </w:r>
      <w:r>
        <w:rPr>
          <w:rFonts w:ascii="Courier New" w:hAnsi="Courier New"/>
          <w:color w:val="17202A"/>
        </w:rPr>
        <w:t>ineligible</w:t>
      </w:r>
      <w:r>
        <w:rPr>
          <w:rFonts w:ascii="Calibri" w:hAnsi="Calibri"/>
          <w:color w:val="17202A"/>
        </w:rPr>
        <w:t xml:space="preserve"> and </w:t>
      </w:r>
      <w:r>
        <w:rPr>
          <w:rFonts w:ascii="Courier New" w:hAnsi="Courier New"/>
          <w:color w:val="17202A"/>
        </w:rPr>
        <w:t>empiricalClaimPermitted: false</w:t>
      </w:r>
      <w:r>
        <w:rPr>
          <w:rFonts w:ascii="Calibri" w:hAnsi="Calibri"/>
          <w:color w:val="17202A"/>
        </w:rPr>
        <w:t>. It reported three prespecified reason codes:</w:t>
      </w:r>
    </w:p>
    <w:p>
      <w:pPr>
        <w:pStyle w:val="ListBullet"/>
        <w:widowControl/>
      </w:pPr>
      <w:r>
        <w:rPr>
          <w:rFonts w:ascii="Courier New" w:hAnsi="Courier New"/>
          <w:color w:val="17202A"/>
        </w:rPr>
        <w:t>normative_role_coherence_horizon_invalid</w:t>
      </w:r>
      <w:r>
        <w:rPr>
          <w:rFonts w:ascii="Calibri" w:hAnsi="Calibri"/>
          <w:color w:val="17202A"/>
        </w:rPr>
        <w:t>;</w:t>
      </w:r>
    </w:p>
    <w:p>
      <w:pPr>
        <w:pStyle w:val="ListBullet"/>
        <w:widowControl/>
      </w:pPr>
      <w:r>
        <w:rPr>
          <w:rFonts w:ascii="Courier New" w:hAnsi="Courier New"/>
          <w:color w:val="17202A"/>
        </w:rPr>
        <w:t>normative_role_useful_rate_below_threshold</w:t>
      </w:r>
      <w:r>
        <w:rPr>
          <w:rFonts w:ascii="Calibri" w:hAnsi="Calibri"/>
          <w:color w:val="17202A"/>
        </w:rPr>
        <w:t>;</w:t>
      </w:r>
    </w:p>
    <w:p>
      <w:pPr>
        <w:pStyle w:val="ListBullet"/>
        <w:widowControl/>
      </w:pPr>
      <w:r>
        <w:rPr>
          <w:rFonts w:ascii="Courier New" w:hAnsi="Courier New"/>
          <w:color w:val="17202A"/>
        </w:rPr>
        <w:t>normative_convergence_evidence_missing</w:t>
      </w:r>
      <w:r>
        <w:rPr>
          <w:rFonts w:ascii="Calibri" w:hAnsi="Calibri"/>
          <w:color w:val="17202A"/>
        </w:rPr>
        <w:t>.</w:t>
      </w:r>
    </w:p>
    <w:p>
      <w:pPr>
        <w:widowControl/>
      </w:pPr>
      <w:r>
        <w:rPr>
          <w:rFonts w:ascii="Calibri" w:hAnsi="Calibri"/>
          <w:color w:val="17202A"/>
        </w:rPr>
        <w:t>The first indicates that the evidence did not satisfy the registered role-coherence horizon required for the endpoint. The second indicates that useful-decision rate did not meet the preregistered 0.70 threshold. The third indicates that the required convergence evidence was absent. The low useful-decision result is a diagnostic signal about the combination of controller policy, terminal horizon, and evaluator definition; without valid canonical rows it cannot distinguish an overly restrictive controller from a defective operationalization. Because these conditions belong to the normative gate, complete execution cannot override them.</w:t>
      </w:r>
    </w:p>
    <w:p>
      <w:pPr>
        <w:widowControl/>
      </w:pPr>
      <w:r>
        <w:rPr>
          <w:rFonts w:ascii="Calibri" w:hAnsi="Calibri"/>
          <w:color w:val="17202A"/>
        </w:rPr>
        <w:t xml:space="preserve">The repository snapshot available for this manuscript contains the appendix-level closure report and digests of the collection manifest, normative analysis, and receipt root, but not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required to reproduce per-stratum endpoint estimates. We therefore do not report reconstructed success proportions, paired deltas, confidence intervals, recovery distributions, or safety counts. Doing so from narrative summaries would violate the study's own evidence discipline.</w:t>
      </w:r>
    </w:p>
    <w:p>
      <w:pPr>
        <w:pStyle w:val="Heading2"/>
        <w:widowControl/>
      </w:pPr>
      <w:r>
        <w:rPr>
          <w:rFonts w:ascii="Calibri" w:hAnsi="Calibri"/>
          <w:color w:val="17202A"/>
        </w:rPr>
        <w:t>8.3 Answer to the research questions</w:t>
      </w:r>
    </w:p>
    <w:p>
      <w:pPr>
        <w:widowControl/>
      </w:pPr>
      <w:r>
        <w:rPr>
          <w:rFonts w:ascii="Calibri" w:hAnsi="Calibri"/>
          <w:color w:val="17202A"/>
        </w:rPr>
        <w:t>RQ1–RQ5 remain unanswered at the confirmatory level. The completed execution shows that the registered campaign machinery can run and collect its full projection set, but analytical ineligibility prevents the endpoint evidence from supporting the planned claims. RQ6 is answered directly: a valid confirmatory claim requires more than completed runs. It requires a valid role-coherence horizon, a useful-decision rate meeting the fixed threshold, complete convergence evidence, and accessible canonical result artifacts.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Campaign V28 establishes that the registered execution and collection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Content digests can bind an available object to an identifier; without the object they do not permit reproduction, reanalysis, or verification of row-level transformations. A future release should publish or archive the raw paired rows, table-source JSON, analysis implementation, receipts, and verification instructions under a stable identifier.</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public AgentPlat source repository [11] records the protocol, control model, threat model, preregistered hypotheses, data dictionary, statistical procedures, and paper structure. Campaign V28 binds the following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reference-composed AgentPlat stack, adjacent Trust, Collective Runtime, Inference Control, interoperability, audit, and action boundaries evaluate provenance and semantic risk, adapt organization, and revalidate authority before protected effects. Each mechanism has explicit assumptions and failure behavior. None creates a global brain, global truth,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proper conclusion is narrower than a performance result: the final eligibility gate rejected an invalid claim, while the study design lacked an early gate capable of detecting that the registered endpoints were not yet evaluable. Agent Mesh should therefore be assessed here as an explicit architectural composition whose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rPr>
        <w:t xml:space="preserve">[3] L. Lamport. “Time, Clocks, and the Ordering of Events in a Distributed System.” </w:t>
      </w:r>
      <w:r>
        <w:rPr>
          <w:rFonts w:ascii="Calibri" w:hAnsi="Calibri"/>
          <w:i/>
          <w:color w:val="17202A"/>
        </w:rPr>
        <w:t>Communications of the ACM</w:t>
      </w:r>
      <w:r>
        <w:rPr>
          <w:rFonts w:ascii="Calibri" w:hAnsi="Calibri"/>
          <w:color w:val="17202A"/>
        </w:rPr>
        <w:t>, 21(7):558–565, 1978. https://doi.org/10.1145/359545.359563</w:t>
      </w:r>
    </w:p>
    <w:p>
      <w:pPr>
        <w:keepLines/>
        <w:widowControl/>
        <w:spacing w:after="140" w:line="276" w:lineRule="auto"/>
        <w:ind w:left="360" w:hanging="360"/>
        <w:jc w:val="left"/>
      </w:pPr>
      <w:r>
        <w:rPr>
          <w:rFonts w:ascii="Calibri" w:hAnsi="Calibri"/>
          <w:color w:val="17202A"/>
        </w:rPr>
        <w:t xml:space="preserve">[4] R. G. Smith. “The Contract Net Protocol: High-Level Communication and Control in a Distributed Problem Solver.” </w:t>
      </w:r>
      <w:r>
        <w:rPr>
          <w:rFonts w:ascii="Calibri" w:hAnsi="Calibri"/>
          <w:i/>
          <w:color w:val="17202A"/>
        </w:rPr>
        <w:t>IEEE Transactions on Computers</w:t>
      </w:r>
      <w:r>
        <w:rPr>
          <w:rFonts w:ascii="Calibri" w:hAnsi="Calibri"/>
          <w:color w:val="17202A"/>
        </w:rPr>
        <w:t>, C-29(12):1104–1113, 1980. https://doi.org/10.1109/TC.1980.1675516</w:t>
      </w:r>
    </w:p>
    <w:p>
      <w:pPr>
        <w:keepLines/>
        <w:widowControl/>
        <w:spacing w:after="140" w:line="276" w:lineRule="auto"/>
        <w:ind w:left="360" w:hanging="360"/>
        <w:jc w:val="left"/>
      </w:pPr>
      <w:r>
        <w:rPr>
          <w:rFonts w:ascii="Calibri" w:hAnsi="Calibri"/>
          <w:color w:val="17202A"/>
        </w:rPr>
        <w:t xml:space="preserve">[5] M. Castro and B. Liskov. “Practical Byzantine Fault Tolerance.” In </w:t>
      </w:r>
      <w:r>
        <w:rPr>
          <w:rFonts w:ascii="Calibri" w:hAnsi="Calibri"/>
          <w:i/>
          <w:color w:val="17202A"/>
        </w:rPr>
        <w:t>Proceedings of OSDI '99</w:t>
      </w:r>
      <w:r>
        <w:rPr>
          <w:rFonts w:ascii="Calibri" w:hAnsi="Calibri"/>
          <w:color w:val="17202A"/>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rPr>
        <w:t xml:space="preserve">[9] A. Das, I. Gupta, and A. Motivala. “SWIM: Scalable Weakly-Consistent Infection-Style Process Group Membership Protocol.” In </w:t>
      </w:r>
      <w:r>
        <w:rPr>
          <w:rFonts w:ascii="Calibri" w:hAnsi="Calibri"/>
          <w:i/>
          <w:color w:val="17202A"/>
        </w:rPr>
        <w:t>Proceedings of DSN 2002</w:t>
      </w:r>
      <w:r>
        <w:rPr>
          <w:rFonts w:ascii="Calibri" w:hAnsi="Calibri"/>
          <w:color w:val="17202A"/>
        </w:rPr>
        <w:t>, pp. 303–312, 2002. https://www.cs.cornell.edu/projects/quicksilver/public_pdfs/SWIM.pdf</w:t>
      </w:r>
    </w:p>
    <w:p>
      <w:pPr>
        <w:keepLines/>
        <w:widowControl/>
        <w:spacing w:after="140" w:line="276" w:lineRule="auto"/>
        <w:ind w:left="360" w:hanging="360"/>
        <w:jc w:val="left"/>
      </w:pPr>
      <w:r>
        <w:rPr>
          <w:rFonts w:ascii="Calibri" w:hAnsi="Calibri"/>
          <w:color w:val="17202A"/>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rPr>
        <w:t xml:space="preserve">[16] J. B. Dennis and E. C. Van Horn. “Programming Semantics for Multiprogrammed Computations.” </w:t>
      </w:r>
      <w:r>
        <w:rPr>
          <w:rFonts w:ascii="Calibri" w:hAnsi="Calibri"/>
          <w:i/>
          <w:color w:val="17202A"/>
        </w:rPr>
        <w:t>Communications of the ACM</w:t>
      </w:r>
      <w:r>
        <w:rPr>
          <w:rFonts w:ascii="Calibri" w:hAnsi="Calibri"/>
          <w:color w:val="17202A"/>
        </w:rPr>
        <w:t>, 9(3):143–155, 1966. https://doi.org/10.1145/365230.365252</w:t>
      </w:r>
    </w:p>
    <w:p>
      <w:pPr>
        <w:keepLines/>
        <w:widowControl/>
        <w:spacing w:after="140" w:line="276" w:lineRule="auto"/>
        <w:ind w:left="360" w:hanging="360"/>
        <w:jc w:val="left"/>
      </w:pPr>
      <w:r>
        <w:rPr>
          <w:rFonts w:ascii="Calibri" w:hAnsi="Calibri"/>
          <w:color w:val="17202A"/>
        </w:rPr>
        <w:t xml:space="preserve">[17] N. Hardy. “The Confused Deputy (or why capabilities might have been invented).” </w:t>
      </w:r>
      <w:r>
        <w:rPr>
          <w:rFonts w:ascii="Calibri" w:hAnsi="Calibri"/>
          <w:i/>
          <w:color w:val="17202A"/>
        </w:rPr>
        <w:t>ACM SIGOPS Operating Systems Review</w:t>
      </w:r>
      <w:r>
        <w:rPr>
          <w:rFonts w:ascii="Calibri" w:hAnsi="Calibri"/>
          <w:color w:val="17202A"/>
        </w:rPr>
        <w:t>, 22(4):36–38, 1988. https://doi.org/10.1145/54289.871709</w:t>
      </w:r>
    </w:p>
    <w:p>
      <w:pPr>
        <w:keepLines/>
        <w:widowControl/>
        <w:spacing w:after="140" w:line="276" w:lineRule="auto"/>
        <w:ind w:left="360" w:hanging="360"/>
        <w:jc w:val="left"/>
      </w:pPr>
      <w:r>
        <w:rPr>
          <w:rFonts w:ascii="Calibri" w:hAnsi="Calibri"/>
          <w:color w:val="17202A"/>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rPr>
        <w:t>[20] Defense Advanced Research Projects Agency. “Decentralized Artificial Intelligence through Controlled Emergence (DICE): Questions and Answers.” 2026. https://www.darpa.mil/sites/default/files/attachment/2026-06/programs-dice-q-a.pdf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1.0 prepared for archival publication on Zenodo.</dc:description>
  <cp:lastModifiedBy/>
  <cp:revision>1</cp:revision>
  <dcterms:created xsi:type="dcterms:W3CDTF">2013-12-23T23:15:00Z</dcterms:created>
  <dcterms:modified xsi:type="dcterms:W3CDTF">2013-12-23T23:15:00Z</dcterms:modified>
  <cp:category/>
</cp:coreProperties>
</file>