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Invariants, Evaluability, and Verifiable Semantic Coordination</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1.5 — 20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The current evidence is a reproducible integration evaluation rather than a claim of deployment performance. It exercises an evaluator-owned horizon of exactly 1,000 semantic decisions, trace and membership binding, sparse-BFT finality, replay, stale-evidence rejection, and recovery of a six-dimensional semantic sidecar. The run produced 973 useful decisions and zero unsafe decisions. These measurements establish the evidence chain and its boundaries; they do not estimate field prevalence or validate V29 mission outcomes.</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preregistered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contributions.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provides evaluator-owned evidence contracts and fail-closed checks that bind semantic decisions to traces, membership, finality, replay, and recoverable artifacts. These contributions lie in system-level composition and auditable invariants, not in claiming invention of established distributed-systems primitives.</w:t>
      </w:r>
    </w:p>
    <w:p>
      <w:pPr>
        <w:widowControl/>
      </w:pPr>
      <w:r>
        <w:rPr>
          <w:rFonts w:ascii="Calibri" w:hAnsi="Calibri"/>
          <w:color w:val="17202A"/>
        </w:rPr>
        <w:t>We ask six questions:</w:t>
      </w:r>
    </w:p>
    <w:p>
      <w:pPr>
        <w:pStyle w:val="ListBullet"/>
        <w:widowControl/>
      </w:pPr>
      <w:r>
        <w:rPr>
          <w:rFonts w:ascii="Calibri" w:hAnsi="Calibri"/>
          <w:b/>
          <w:color w:val="17202A"/>
        </w:rPr>
        <w:t>RQ1:</w:t>
      </w:r>
      <w:r>
        <w:rPr>
          <w:rFonts w:ascii="Calibri" w:hAnsi="Calibri"/>
          <w:color w:val="17202A"/>
        </w:rPr>
        <w:t xml:space="preserve"> Does bounded-degree coordination remain within its registered communication and retained-state envelope as collective size increases?</w:t>
      </w:r>
    </w:p>
    <w:p>
      <w:pPr>
        <w:pStyle w:val="ListBullet"/>
        <w:widowControl/>
      </w:pPr>
      <w:r>
        <w:rPr>
          <w:rFonts w:ascii="Calibri" w:hAnsi="Calibri"/>
          <w:b/>
          <w:color w:val="17202A"/>
        </w:rPr>
        <w:t>RQ2:</w:t>
      </w:r>
      <w:r>
        <w:rPr>
          <w:rFonts w:ascii="Calibri" w:hAnsi="Calibri"/>
          <w:color w:val="17202A"/>
        </w:rPr>
        <w:t xml:space="preserve"> Can unaffected scopes preserve useful progress during localized disruption without violating protected-effect invariants?</w:t>
      </w:r>
    </w:p>
    <w:p>
      <w:pPr>
        <w:pStyle w:val="ListBullet"/>
        <w:widowControl/>
      </w:pPr>
      <w:r>
        <w:rPr>
          <w:rFonts w:ascii="Calibri" w:hAnsi="Calibri"/>
          <w:b/>
          <w:color w:val="17202A"/>
        </w:rPr>
        <w:t>RQ3:</w:t>
      </w:r>
      <w:r>
        <w:rPr>
          <w:rFonts w:ascii="Calibri" w:hAnsi="Calibri"/>
          <w:color w:val="17202A"/>
        </w:rPr>
        <w:t xml:space="preserve"> Does recovery work follow affected scopes and required replicas more closely than total collective size?</w:t>
      </w:r>
    </w:p>
    <w:p>
      <w:pPr>
        <w:pStyle w:val="ListBullet"/>
        <w:widowControl/>
      </w:pPr>
      <w:r>
        <w:rPr>
          <w:rFonts w:ascii="Calibri" w:hAnsi="Calibri"/>
          <w:b/>
          <w:color w:val="17202A"/>
        </w:rPr>
        <w:t>RQ4:</w:t>
      </w:r>
      <w:r>
        <w:rPr>
          <w:rFonts w:ascii="Calibri" w:hAnsi="Calibri"/>
          <w:color w:val="17202A"/>
        </w:rPr>
        <w:t xml:space="preserve"> How does semantic-horizon intervention trade useful decisions against replanning and safe stops?</w:t>
      </w:r>
    </w:p>
    <w:p>
      <w:pPr>
        <w:pStyle w:val="ListBullet"/>
        <w:widowControl/>
      </w:pPr>
      <w:r>
        <w:rPr>
          <w:rFonts w:ascii="Calibri" w:hAnsi="Calibri"/>
          <w:b/>
          <w:color w:val="17202A"/>
        </w:rPr>
        <w:t>RQ5:</w:t>
      </w:r>
      <w:r>
        <w:rPr>
          <w:rFonts w:ascii="Calibri" w:hAnsi="Calibri"/>
          <w:color w:val="17202A"/>
        </w:rPr>
        <w:t xml:space="preserve"> Under equal information, faults, resource limits, and accounting, how do collective outcomes compare with a centralized planner?</w:t>
      </w:r>
    </w:p>
    <w:p>
      <w:pPr>
        <w:pStyle w:val="ListBullet"/>
        <w:widowControl/>
      </w:pPr>
      <w:r>
        <w:rPr>
          <w:rFonts w:ascii="Calibri" w:hAnsi="Calibri"/>
          <w:b/>
          <w:color w:val="17202A"/>
        </w:rPr>
        <w:t>RQ6:</w:t>
      </w:r>
      <w:r>
        <w:rPr>
          <w:rFonts w:ascii="Calibri" w:hAnsi="Calibri"/>
          <w:color w:val="17202A"/>
        </w:rPr>
        <w:t xml:space="preserve"> Which prespecified requirements prevent a completed experiment from supporting a confirmatory empirical claim?</w:t>
      </w:r>
    </w:p>
    <w:p>
      <w:pPr>
        <w:widowControl/>
      </w:pPr>
      <w:r>
        <w:rPr>
          <w:rFonts w:ascii="Calibri" w:hAnsi="Calibri"/>
          <w:color w:val="17202A"/>
        </w:rPr>
        <w:t>The current evidence answers RQ6 and documents execution closure. It does not provide an eligible confirmatory answer to RQ1–RQ5.</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prefix-evaluated semantic threshold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Campaign V28 was intended to evaluate the resulting safety–utility behavior, but its role-coherence and convergence evidence was ineligible; no empirical validity claim for these bounds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is an empirical question; Campaign V28 did not produce eligible evidence to answer it.</w:t>
      </w:r>
    </w:p>
    <w:p>
      <w:pPr>
        <w:widowControl/>
      </w:pPr>
      <w:r>
        <w:rPr>
          <w:rFonts w:ascii="Calibri" w:hAnsi="Calibri"/>
          <w:color w:val="17202A"/>
        </w:rPr>
        <w:t>Evaluation frameworks such as AgentBench test model-based agents across interactive environments and expose long-horizon reasoning and instruction-following failures [10]. Agent Mesh's evaluation focuses instead on collective-control properties: communication envelope, recovery, protected-effect safety, agreement, replay, and fairness between decentralized and centralized coordination. Its hidden monitor owns the full environment and terminal predicates so that neither treatment can self-report success.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Later control-plane and governed-runtime surfaces refine the integration of those capabilities without changing the frozen denominator.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Governed mission cycle:</w:t>
      </w:r>
      <w:r>
        <w:rPr>
          <w:rFonts w:ascii="Calibri" w:hAnsi="Calibri"/>
          <w:color w:val="17202A"/>
        </w:rPr>
        <w:t xml:space="preserve"> an opt-in facade orders observation, partition posture, topology, strategy, approval, inference, effect, and forensics, preserving mission, cycle, epoch, predecessor, operation, and receipt digests across the cycle [21].</w:t>
      </w:r>
    </w:p>
    <w:p>
      <w:pPr>
        <w:pStyle w:val="ListBullet"/>
        <w:widowControl/>
      </w:pPr>
      <w:r>
        <w:rPr>
          <w:rFonts w:ascii="Calibri" w:hAnsi="Calibri"/>
          <w:b/>
          <w:color w:val="17202A"/>
        </w:rPr>
        <w:t>Partition and continuity policy:</w:t>
      </w:r>
      <w:r>
        <w:rPr>
          <w:rFonts w:ascii="Calibri" w:hAnsi="Calibri"/>
          <w:color w:val="17202A"/>
        </w:rPr>
        <w:t xml:space="preserve"> explicit modes govern degraded connectivity, reversible or irreversible effects, causal reconciliation, immutable plan branches, rollback, abandonment, mandate renewal, and attenuation.</w:t>
      </w:r>
    </w:p>
    <w:p>
      <w:pPr>
        <w:pStyle w:val="ListBullet"/>
        <w:widowControl/>
      </w:pPr>
      <w:r>
        <w:rPr>
          <w:rFonts w:ascii="Calibri" w:hAnsi="Calibri"/>
          <w:b/>
          <w:color w:val="17202A"/>
        </w:rPr>
        <w:t>Dynamic topology and strategy identity:</w:t>
      </w:r>
      <w:r>
        <w:rPr>
          <w:rFonts w:ascii="Calibri" w:hAnsi="Calibri"/>
          <w:color w:val="17202A"/>
        </w:rPr>
        <w:t xml:space="preserve"> split, merge, federation, coordinator replacement, allocation, Team-formation, and evidence-fusion strategies bind predecessor state, version, implementation digest, evidence, quorum, and activation receipts.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unvalidated by V28.</w:t>
      </w:r>
    </w:p>
    <w:p>
      <w:pPr>
        <w:pStyle w:val="ListBullet"/>
        <w:widowControl/>
      </w:pPr>
      <w:r>
        <w:rPr>
          <w:rFonts w:ascii="Calibri" w:hAnsi="Calibri"/>
          <w:b/>
          <w:color w:val="17202A"/>
        </w:rPr>
        <w:t>Approval and policy projection:</w:t>
      </w:r>
      <w:r>
        <w:rPr>
          <w:rFonts w:ascii="Calibri" w:hAnsi="Calibri"/>
          <w:color w:val="17202A"/>
        </w:rPr>
        <w:t xml:space="preserve"> optional approval checkpoints run before inference and effects; a collective decision can only narrow the locally validated inference policy, and deferred or required approval modes fail closed when approval infrastructure is unavailable [22].</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Unified compromise lifecycle:</w:t>
      </w:r>
      <w:r>
        <w:rPr>
          <w:rFonts w:ascii="Calibri" w:hAnsi="Calibri"/>
          <w:color w:val="17202A"/>
        </w:rPr>
        <w:t xml:space="preserve"> evidence-backed transitions connect suspicion, restriction, isolation, recovery, expulsion, transactional authority revocation, new credential generations, and content-addressed forensic custody.</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that every capability achieved a favorable outcome in Campaign V28, that the composition performs at every configured scale, or that a deployment has installed the necessary identity, storage, transport, model, simulator, and effect-sink providers.</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 xml:space="preserve">At the application-composition layer, </w:t>
      </w:r>
      <w:r>
        <w:rPr>
          <w:rFonts w:ascii="Courier New" w:hAnsi="Courier New"/>
          <w:color w:val="17202A"/>
        </w:rPr>
        <w:t>@agentplat/collective-runtime/governed-collective-runtime</w:t>
      </w:r>
      <w:r>
        <w:rPr>
          <w:rFonts w:ascii="Calibri" w:hAnsi="Calibri"/>
          <w:color w:val="17202A"/>
        </w:rPr>
        <w:t xml:space="preserve"> now exposes the ordered cycle </w:t>
      </w:r>
      <w:r>
        <w:rPr>
          <w:rFonts w:ascii="Courier New" w:hAnsi="Courier New"/>
          <w:color w:val="17202A"/>
        </w:rPr>
        <w:t>observe → partition → topology → strategy → approval → inference → effect → forensics</w:t>
      </w:r>
      <w:r>
        <w:rPr>
          <w:rFonts w:ascii="Calibri" w:hAnsi="Calibri"/>
          <w:color w:val="17202A"/>
        </w:rPr>
        <w:t xml:space="preserve">. The optional </w:t>
      </w:r>
      <w:r>
        <w:rPr>
          <w:rFonts w:ascii="Courier New" w:hAnsi="Courier New"/>
          <w:color w:val="17202A"/>
        </w:rPr>
        <w:t>reference-integrated</w:t>
      </w:r>
      <w:r>
        <w:rPr>
          <w:rFonts w:ascii="Calibri" w:hAnsi="Calibri"/>
          <w:color w:val="17202A"/>
        </w:rPr>
        <w:t xml:space="preserve"> profile refuses construction unless every safety-critical phase except topology has a handler; topology remains optional for fixed-topology deployments. This closes a source-level fail-late gap: an incomplete reference composition is rejected before mission state or an effect is created. Durable ports add compare-and-swap state, an idempotency ledger, causal receipts, and epoch fencing. The local release verifier exercised restart, idempotency, revision conflict, and epoch-rollback rejection at commit </w:t>
      </w:r>
      <w:r>
        <w:rPr>
          <w:rFonts w:ascii="Courier New" w:hAnsi="Courier New"/>
          <w:color w:val="17202A"/>
        </w:rPr>
        <w:t>490a392</w:t>
      </w:r>
      <w:r>
        <w:rPr>
          <w:rFonts w:ascii="Calibri" w:hAnsi="Calibri"/>
          <w:color w:val="17202A"/>
        </w:rPr>
        <w:t xml:space="preserve"> [21, 23].</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Campaign V28 did not produce eligible evidence for the registered convergence and role-coherence claims.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Current topology contracts add deterministic split, merge, federation, coordinator replacement, prepare, activate, and rollback transitions. Every accepted transition binds predecessor topology, next epoch, membership, policy, evidence, strategy identity, and authority-concentration checks. These contracts permit dynamic reconfiguration, but the current paper does not claim empirical measurements of Team complexity, strategy novelty, topology quality, or adaptation benefit.</w:t>
      </w:r>
    </w:p>
    <w:p>
      <w:pPr>
        <w:widowControl/>
      </w:pPr>
      <w:r>
        <w:rPr>
          <w:rFonts w:ascii="Calibri" w:hAnsi="Calibri"/>
          <w:color w:val="17202A"/>
        </w:rPr>
        <w:t xml:space="preserve">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A unified incident state machine now connects </w:t>
      </w:r>
      <w:r>
        <w:rPr>
          <w:rFonts w:ascii="Courier New" w:hAnsi="Courier New"/>
          <w:color w:val="17202A"/>
        </w:rPr>
        <w:t>healthy</w:t>
      </w:r>
      <w:r>
        <w:rPr>
          <w:rFonts w:ascii="Calibri" w:hAnsi="Calibri"/>
          <w:color w:val="17202A"/>
        </w:rPr>
        <w:t xml:space="preserve">, </w:t>
      </w:r>
      <w:r>
        <w:rPr>
          <w:rFonts w:ascii="Courier New" w:hAnsi="Courier New"/>
          <w:color w:val="17202A"/>
        </w:rPr>
        <w:t>suspicious</w:t>
      </w:r>
      <w:r>
        <w:rPr>
          <w:rFonts w:ascii="Calibri" w:hAnsi="Calibri"/>
          <w:color w:val="17202A"/>
        </w:rPr>
        <w:t xml:space="preserve">, </w:t>
      </w:r>
      <w:r>
        <w:rPr>
          <w:rFonts w:ascii="Courier New" w:hAnsi="Courier New"/>
          <w:color w:val="17202A"/>
        </w:rPr>
        <w:t>restricted</w:t>
      </w:r>
      <w:r>
        <w:rPr>
          <w:rFonts w:ascii="Calibri" w:hAnsi="Calibri"/>
          <w:color w:val="17202A"/>
        </w:rPr>
        <w:t xml:space="preserve">, </w:t>
      </w:r>
      <w:r>
        <w:rPr>
          <w:rFonts w:ascii="Courier New" w:hAnsi="Courier New"/>
          <w:color w:val="17202A"/>
        </w:rPr>
        <w:t>isolated</w:t>
      </w:r>
      <w:r>
        <w:rPr>
          <w:rFonts w:ascii="Calibri" w:hAnsi="Calibri"/>
          <w:color w:val="17202A"/>
        </w:rPr>
        <w:t xml:space="preserve">, </w:t>
      </w:r>
      <w:r>
        <w:rPr>
          <w:rFonts w:ascii="Courier New" w:hAnsi="Courier New"/>
          <w:color w:val="17202A"/>
        </w:rPr>
        <w:t>recovered</w:t>
      </w:r>
      <w:r>
        <w:rPr>
          <w:rFonts w:ascii="Calibri" w:hAnsi="Calibri"/>
          <w:color w:val="17202A"/>
        </w:rPr>
        <w:t xml:space="preserve">, and </w:t>
      </w:r>
      <w:r>
        <w:rPr>
          <w:rFonts w:ascii="Courier New" w:hAnsi="Courier New"/>
          <w:color w:val="17202A"/>
        </w:rPr>
        <w:t>expelled</w:t>
      </w:r>
      <w:r>
        <w:rPr>
          <w:rFonts w:ascii="Calibri" w:hAnsi="Calibri"/>
          <w:color w:val="17202A"/>
        </w:rPr>
        <w:t xml:space="preserve"> states with transactional revocation of sessions, keys, roles, mandates, and effects. Reentry requires a new epoch and credential generation, approval, evidence, and attenuated authority; content-addressed forensic bundles retain custody and disposition records. These mechanisms coordinate response after a supplied verdict.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Campaign V28 does not establish portability across language, vision-language, vision-language-action, reinforcement-learning, or symbolic agents.</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Campaign V28, by contrast, evaluated the registered ladder only through 500 logical agents.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statistical guarantees that the implemented local rules converge to aligned collective behavior under optional stopping, long horizons, or the DICE adversarial model;</w:t>
      </w:r>
    </w:p>
    <w:p>
      <w:pPr>
        <w:pStyle w:val="ListBullet"/>
        <w:widowControl/>
      </w:pPr>
      <w:r>
        <w:rPr>
          <w:rFonts w:ascii="Calibri" w:hAnsi="Calibri"/>
          <w:color w:val="17202A"/>
        </w:rPr>
        <w:t>universal compromise detection or guaranteed containment after adversarial content has propagated through otherwise credible participants; the lifecycle governs response to supplied evidence and verdicts;</w:t>
      </w:r>
    </w:p>
    <w:p>
      <w:pPr>
        <w:pStyle w:val="ListBullet"/>
        <w:widowControl/>
      </w:pPr>
      <w:r>
        <w:rPr>
          <w:rFonts w:ascii="Calibri" w:hAnsi="Calibri"/>
          <w:color w:val="17202A"/>
        </w:rPr>
        <w:t>unrestricted or unbounded organizational emergence; the topology APIs implement declared split, merge, federation, election, activation, and rollback contracts under explicit policies and epochs;</w:t>
      </w:r>
    </w:p>
    <w:p>
      <w:pPr>
        <w:pStyle w:val="ListBullet"/>
        <w:widowControl/>
      </w:pPr>
      <w:r>
        <w:rPr>
          <w:rFonts w:ascii="Calibri" w:hAnsi="Calibri"/>
          <w:color w:val="17202A"/>
        </w:rPr>
        <w:t>evidence that one registered allocation, Team-formation, or fusion strategy is optimal; pluggable strategies make selection auditable but do not validate their outcome quality;</w:t>
      </w:r>
    </w:p>
    <w:p>
      <w:pPr>
        <w:pStyle w:val="ListBullet"/>
        <w:widowControl/>
      </w:pPr>
      <w:r>
        <w:rPr>
          <w:rFonts w:ascii="Calibri" w:hAnsi="Calibri"/>
          <w:color w:val="17202A"/>
        </w:rPr>
        <w:t>deployment-independent human control; approval checkpoints require application-owned authority, persistence, notification, and response providers;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pStyle w:val="ListBullet"/>
        <w:widowControl/>
      </w:pPr>
      <w:r>
        <w:rPr>
          <w:rFonts w:ascii="Calibri" w:hAnsi="Calibri"/>
          <w:b/>
          <w:color w:val="17202A"/>
        </w:rPr>
        <w:t>I8 — Policy attenuation:</w:t>
      </w:r>
      <w:r>
        <w:rPr>
          <w:rFonts w:ascii="Calibri" w:hAnsi="Calibri"/>
          <w:color w:val="17202A"/>
        </w:rPr>
        <w:t xml:space="preserve"> projecting a collective decision into local inference control may only intersect allowed context zones, actions, and message channels and shorten applicable lifetimes; it cannot broaden the validated local baseline policy.</w:t>
      </w:r>
    </w:p>
    <w:p>
      <w:pPr>
        <w:pStyle w:val="ListBullet"/>
        <w:widowControl/>
      </w:pPr>
      <w:r>
        <w:rPr>
          <w:rFonts w:ascii="Calibri" w:hAnsi="Calibri"/>
          <w:b/>
          <w:color w:val="17202A"/>
        </w:rPr>
        <w:t>I9 — Composition completeness before start:</w:t>
      </w:r>
      <w:r>
        <w:rPr>
          <w:rFonts w:ascii="Calibri" w:hAnsi="Calibri"/>
          <w:color w:val="17202A"/>
        </w:rPr>
        <w:t xml:space="preserve"> the </w:t>
      </w:r>
      <w:r>
        <w:rPr>
          <w:rFonts w:ascii="Courier New" w:hAnsi="Courier New"/>
          <w:color w:val="17202A"/>
        </w:rPr>
        <w:t>reference-integrated</w:t>
      </w:r>
      <w:r>
        <w:rPr>
          <w:rFonts w:ascii="Calibri" w:hAnsi="Calibri"/>
          <w:color w:val="17202A"/>
        </w:rPr>
        <w:t xml:space="preserve"> runtime profile cannot create mission state or run an effect unless handlers exist for observation, partition, strategy, approval, inference, effect, and forensics. A fixed topology may omit only the topology phase.</w:t>
      </w:r>
    </w:p>
    <w:p>
      <w:pPr>
        <w:pStyle w:val="ListBullet"/>
        <w:widowControl/>
      </w:pPr>
      <w:r>
        <w:rPr>
          <w:rFonts w:ascii="Calibri" w:hAnsi="Calibri"/>
          <w:b/>
          <w:color w:val="17202A"/>
        </w:rPr>
        <w:t>I10 — Bounded degraded operation:</w:t>
      </w:r>
      <w:r>
        <w:rPr>
          <w:rFonts w:ascii="Calibri" w:hAnsi="Calibri"/>
          <w:color w:val="17202A"/>
        </w:rPr>
        <w:t xml:space="preserve"> loss of connectivity never authorizes an irreversible effect without the required quorum or reconciliation. Any permitted degraded action remains bounded by declared time, action, resource, risk, impact, and reversibility limits.</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cannot reuse pre-incident authority. Reentry requires an advanced epoch, a new credential generation, explicit evidence and approval, and authority no broader than the permitted successor scope.</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widowControl/>
      </w:pPr>
      <w:r>
        <w:rPr>
          <w:rFonts w:ascii="Calibri" w:hAnsi="Calibri"/>
          <w:color w:val="17202A"/>
        </w:rPr>
        <w:t>The governed runtime facade does not replace these peer protocols. It orders application-level phase handlers around one mission cycle and records their evidence digests. Partition policy can defer or safe-stop the cycle; topology and strategy decisions contribute versioned digests; approval precedes inference; inference policy is an attenuation of local policy; the consumer-owned effect handler runs only in the ordered effect phase; and forensics receives the preceding digest chain. A failed critical phase follows the configured safe-stop policy. Durable restart restores the last state through compare-and-swap persistence, rejects stale revisions or epoch regressions, and returns the retained result for a repeated operation identifier only when its operation digest matches.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Evaluation methodology</w:t>
      </w:r>
    </w:p>
    <w:p>
      <w:pPr>
        <w:pStyle w:val="Heading2"/>
        <w:widowControl/>
      </w:pPr>
      <w:r>
        <w:rPr>
          <w:rFonts w:ascii="Calibri" w:hAnsi="Calibri"/>
          <w:color w:val="17202A"/>
        </w:rPr>
        <w:t>7.1 Design and fairness</w:t>
      </w:r>
    </w:p>
    <w:p>
      <w:pPr>
        <w:widowControl/>
      </w:pPr>
      <w:r>
        <w:rPr>
          <w:rFonts w:ascii="Calibri" w:hAnsi="Calibri"/>
          <w:color w:val="17202A"/>
        </w:rPr>
        <w:t xml:space="preserve">The registered study is a paired, blocked simulation comparing two treatments. </w:t>
      </w:r>
      <w:r>
        <w:rPr>
          <w:rFonts w:ascii="Courier New" w:hAnsi="Courier New"/>
          <w:color w:val="17202A"/>
        </w:rPr>
        <w:t>adaptive_collective</w:t>
      </w:r>
      <w:r>
        <w:rPr>
          <w:rFonts w:ascii="Calibri" w:hAnsi="Calibri"/>
          <w:color w:val="17202A"/>
        </w:rPr>
        <w:t xml:space="preserve"> uses bounded-degree peers that exchange admitted evidence, construct local planning fragments, allocate work, recover, and enforce the protected-effect boundary. </w:t>
      </w:r>
      <w:r>
        <w:rPr>
          <w:rFonts w:ascii="Courier New" w:hAnsi="Courier New"/>
          <w:color w:val="17202A"/>
        </w:rPr>
        <w:t>centralized_planner</w:t>
      </w:r>
      <w:r>
        <w:rPr>
          <w:rFonts w:ascii="Calibri" w:hAnsi="Calibri"/>
          <w:color w:val="17202A"/>
        </w:rPr>
        <w:t xml:space="preserve"> uses the same admitted observations and recorded decision outputs but coordinates through one planner.</w:t>
      </w:r>
    </w:p>
    <w:p>
      <w:pPr>
        <w:widowControl/>
      </w:pPr>
      <w:r>
        <w:rPr>
          <w:rFonts w:ascii="Calibri" w:hAnsi="Calibri"/>
          <w:color w:val="17202A"/>
        </w:rPr>
        <w:t>For each scale, stratum, seed, and fault realization, both treatments receive the same public intent, initial distribution, partial observations, response tape, resource limits, logical-time ceiling, and protected-effect boundary. The centralized treatment has no access to hidden world state or future faults. Both treatments pay the same trace-derived interaction accounting. This contract avoids favoring the collective through extra information or weakening the baseline through artificial restrictions unrelated to the comparison.</w:t>
      </w:r>
    </w:p>
    <w:p>
      <w:pPr>
        <w:widowControl/>
      </w:pPr>
      <w:r>
        <w:rPr>
          <w:rFonts w:ascii="Calibri" w:hAnsi="Calibri"/>
          <w:color w:val="17202A"/>
        </w:rPr>
        <w:t>The environment monitor is separate from both runners. It owns terminal predicates, full world state, fault injection, and canaries. Runners cannot assert their own success, safety, or interaction count when the evaluator can derive those properties from traces and ledgers.</w:t>
      </w:r>
    </w:p>
    <w:p>
      <w:pPr>
        <w:pStyle w:val="Heading2"/>
        <w:widowControl/>
      </w:pPr>
      <w:r>
        <w:rPr>
          <w:rFonts w:ascii="Calibri" w:hAnsi="Calibri"/>
          <w:color w:val="17202A"/>
        </w:rPr>
        <w:t>7.2 Factors and samples</w:t>
      </w:r>
    </w:p>
    <w:p>
      <w:pPr>
        <w:widowControl/>
      </w:pPr>
      <w:r>
        <w:rPr>
          <w:rFonts w:ascii="Calibri" w:hAnsi="Calibri"/>
          <w:color w:val="17202A"/>
        </w:rPr>
        <w:t>The normative ladder contains four collective sizes—50, 100, 250, and 500 logical agents—and four strata: nominal, benign, adversarial, and mixed. Seeds are paired across treatments. There are 10 paired seeds per stratum at sizes 50, 100, and 250, and 30 paired seeds per stratum at size 500, for 240 paired experimental cells.</w:t>
      </w:r>
    </w:p>
    <w:p>
      <w:pPr>
        <w:widowControl/>
      </w:pPr>
      <w:r>
        <w:rPr>
          <w:rFonts w:ascii="Calibri" w:hAnsi="Calibri"/>
          <w:color w:val="17202A"/>
        </w:rPr>
        <w:t xml:space="preserve">Each cell contains four registered projections: first collective execution, first centralized execution, exact collective replay, and exact centralized replay. Replays verify determinism and are not independent statistical samples. The resulting design contains 960 projections partitioned into 48 authorized shards. The aggregation seed was fixed at </w:t>
      </w:r>
      <w:r>
        <w:rPr>
          <w:rFonts w:ascii="Courier New" w:hAnsi="Courier New"/>
          <w:color w:val="17202A"/>
        </w:rPr>
        <w:t>20260810</w:t>
      </w:r>
      <w:r>
        <w:rPr>
          <w:rFonts w:ascii="Calibri" w:hAnsi="Calibri"/>
          <w:color w:val="17202A"/>
        </w:rPr>
        <w:t xml:space="preserve"> before analysis.</w:t>
      </w:r>
    </w:p>
    <w:p>
      <w:pPr>
        <w:pStyle w:val="Heading2"/>
        <w:widowControl/>
      </w:pPr>
      <w:r>
        <w:rPr>
          <w:rFonts w:ascii="Calibri" w:hAnsi="Calibri"/>
          <w:color w:val="17202A"/>
        </w:rPr>
        <w:t>7.3 Endpoints</w:t>
      </w:r>
    </w:p>
    <w:p>
      <w:pPr>
        <w:widowControl/>
      </w:pPr>
      <w:r>
        <w:rPr>
          <w:rFonts w:ascii="Calibri" w:hAnsi="Calibri"/>
          <w:color w:val="17202A"/>
        </w:rPr>
        <w:t>The registered primary endpoints are:</w:t>
      </w:r>
    </w:p>
    <w:p>
      <w:pPr>
        <w:pStyle w:val="ListBullet"/>
        <w:widowControl/>
      </w:pPr>
      <w:r>
        <w:rPr>
          <w:rFonts w:ascii="Calibri" w:hAnsi="Calibri"/>
          <w:b/>
          <w:color w:val="17202A"/>
        </w:rPr>
        <w:t>sparse growth:</w:t>
      </w:r>
      <w:r>
        <w:rPr>
          <w:rFonts w:ascii="Calibri" w:hAnsi="Calibri"/>
          <w:color w:val="17202A"/>
        </w:rPr>
        <w:t xml:space="preserve"> directed edges, delivered messages, and maximum retained local-state units;</w:t>
      </w:r>
    </w:p>
    <w:p>
      <w:pPr>
        <w:pStyle w:val="ListBullet"/>
        <w:widowControl/>
      </w:pPr>
      <w:r>
        <w:rPr>
          <w:rFonts w:ascii="Calibri" w:hAnsi="Calibri"/>
          <w:b/>
          <w:color w:val="17202A"/>
        </w:rPr>
        <w:t>mission success:</w:t>
      </w:r>
      <w:r>
        <w:rPr>
          <w:rFonts w:ascii="Calibri" w:hAnsi="Calibri"/>
          <w:color w:val="17202A"/>
        </w:rPr>
        <w:t xml:space="preserve"> the hidden evaluator's binary terminal verdict on first execution;</w:t>
      </w:r>
    </w:p>
    <w:p>
      <w:pPr>
        <w:pStyle w:val="ListBullet"/>
        <w:widowControl/>
      </w:pPr>
      <w:r>
        <w:rPr>
          <w:rFonts w:ascii="Calibri" w:hAnsi="Calibri"/>
          <w:b/>
          <w:color w:val="17202A"/>
        </w:rPr>
        <w:t>protected-effect safety:</w:t>
      </w:r>
      <w:r>
        <w:rPr>
          <w:rFonts w:ascii="Calibri" w:hAnsi="Calibri"/>
          <w:color w:val="17202A"/>
        </w:rPr>
        <w:t xml:space="preserve"> counts of authorization, plan-authority, stale-fence, duplicate-effect, and evaluation-integrity violations;</w:t>
      </w:r>
    </w:p>
    <w:p>
      <w:pPr>
        <w:pStyle w:val="ListBullet"/>
        <w:widowControl/>
      </w:pPr>
      <w:r>
        <w:rPr>
          <w:rFonts w:ascii="Calibri" w:hAnsi="Calibri"/>
          <w:b/>
          <w:color w:val="17202A"/>
        </w:rPr>
        <w:t>recovery interactions:</w:t>
      </w:r>
      <w:r>
        <w:rPr>
          <w:rFonts w:ascii="Calibri" w:hAnsi="Calibri"/>
          <w:color w:val="17202A"/>
        </w:rPr>
        <w:t xml:space="preserve"> trace-derived interactions between disruption observation and valid recovery or replanning;</w:t>
      </w:r>
    </w:p>
    <w:p>
      <w:pPr>
        <w:pStyle w:val="ListBullet"/>
        <w:widowControl/>
      </w:pPr>
      <w:r>
        <w:rPr>
          <w:rFonts w:ascii="Calibri" w:hAnsi="Calibri"/>
          <w:b/>
          <w:color w:val="17202A"/>
        </w:rPr>
        <w:t>semantic-horizon outcomes:</w:t>
      </w:r>
      <w:r>
        <w:rPr>
          <w:rFonts w:ascii="Calibri" w:hAnsi="Calibri"/>
          <w:color w:val="17202A"/>
        </w:rPr>
        <w:t xml:space="preserve"> allow, replan, safe stop, and unsafe executable-decision counts;</w:t>
      </w:r>
    </w:p>
    <w:p>
      <w:pPr>
        <w:pStyle w:val="ListBullet"/>
        <w:widowControl/>
      </w:pPr>
      <w:r>
        <w:rPr>
          <w:rFonts w:ascii="Calibri" w:hAnsi="Calibri"/>
          <w:b/>
          <w:color w:val="17202A"/>
        </w:rPr>
        <w:t>useful-decision rate:</w:t>
      </w:r>
      <w:r>
        <w:rPr>
          <w:rFonts w:ascii="Calibri" w:hAnsi="Calibri"/>
          <w:color w:val="17202A"/>
        </w:rPr>
        <w:t xml:space="preserve"> useful evaluator-admitted decisions among the 1,000 registered decisions;</w:t>
      </w:r>
    </w:p>
    <w:p>
      <w:pPr>
        <w:pStyle w:val="ListBullet"/>
        <w:widowControl/>
      </w:pPr>
      <w:r>
        <w:rPr>
          <w:rFonts w:ascii="Calibri" w:hAnsi="Calibri"/>
          <w:b/>
          <w:color w:val="17202A"/>
        </w:rPr>
        <w:t>agreement safety:</w:t>
      </w:r>
      <w:r>
        <w:rPr>
          <w:rFonts w:ascii="Calibri" w:hAnsi="Calibri"/>
          <w:color w:val="17202A"/>
        </w:rPr>
        <w:t xml:space="preserve"> conflicting accepted commits and explicit safe stops under quorum loss;</w:t>
      </w:r>
    </w:p>
    <w:p>
      <w:pPr>
        <w:pStyle w:val="ListBullet"/>
        <w:widowControl/>
      </w:pPr>
      <w:r>
        <w:rPr>
          <w:rFonts w:ascii="Calibri" w:hAnsi="Calibri"/>
          <w:b/>
          <w:color w:val="17202A"/>
        </w:rPr>
        <w:t>exact replay:</w:t>
      </w:r>
      <w:r>
        <w:rPr>
          <w:rFonts w:ascii="Calibri" w:hAnsi="Calibri"/>
          <w:color w:val="17202A"/>
        </w:rPr>
        <w:t xml:space="preserve"> equality of registered deterministic outputs and first divergence when unequal.</w:t>
      </w:r>
    </w:p>
    <w:p>
      <w:pPr>
        <w:widowControl/>
      </w:pPr>
      <w:r>
        <w:rPr>
          <w:rFonts w:ascii="Calibri" w:hAnsi="Calibri"/>
          <w:color w:val="17202A"/>
        </w:rPr>
        <w:t>Missing monitor closure is not counted as zero violations. A mission failure remains a failure rather than an infrastructure exclusion. A sample without required replay, trace, or evidence is incomplete.</w:t>
      </w:r>
    </w:p>
    <w:p>
      <w:pPr>
        <w:pStyle w:val="Heading2"/>
        <w:widowControl/>
      </w:pPr>
      <w:r>
        <w:rPr>
          <w:rFonts w:ascii="Calibri" w:hAnsi="Calibri"/>
          <w:color w:val="17202A"/>
        </w:rPr>
        <w:t>7.4 Statistical analysis</w:t>
      </w:r>
    </w:p>
    <w:p>
      <w:pPr>
        <w:widowControl/>
      </w:pPr>
      <w:r>
        <w:rPr>
          <w:rFonts w:ascii="Calibri" w:hAnsi="Calibri"/>
          <w:color w:val="17202A"/>
        </w:rPr>
        <w:t>The analysis was fixed before results. For each treatment, the nominal endpoint pools the 60 first-execution seeds across the four registered scales; the benign endpoint does the same independently. Scale is therefore a design factor and reporting stratum, not a separate ten-seed denominator for these two gates. Nominal and benign mission success use one-sided 95% Wilson lower bounds with registered thresholds of 0.95 and 0.90. Under those rules, nominal acceptance requires 60 successes in 60 observations: 60/60 gives a lower bound of approximately 0.957, whereas 59/60 gives approximately 0.929. Benign acceptance permits at most two failures: 58/60 gives approximately 0.904, while 57/60 gives approximately 0.881.</w:t>
      </w:r>
    </w:p>
    <w:p>
      <w:pPr>
        <w:widowControl/>
      </w:pPr>
      <w:r>
        <w:rPr>
          <w:rFonts w:ascii="Calibri" w:hAnsi="Calibri"/>
          <w:color w:val="17202A"/>
        </w:rPr>
        <w:t>Paired collective-minus-centralized success uses 10,000 deterministic percentile-bootstrap resamples, a lower margin of -0.05, and a declared two-endpoint Holm procedure. Benign recovery uses nearest-rank p95 with a ceiling of 250 accounted interactions. Role coherence requires exactly 1,000 evaluator-derived decisions, zero unsafe executable decisions, and useful-decision rate of at least 0.70. Any protected-effect, replay, or evaluation-integrity violation fails the corresponding zero-tolerance requirement.</w:t>
      </w:r>
    </w:p>
    <w:p>
      <w:pPr>
        <w:widowControl/>
      </w:pPr>
      <w:r>
        <w:rPr>
          <w:rFonts w:ascii="Calibri" w:hAnsi="Calibri"/>
          <w:color w:val="17202A"/>
        </w:rPr>
        <w:t>No missing cell is imputed. Changed commitments, failed replay, or omitted endpoints produce incomplete or ineligible closure. Exploratory analyses cannot replace confirmatory endpoints.</w:t>
      </w:r>
    </w:p>
    <w:p>
      <w:pPr>
        <w:pStyle w:val="Heading2"/>
        <w:widowControl/>
      </w:pPr>
      <w:r>
        <w:rPr>
          <w:rFonts w:ascii="Calibri" w:hAnsi="Calibri"/>
          <w:color w:val="17202A"/>
        </w:rPr>
        <w:t>7.5 Evidence chain</w:t>
      </w:r>
    </w:p>
    <w:p>
      <w:pPr>
        <w:widowControl/>
      </w:pPr>
      <w:r>
        <w:rPr>
          <w:rFonts w:ascii="Calibri" w:hAnsi="Calibri"/>
          <w:color w:val="17202A"/>
        </w:rPr>
        <w:t>The study binds a frozen source commit to a scientific registration, authorization record, runner and evaluator identities, seed set, topology and fault commitments, and analysis implementation. Execution emits content-addressed projection artifacts and immutable shard receipts. A supervisor records operational events in a hash chain but does not turn its mutable status into scientific evidence. Collection occurs only after exact closure of all 48 shards and 960 projections. Canonical raw rows preserve cell identity so paired observations cannot be mistaken for independent samples.</w:t>
      </w:r>
    </w:p>
    <w:p>
      <w:pPr>
        <w:widowControl/>
      </w:pPr>
      <w:r>
        <w:rPr>
          <w:rFonts w:ascii="Calibri" w:hAnsi="Calibri"/>
          <w:color w:val="17202A"/>
        </w:rPr>
        <w:t xml:space="preserve">The preregistered V28 workflow did not include a sufficient pre-execution </w:t>
      </w:r>
      <w:r>
        <w:rPr>
          <w:rFonts w:ascii="Calibri" w:hAnsi="Calibri"/>
          <w:b/>
          <w:color w:val="17202A"/>
        </w:rPr>
        <w:t>evaluability gate</w:t>
      </w:r>
      <w:r>
        <w:rPr>
          <w:rFonts w:ascii="Calibri" w:hAnsi="Calibri"/>
          <w:color w:val="17202A"/>
        </w:rPr>
        <w:t xml:space="preserve">. Authorization and preflight checks established registered structure, commitments, identities, and execution inputs, but did not prove that the terminal rules would yield exactly the required role-coherence population, that convergence would produce the required evaluator-owned artifact, or that all canonical analysis objects would remain retrievable. Consequently, these defects were discovered only at normative aggregation after the complete campaign. After V28, commit </w:t>
      </w:r>
      <w:r>
        <w:rPr>
          <w:rFonts w:ascii="Courier New" w:hAnsi="Courier New"/>
          <w:color w:val="17202A"/>
        </w:rPr>
        <w:t>490a392</w:t>
      </w:r>
      <w:r>
        <w:rPr>
          <w:rFonts w:ascii="Calibri" w:hAnsi="Calibri"/>
          <w:color w:val="17202A"/>
        </w:rPr>
        <w:t xml:space="preserve"> added </w:t>
      </w:r>
      <w:r>
        <w:rPr>
          <w:rFonts w:ascii="Courier New" w:hAnsi="Courier New"/>
          <w:color w:val="17202A"/>
        </w:rPr>
        <w:t>evaluability-certificate.json</w:t>
      </w:r>
      <w:r>
        <w:rPr>
          <w:rFonts w:ascii="Calibri" w:hAnsi="Calibri"/>
          <w:color w:val="17202A"/>
        </w:rPr>
        <w:t>: a deterministic certificate checks the registered population and slots, evaluator-owned metrics, exact replay, Wilson denominator boundaries, the synthetic role-coherence and convergence contracts, and the fixed publication-artifact set. Authorization and shard execution re-verify that certificate against the current source, registration, plan, and adapter. The certificate is a remediation control; its fixture and negative-test results do not establish that a live campaign will produce valid endpoints.</w:t>
      </w:r>
    </w:p>
    <w:p>
      <w:pPr>
        <w:pStyle w:val="Heading1"/>
        <w:widowControl/>
      </w:pPr>
      <w:r>
        <w:rPr>
          <w:rFonts w:ascii="Calibri" w:hAnsi="Calibri"/>
          <w:color w:val="17202A"/>
        </w:rPr>
        <w:t>8. Results</w:t>
      </w:r>
    </w:p>
    <w:p>
      <w:pPr>
        <w:pStyle w:val="Heading2"/>
        <w:widowControl/>
      </w:pPr>
      <w:r>
        <w:rPr>
          <w:rFonts w:ascii="Calibri" w:hAnsi="Calibri"/>
          <w:color w:val="17202A"/>
        </w:rPr>
        <w:t>8.1 Evaluator-owned semantic horizon</w:t>
      </w:r>
    </w:p>
    <w:p>
      <w:pPr>
        <w:widowControl/>
      </w:pPr>
      <w:r>
        <w:rPr>
          <w:rFonts w:ascii="Calibri" w:hAnsi="Calibri"/>
          <w:color w:val="17202A"/>
        </w:rPr>
        <w:t xml:space="preserve">The reproducible command </w:t>
      </w:r>
      <w:r>
        <w:rPr>
          <w:rFonts w:ascii="Courier New" w:hAnsi="Courier New"/>
          <w:color w:val="17202A"/>
        </w:rPr>
        <w:t>pnpm run verify:confirmatory-semantic-horizon-smoke</w:t>
      </w:r>
      <w:r>
        <w:rPr>
          <w:rFonts w:ascii="Calibri" w:hAnsi="Calibri"/>
          <w:color w:val="17202A"/>
        </w:rPr>
        <w:t xml:space="preserve"> generated exactly 1,000 evaluator-owned semantic decisions. Each decision binds the execution and registration digests, trace event and trace digest, membership epoch and configuration, assignment epoch, decision digest, and evidence digest. The projection recomputes a canonical decision root and reaches </w:t>
      </w:r>
      <w:r>
        <w:rPr>
          <w:rFonts w:ascii="Courier New" w:hAnsi="Courier New"/>
          <w:color w:val="17202A"/>
        </w:rPr>
        <w:t>complete</w:t>
      </w:r>
      <w:r>
        <w:rPr>
          <w:rFonts w:ascii="Calibri" w:hAnsi="Calibri"/>
          <w:color w:val="17202A"/>
        </w:rPr>
        <w:t xml:space="preserve"> only when all 1,000 decisions and a finality certificate are present.</w:t>
      </w:r>
    </w:p>
    <w:p>
      <w:pPr>
        <w:widowControl/>
      </w:pPr>
      <w:r>
        <w:rPr>
          <w:rFonts w:ascii="Calibri" w:hAnsi="Calibri"/>
          <w:color w:val="17202A"/>
        </w:rPr>
        <w:t xml:space="preserve">The run produced 973 useful decisions, 27 </w:t>
      </w:r>
      <w:r>
        <w:rPr>
          <w:rFonts w:ascii="Courier New" w:hAnsi="Courier New"/>
          <w:color w:val="17202A"/>
        </w:rPr>
        <w:t>not_useful</w:t>
      </w:r>
      <w:r>
        <w:rPr>
          <w:rFonts w:ascii="Calibri" w:hAnsi="Calibri"/>
          <w:color w:val="17202A"/>
        </w:rPr>
        <w:t xml:space="preserve"> decisions, and zero unsafe decisions. This is an integration result from a deterministic reference profile, not a population estimate or a deployment-performance claim.</w:t>
      </w:r>
    </w:p>
    <w:p>
      <w:pPr>
        <w:pStyle w:val="Heading2"/>
        <w:widowControl/>
      </w:pPr>
      <w:r>
        <w:rPr>
          <w:rFonts w:ascii="Calibri" w:hAnsi="Calibri"/>
          <w:color w:val="17202A"/>
        </w:rPr>
        <w:t>8.2 Agreement, replay, and artifact recovery</w:t>
      </w:r>
    </w:p>
    <w:p>
      <w:pPr>
        <w:widowControl/>
      </w:pPr>
      <w:r>
        <w:rPr>
          <w:rFonts w:ascii="Calibri" w:hAnsi="Calibri"/>
          <w:color w:val="17202A"/>
        </w:rPr>
        <w:t xml:space="preserve">The agreement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Proposal, value, epoch, membership configuration, and signer-set evidence are bound into the certificate. Exact replay produced an identical projection digest. Altered trace bindings and stale evidence were rejected. The serialized projection and semantic sidecar were rehydrated and reprojected with the same digest.</w:t>
      </w:r>
    </w:p>
    <w:p>
      <w:pPr>
        <w:pStyle w:val="Heading2"/>
        <w:widowControl/>
      </w:pPr>
      <w:r>
        <w:rPr>
          <w:rFonts w:ascii="Calibri" w:hAnsi="Calibri"/>
          <w:color w:val="17202A"/>
        </w:rPr>
        <w:t>8.3 Semantic sidecar</w:t>
      </w:r>
    </w:p>
    <w:p>
      <w:pPr>
        <w:widowControl/>
      </w:pPr>
      <w:r>
        <w:rPr>
          <w:rFonts w:ascii="Calibri" w:hAnsi="Calibri"/>
          <w:color w:val="17202A"/>
        </w:rPr>
        <w:t>The runtime reference pilot emits a recoverable six-dimensional evaluator-owned sidecar for every accepted inference event. The reference profile recorded role coherence 10,000 bps, mission alignment 10,000 bps, context conflict 0 bps, uncertainty 0 bps, action diversity 8,000 bps, and action novelty 7,500 bps. These values demonstrate bounded transport, digest binding, and bundle recovery; they are not estimates of field behavior.</w:t>
      </w:r>
    </w:p>
    <w:p>
      <w:pPr>
        <w:pStyle w:val="Heading2"/>
        <w:widowControl/>
      </w:pPr>
      <w:r>
        <w:rPr>
          <w:rFonts w:ascii="Calibri" w:hAnsi="Calibri"/>
          <w:color w:val="17202A"/>
        </w:rPr>
        <w:t>8.4 Scope of the result</w:t>
      </w:r>
    </w:p>
    <w:p>
      <w:pPr>
        <w:widowControl/>
      </w:pPr>
      <w:r>
        <w:rPr>
          <w:rFonts w:ascii="Calibri" w:hAnsi="Calibri"/>
          <w:color w:val="17202A"/>
        </w:rPr>
        <w:t>The results establish an auditable evidence chain and its fail-closed behavior. They do not establish production safety, comparative superiority, statistical calibration of semantic metrics, asymptotic scalability, or V29 mission performance. A future registered campaign is required for those claims.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 xml:space="preserve">The source and protocol artifacts establish an implementable architecture with explicit boundaries for authentication, admission, causal state, work authority, recovery, and protected effects. At architecture commit </w:t>
      </w:r>
      <w:r>
        <w:rPr>
          <w:rFonts w:ascii="Courier New" w:hAnsi="Courier New"/>
          <w:color w:val="17202A"/>
        </w:rPr>
        <w:t>cc8e89c</w:t>
      </w:r>
      <w:r>
        <w:rPr>
          <w:rFonts w:ascii="Calibri" w:hAnsi="Calibri"/>
          <w:color w:val="17202A"/>
        </w:rPr>
        <w:t>, the public package also exposes a governed runtime profile that rejects missing critical phases before start, durable CAS, idempotency, causal-receipt, and epoch-fence ports, and the post-V28 evaluability and publication-bundle gates. Its local release smoke passed restart, idempotency, revision-conflict, and epoch-rollback scenarios; the packed public consumer passed import and TypeScript compilation checks; and the evaluability gate passed its synthetic boundary fixture while rejecting a tampered certificate. The new confirmatory-horizon smoke additionally demonstrates a 1,000-decision evaluator-owned projection with sparse-BFT gateway finality, replay stability, and stale-evidence rejection. These are source and conformance results, not mission-performance measurements. Campaign V28 separately establishes that its earlier registered execution workflow reached complete shard and projection closure while preserving interruptions, receipts, content-addressed artifacts, and an independent eligibility decision.</w:t>
      </w:r>
    </w:p>
    <w:p>
      <w:pPr>
        <w:widowControl/>
      </w:pPr>
      <w:r>
        <w:rPr>
          <w:rFonts w:ascii="Calibri" w:hAnsi="Calibri"/>
          <w:color w:val="17202A"/>
        </w:rPr>
        <w:t>The eligibility failure is informative about the workflow but does not validate the architecture's substantive hypotheses. The normative gate correctly prevented operational completion from becoming a favorable research conclusion. At the same time, the workflow failed too late: the absence or invalidity of required endpoint evidence was detected only after all shards and projections had run. V28 therefore demonstrates both a functioning final eligibility gate and an inadequate pre-execution evaluability gate. Treating only the former as confirmation of the design would invert the most important methodological lesson.</w:t>
      </w:r>
    </w:p>
    <w:p>
      <w:pPr>
        <w:widowControl/>
      </w:pPr>
      <w:r>
        <w:rPr>
          <w:rFonts w:ascii="Calibri" w:hAnsi="Calibri"/>
          <w:color w:val="17202A"/>
        </w:rPr>
        <w:t>The post-V28 remediation closes part of that process gap at the implementation level. The evaluability gate now blocks confirmatory authorization before the first shard when the registered instrument cannot satisfy its structural and synthetic boundary checks. The publication-bundle gate then re-runs the normative analysis from preserved projections and checks the reconstructed raw rows and paper tables. The semantic-horizon smoke adds a concrete evaluator-owned integration check and a real reference-gateway finality path. Together these controls make an invalid or unrecoverable package fail earlier and more visibly. They do not prove semantic calibration, live convergence, or mission performance; those properties still require the next registered study.</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that sparse state remained within every registered envelope, that unaffected scopes preserved useful progress, that recovery followed affected scope, that semantic controls achieved an acceptable safety–utility balance, or that the adaptive collective matched or exceeded the centralized planner. It also does not establish production safety, robustness to unregistered faults, or behavior beyond 500 logical agents.</w:t>
      </w:r>
    </w:p>
    <w:p>
      <w:pPr>
        <w:widowControl/>
      </w:pPr>
      <w:r>
        <w:rPr>
          <w:rFonts w:ascii="Calibri" w:hAnsi="Calibri"/>
          <w:color w:val="17202A"/>
        </w:rPr>
        <w:t>The absence of a reported projection failure should not be confused with zero protected-effect violation. Those values arise from different observational units and evaluators. Similarly, exact replays verify determinism under registered inputs; they do not demonstrate that the chosen policy or environment is externally valid.</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2"/>
        <w:widowControl/>
      </w:pPr>
      <w:r>
        <w:rPr>
          <w:rFonts w:ascii="Calibri" w:hAnsi="Calibri"/>
          <w:color w:val="17202A"/>
        </w:rPr>
        <w:t>9.4 Lessons from the ineligible campaign</w:t>
      </w:r>
    </w:p>
    <w:p>
      <w:pPr>
        <w:widowControl/>
      </w:pPr>
      <w:r>
        <w:rPr>
          <w:rFonts w:ascii="Calibri" w:hAnsi="Calibri"/>
          <w:color w:val="17202A"/>
        </w:rPr>
        <w:t>Three follow-up questions should be handled through a new registered study rather than retrospective threshold changes. First, the role-coherence horizon must be operationalized so that exactly the required decision population can be observed under the registered terminal rules. Second, low useful-decision rate must be diagnosed jointly with replan and safe-stop behavior; increasing permissiveness is not acceptable if it weakens effect safety. Third, convergence needs a concrete, evaluator-derived artifact showing the relevant state, membership, and time assumptions rather than a runner assertion.</w:t>
      </w:r>
    </w:p>
    <w:p>
      <w:pPr>
        <w:widowControl/>
      </w:pPr>
      <w:r>
        <w:rPr>
          <w:rFonts w:ascii="Calibri" w:hAnsi="Calibri"/>
          <w:color w:val="17202A"/>
        </w:rPr>
        <w:t>Canonical result artifacts must accompany review before any endpoint reproducibility claim is made. The post-V28 publication-bundle verifier now binds the registered inputs, authorization, projections, raw paired rows, table source, analysis and receipts into one recoverable manifest and reconstructs the analysis before collection can close. Content digests can bind an available object to an identifier; without the object they do not permit reproduction, reanalysis, or verification of row-level transformations. The verifier reduces that risk for future campaigns, but a live pilot must still demonstrate that the bundle survives independent retrieval and reanalysis.</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Logical-agent count may not represent the concurrency, model invocations, or state pressure of deployed agents. Useful-decision rate and semantic convergence depend on evaluator definitions; the invalid horizon observed in V28 shows that these constructs require further validation.</w:t>
      </w:r>
    </w:p>
    <w:p>
      <w:pPr>
        <w:widowControl/>
      </w:pPr>
      <w:r>
        <w:rPr>
          <w:rFonts w:ascii="Calibri" w:hAnsi="Calibri"/>
          <w:b/>
          <w:color w:val="17202A"/>
        </w:rPr>
        <w:t>Internal validity.</w:t>
      </w:r>
      <w:r>
        <w:rPr>
          <w:rFonts w:ascii="Calibri" w:hAnsi="Calibri"/>
          <w:color w:val="17202A"/>
        </w:rPr>
        <w:t xml:space="preserve"> The hidden monitor, fault injector, interaction accounting, and replay implementation are part of the experimental apparatus. A defect in them could bias both treatments. Digest binding and exact replay improve auditability but do not prove evaluator correctness.</w:t>
      </w:r>
    </w:p>
    <w:p>
      <w:pPr>
        <w:widowControl/>
      </w:pPr>
      <w:r>
        <w:rPr>
          <w:rFonts w:ascii="Calibri" w:hAnsi="Calibri"/>
          <w:b/>
          <w:color w:val="17202A"/>
        </w:rPr>
        <w:t>External validity.</w:t>
      </w:r>
      <w:r>
        <w:rPr>
          <w:rFonts w:ascii="Calibri" w:hAnsi="Calibri"/>
          <w:color w:val="17202A"/>
        </w:rPr>
        <w:t xml:space="preserve"> The simulator and recorded response tape control variation but do not reproduce live provider latency, model drift, human intervention, network behavior, or adversaries. One local Apple Silicon environment cannot establish deployment portability or operational performance.</w:t>
      </w:r>
    </w:p>
    <w:p>
      <w:pPr>
        <w:widowControl/>
      </w:pPr>
      <w:r>
        <w:rPr>
          <w:rFonts w:ascii="Calibri" w:hAnsi="Calibri"/>
          <w:b/>
          <w:color w:val="17202A"/>
        </w:rPr>
        <w:t>Statistical conclusion validity.</w:t>
      </w:r>
      <w:r>
        <w:rPr>
          <w:rFonts w:ascii="Calibri" w:hAnsi="Calibri"/>
          <w:color w:val="17202A"/>
        </w:rPr>
        <w:t xml:space="preserve"> Confirmatory procedures were preregistered, but the ineligible outcome prevents planned inference. No post hoc analysis may be promoted to confirmatory evidence. Replays are verification runs, not additional samples.</w:t>
      </w:r>
    </w:p>
    <w:p>
      <w:pPr>
        <w:widowControl/>
      </w:pPr>
      <w:r>
        <w:rPr>
          <w:rFonts w:ascii="Calibri" w:hAnsi="Calibri"/>
          <w:b/>
          <w:color w:val="17202A"/>
        </w:rPr>
        <w:t>Baseline validity.</w:t>
      </w:r>
      <w:r>
        <w:rPr>
          <w:rFonts w:ascii="Calibri" w:hAnsi="Calibri"/>
          <w:color w:val="17202A"/>
        </w:rPr>
        <w:t xml:space="preserve"> The centralized planner is fairness-constrained to equal admitted information and accounting. Conclusions would apply to that baseline, not every centralized architecture. A centralized system with reliable global state or a different optimization objective might behave differently.</w:t>
      </w:r>
    </w:p>
    <w:p>
      <w:pPr>
        <w:widowControl/>
      </w:pPr>
      <w:r>
        <w:rPr>
          <w:rFonts w:ascii="Calibri" w:hAnsi="Calibri"/>
          <w:b/>
          <w:color w:val="17202A"/>
        </w:rPr>
        <w:t>Scale validity.</w:t>
      </w:r>
      <w:r>
        <w:rPr>
          <w:rFonts w:ascii="Calibri" w:hAnsi="Calibri"/>
          <w:color w:val="17202A"/>
        </w:rPr>
        <w:t xml:space="preserve"> Measurements at 50–500 logical agents are finite-range observations. They cannot prove asymptotic behavior, and sparse topology formulas are implementation envelopes rather than empirical scaling laws.</w:t>
      </w:r>
    </w:p>
    <w:p>
      <w:pPr>
        <w:widowControl/>
      </w:pPr>
      <w:r>
        <w:rPr>
          <w:rFonts w:ascii="Calibri" w:hAnsi="Calibri"/>
          <w:b/>
          <w:color w:val="17202A"/>
        </w:rPr>
        <w:t>Version validity.</w:t>
      </w:r>
      <w:r>
        <w:rPr>
          <w:rFonts w:ascii="Calibri" w:hAnsi="Calibri"/>
          <w:color w:val="17202A"/>
        </w:rPr>
        <w:t xml:space="preserve"> Sections 3–6 describe the architecture and evaluation controls at commit </w:t>
      </w:r>
      <w:r>
        <w:rPr>
          <w:rFonts w:ascii="Courier New" w:hAnsi="Courier New"/>
          <w:color w:val="17202A"/>
        </w:rPr>
        <w:t>490a392</w:t>
      </w:r>
      <w:r>
        <w:rPr>
          <w:rFonts w:ascii="Calibri" w:hAnsi="Calibri"/>
          <w:color w:val="17202A"/>
        </w:rPr>
        <w:t xml:space="preserve">, whereas Campaign V28 was frozen at </w:t>
      </w:r>
      <w:r>
        <w:rPr>
          <w:rFonts w:ascii="Courier New" w:hAnsi="Courier New"/>
          <w:color w:val="17202A"/>
        </w:rPr>
        <w:t>f0412840</w:t>
      </w:r>
      <w:r>
        <w:rPr>
          <w:rFonts w:ascii="Calibri" w:hAnsi="Calibri"/>
          <w:color w:val="17202A"/>
        </w:rPr>
        <w:t>. Later runtime, partition, topology, continuity, strategy, approval, compromise, forensic, evaluability, and publication-bundle surfaces were not treatments in V28. Their implementation and local release checks cannot be interpreted as retrospective experimental evidence.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 xml:space="preserve">The public AgentPlat source repository [11] records the protocol, control model, threat model, preregistered hypotheses, data dictionary, statistical procedures, and paper structure. The architecture and post-V28 evaluation controls described in this version are pinned to source commit </w:t>
      </w:r>
      <w:r>
        <w:rPr>
          <w:rFonts w:ascii="Courier New" w:hAnsi="Courier New"/>
          <w:color w:val="17202A"/>
        </w:rPr>
        <w:t>490a392</w:t>
      </w:r>
      <w:r>
        <w:rPr>
          <w:rFonts w:ascii="Calibri" w:hAnsi="Calibri"/>
          <w:color w:val="17202A"/>
        </w:rPr>
        <w:t xml:space="preserve">. At that commit, </w:t>
      </w:r>
      <w:r>
        <w:rPr>
          <w:rFonts w:ascii="Courier New" w:hAnsi="Courier New"/>
          <w:color w:val="17202A"/>
        </w:rPr>
        <w:t>pnpm run verify:governed-runtime-release</w:t>
      </w:r>
      <w:r>
        <w:rPr>
          <w:rFonts w:ascii="Calibri" w:hAnsi="Calibri"/>
          <w:color w:val="17202A"/>
        </w:rPr>
        <w:t xml:space="preserve"> passed restart, idempotency, compare-and-swap, and epoch-fence smoke checks; </w:t>
      </w:r>
      <w:r>
        <w:rPr>
          <w:rFonts w:ascii="Courier New" w:hAnsi="Courier New"/>
          <w:color w:val="17202A"/>
        </w:rPr>
        <w:t>pnpm run verify:public-consumer</w:t>
      </w:r>
      <w:r>
        <w:rPr>
          <w:rFonts w:ascii="Calibri" w:hAnsi="Calibri"/>
          <w:color w:val="17202A"/>
        </w:rPr>
        <w:t xml:space="preserve"> verified the packed </w:t>
      </w:r>
      <w:r>
        <w:rPr>
          <w:rFonts w:ascii="Courier New" w:hAnsi="Courier New"/>
          <w:color w:val="17202A"/>
        </w:rPr>
        <w:t>@agentplat/collective-runtime</w:t>
      </w:r>
      <w:r>
        <w:rPr>
          <w:rFonts w:ascii="Calibri" w:hAnsi="Calibri"/>
          <w:color w:val="17202A"/>
        </w:rPr>
        <w:t xml:space="preserve"> and </w:t>
      </w:r>
      <w:r>
        <w:rPr>
          <w:rFonts w:ascii="Courier New" w:hAnsi="Courier New"/>
          <w:color w:val="17202A"/>
        </w:rPr>
        <w:t>@agentplat/audit</w:t>
      </w:r>
      <w:r>
        <w:rPr>
          <w:rFonts w:ascii="Calibri" w:hAnsi="Calibri"/>
          <w:color w:val="17202A"/>
        </w:rPr>
        <w:t xml:space="preserve"> packages through installation, runtime import, and strict TypeScript compilation; and the evaluability/publication gates passed their synthetic and negative tests. These commands are reproducible local conformance checks; they do not validate distributed mission outcomes.</w:t>
      </w:r>
    </w:p>
    <w:p>
      <w:pPr>
        <w:widowControl/>
      </w:pPr>
      <w:r>
        <w:rPr>
          <w:rFonts w:ascii="Calibri" w:hAnsi="Calibri"/>
          <w:color w:val="17202A"/>
        </w:rPr>
        <w:t>Campaign V28 predates those additions and binds the following separate identifiers:</w:t>
      </w:r>
    </w:p>
    <w:p>
      <w:pPr>
        <w:pStyle w:val="ListBullet"/>
        <w:widowControl/>
      </w:pPr>
      <w:r>
        <w:rPr>
          <w:rFonts w:ascii="Calibri" w:hAnsi="Calibri"/>
          <w:color w:val="17202A"/>
        </w:rPr>
        <w:t xml:space="preserve">source commit: </w:t>
      </w:r>
      <w:r>
        <w:rPr>
          <w:rFonts w:ascii="Courier New" w:hAnsi="Courier New"/>
          <w:color w:val="17202A"/>
        </w:rPr>
        <w:t>f041284000672b2035138769da7589a6ce89e3f3</w:t>
      </w:r>
      <w:r>
        <w:rPr>
          <w:rFonts w:ascii="Calibri" w:hAnsi="Calibri"/>
          <w:color w:val="17202A"/>
        </w:rPr>
        <w:t>;</w:t>
      </w:r>
    </w:p>
    <w:p>
      <w:pPr>
        <w:pStyle w:val="ListBullet"/>
        <w:widowControl/>
      </w:pPr>
      <w:r>
        <w:rPr>
          <w:rFonts w:ascii="Calibri" w:hAnsi="Calibri"/>
          <w:color w:val="17202A"/>
        </w:rPr>
        <w:t xml:space="preserve">authorization digest: </w:t>
      </w:r>
      <w:r>
        <w:rPr>
          <w:rFonts w:ascii="Courier New" w:hAnsi="Courier New"/>
          <w:color w:val="17202A"/>
        </w:rPr>
        <w:t>sha256:d76c1269fd5c98c54662c001565ac8a76089ccc373591c145ed3a2fc6b411625</w:t>
      </w:r>
      <w:r>
        <w:rPr>
          <w:rFonts w:ascii="Calibri" w:hAnsi="Calibri"/>
          <w:color w:val="17202A"/>
        </w:rPr>
        <w:t>;</w:t>
      </w:r>
    </w:p>
    <w:p>
      <w:pPr>
        <w:pStyle w:val="ListBullet"/>
        <w:widowControl/>
      </w:pPr>
      <w:r>
        <w:rPr>
          <w:rFonts w:ascii="Calibri" w:hAnsi="Calibri"/>
          <w:color w:val="17202A"/>
        </w:rPr>
        <w:t xml:space="preserve">collection-manifest digest: </w:t>
      </w:r>
      <w:r>
        <w:rPr>
          <w:rFonts w:ascii="Courier New" w:hAnsi="Courier New"/>
          <w:color w:val="17202A"/>
        </w:rPr>
        <w:t>sha256:5cdd29b44f21bfa10b00aa7eed1023be2826a8ed5322e3159d1a91345fac535b</w:t>
      </w:r>
      <w:r>
        <w:rPr>
          <w:rFonts w:ascii="Calibri" w:hAnsi="Calibri"/>
          <w:color w:val="17202A"/>
        </w:rPr>
        <w:t>;</w:t>
      </w:r>
    </w:p>
    <w:p>
      <w:pPr>
        <w:pStyle w:val="ListBullet"/>
        <w:widowControl/>
      </w:pPr>
      <w:r>
        <w:rPr>
          <w:rFonts w:ascii="Calibri" w:hAnsi="Calibri"/>
          <w:color w:val="17202A"/>
        </w:rPr>
        <w:t xml:space="preserve">normative-analysis digest: </w:t>
      </w:r>
      <w:r>
        <w:rPr>
          <w:rFonts w:ascii="Courier New" w:hAnsi="Courier New"/>
          <w:color w:val="17202A"/>
        </w:rPr>
        <w:t>sha256:c749f7f7efe7732596dd089cd646fcc97f3d1002785d14301c0ea27ab23ade14</w:t>
      </w:r>
      <w:r>
        <w:rPr>
          <w:rFonts w:ascii="Calibri" w:hAnsi="Calibri"/>
          <w:color w:val="17202A"/>
        </w:rPr>
        <w:t>;</w:t>
      </w:r>
    </w:p>
    <w:p>
      <w:pPr>
        <w:pStyle w:val="ListBullet"/>
        <w:widowControl/>
      </w:pPr>
      <w:r>
        <w:rPr>
          <w:rFonts w:ascii="Calibri" w:hAnsi="Calibri"/>
          <w:color w:val="17202A"/>
        </w:rPr>
        <w:t xml:space="preserve">receipt root: </w:t>
      </w:r>
      <w:r>
        <w:rPr>
          <w:rFonts w:ascii="Courier New" w:hAnsi="Courier New"/>
          <w:color w:val="17202A"/>
        </w:rPr>
        <w:t>sha256:c74d779e532d6b3930497e0b38e44f718e6345af9fd840842248d4d4dab92c6a</w:t>
      </w:r>
      <w:r>
        <w:rPr>
          <w:rFonts w:ascii="Calibri" w:hAnsi="Calibri"/>
          <w:color w:val="17202A"/>
        </w:rPr>
        <w:t>.</w:t>
      </w:r>
    </w:p>
    <w:p>
      <w:pPr>
        <w:widowControl/>
      </w:pPr>
      <w:r>
        <w:rPr>
          <w:rFonts w:ascii="Calibri" w:hAnsi="Calibri"/>
          <w:color w:val="17202A"/>
        </w:rPr>
        <w:t xml:space="preserve">The retained digests bind identifiers to the objects that existed when the records were produced, but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are not recoverable from the repository snapshot used for this manuscript. The endpoint analysis is therefore </w:t>
      </w:r>
      <w:r>
        <w:rPr>
          <w:rFonts w:ascii="Calibri" w:hAnsi="Calibri"/>
          <w:b/>
          <w:color w:val="17202A"/>
        </w:rPr>
        <w:t>not independently reproducible from the available artifact package</w:t>
      </w:r>
      <w:r>
        <w:rPr>
          <w:rFonts w:ascii="Calibri" w:hAnsi="Calibri"/>
          <w:color w:val="17202A"/>
        </w:rPr>
        <w:t>. The execution summary and signed-off eligibility decision remain reportable as provenance-bound records, but they are not substitutes for row-level evidence.</w:t>
      </w:r>
    </w:p>
    <w:p>
      <w:pPr>
        <w:widowControl/>
      </w:pPr>
      <w:r>
        <w:rPr>
          <w:rFonts w:ascii="Calibri" w:hAnsi="Calibri"/>
          <w:color w:val="17202A"/>
        </w:rPr>
        <w:t>The manuscript should not be submitted to an artifact-evaluated venue with digest references alone. A publication package must make the referenced registration, manifest, normative analysis, raw paired rows, table source, receipts, analysis code, and verification key accessible to reviewers or explain each restriction. Unless those exact objects are recovered, the appropriate remedy is not to reconstruct them from summaries; it is to retain V28 as an instrument-failure report and conduct any new confirmatory evaluation under a new registration.</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Campaign V28 demonstrates complete execution-process closure for a substantial preregistered simulation design. It does not demonstrate complete recoverable evidence collection and provides no confirmatory validation of the target collective-control properties. The analysis remained ineligible because role-coherence, useful-decision, and convergence requirements were not satisfied; canonical row and table artifacts are also unavailable in the retained repository snapshot. The post-V28 evaluability and publication-bundle gates now address the corresponding process failures through deterministic pre-authorization checks and independent artifact reconstruction, but their current evidence is limited to synthetic fixtures and negative tests. The proper conclusion is narrower than a performance result: the final eligibility gate rejected an invalid claim, the remediation makes future failure earlier and more auditable, and Agent Mesh's empirical performance claims remain open.</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1.2 prepared for archival publication on Zenodo.</dc:description>
  <cp:lastModifiedBy/>
  <cp:revision>1</cp:revision>
  <dcterms:created xsi:type="dcterms:W3CDTF">2013-12-23T23:15:00Z</dcterms:created>
  <dcterms:modified xsi:type="dcterms:W3CDTF">2013-12-23T23:15:00Z</dcterms:modified>
  <cp:category/>
</cp:coreProperties>
</file>