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-5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02">
            <w:pPr>
              <w:widowControl w:val="0"/>
              <w:spacing w:before="240" w:line="240" w:lineRule="auto"/>
              <w:ind w:hanging="145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6699"/>
                <w:sz w:val="24"/>
                <w:szCs w:val="24"/>
                <w:rtl w:val="0"/>
              </w:rPr>
              <w:t xml:space="preserve">  Descripción</w:t>
            </w:r>
            <w:r w:rsidDel="00000000" w:rsidR="00000000" w:rsidRPr="00000000">
              <w:rPr>
                <w:color w:val="006699"/>
                <w:sz w:val="24"/>
                <w:szCs w:val="24"/>
                <w:rtl w:val="0"/>
              </w:rPr>
              <w:t xml:space="preserve">: UC 3.2 – Listar ContinueWatching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04">
            <w:pPr>
              <w:spacing w:before="240" w:line="240" w:lineRule="auto"/>
              <w:rPr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6699"/>
                <w:sz w:val="24"/>
                <w:szCs w:val="24"/>
                <w:rtl w:val="0"/>
              </w:rPr>
              <w:t xml:space="preserve">Actores</w:t>
            </w:r>
            <w:r w:rsidDel="00000000" w:rsidR="00000000" w:rsidRPr="00000000">
              <w:rPr>
                <w:color w:val="006699"/>
                <w:sz w:val="24"/>
                <w:szCs w:val="24"/>
                <w:rtl w:val="0"/>
              </w:rPr>
              <w:t xml:space="preserve">: El cliente</w:t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tcBorders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05">
            <w:pPr>
              <w:widowControl w:val="0"/>
              <w:spacing w:before="240" w:line="240" w:lineRule="auto"/>
              <w:ind w:hanging="145"/>
              <w:rPr/>
            </w:pPr>
            <w:r w:rsidDel="00000000" w:rsidR="00000000" w:rsidRPr="00000000">
              <w:rPr>
                <w:b w:val="1"/>
                <w:color w:val="006699"/>
                <w:sz w:val="24"/>
                <w:szCs w:val="24"/>
                <w:rtl w:val="0"/>
              </w:rPr>
              <w:t xml:space="preserve">  Precondiciones</w:t>
            </w:r>
            <w:r w:rsidDel="00000000" w:rsidR="00000000" w:rsidRPr="00000000">
              <w:rPr>
                <w:color w:val="006699"/>
                <w:sz w:val="24"/>
                <w:szCs w:val="24"/>
                <w:rtl w:val="0"/>
              </w:rPr>
              <w:t xml:space="preserve">: Estar registrado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06">
            <w:pPr>
              <w:spacing w:before="240" w:line="240" w:lineRule="auto"/>
              <w:rPr>
                <w:b w:val="1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6699"/>
                <w:sz w:val="24"/>
                <w:szCs w:val="24"/>
                <w:rtl w:val="0"/>
              </w:rPr>
              <w:t xml:space="preserve">Postcondiciones</w:t>
            </w:r>
            <w:r w:rsidDel="00000000" w:rsidR="00000000" w:rsidRPr="00000000">
              <w:rPr>
                <w:color w:val="006699"/>
                <w:sz w:val="24"/>
                <w:szCs w:val="24"/>
                <w:rtl w:val="0"/>
              </w:rPr>
              <w:t xml:space="preserve">: Se muestra la lista ContinueWatching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0" w:hRule="atLeast"/>
          <w:tblHeader w:val="0"/>
        </w:trPr>
        <w:tc>
          <w:tcPr>
            <w:tcBorders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07">
            <w:pPr>
              <w:widowControl w:val="0"/>
              <w:spacing w:before="240" w:line="240" w:lineRule="auto"/>
              <w:ind w:hanging="145"/>
              <w:rPr>
                <w:b w:val="1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6699"/>
                <w:sz w:val="24"/>
                <w:szCs w:val="24"/>
                <w:rtl w:val="0"/>
              </w:rPr>
              <w:t xml:space="preserve">  Flujo básico: 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1"/>
              </w:numPr>
              <w:spacing w:after="0" w:afterAutospacing="0" w:before="240" w:line="360" w:lineRule="auto"/>
              <w:ind w:left="720" w:hanging="360"/>
              <w:rPr>
                <w:color w:val="006699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6699"/>
                <w:sz w:val="24"/>
                <w:szCs w:val="24"/>
                <w:rtl w:val="0"/>
              </w:rPr>
              <w:t xml:space="preserve">El cliente elige el filtro de ContinueWatching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spacing w:before="0" w:beforeAutospacing="0" w:line="360" w:lineRule="auto"/>
              <w:ind w:left="720" w:hanging="360"/>
              <w:rPr>
                <w:color w:val="006699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6699"/>
                <w:sz w:val="24"/>
                <w:szCs w:val="24"/>
                <w:rtl w:val="0"/>
              </w:rPr>
              <w:t xml:space="preserve">El sistema muestra el catálogo filtrado por ContinueWatching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40" w:hRule="atLeast"/>
          <w:tblHeader w:val="0"/>
        </w:trPr>
        <w:tc>
          <w:tcPr>
            <w:tcBorders>
              <w:left w:color="000000" w:space="0" w:sz="18" w:val="single"/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0A">
            <w:pPr>
              <w:spacing w:before="240" w:line="240" w:lineRule="auto"/>
              <w:rPr>
                <w:b w:val="1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6699"/>
                <w:sz w:val="24"/>
                <w:szCs w:val="24"/>
                <w:rtl w:val="0"/>
              </w:rPr>
              <w:t xml:space="preserve">Flujo alternativo:</w:t>
            </w:r>
          </w:p>
        </w:tc>
      </w:tr>
    </w:tbl>
    <w:p w:rsidR="00000000" w:rsidDel="00000000" w:rsidP="00000000" w:rsidRDefault="00000000" w:rsidRPr="00000000" w14:paraId="0000000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