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NovaWorks Sales Lead Qualification and Autonomy Policy</w:t>
      </w:r>
    </w:p>
    <w:p>
      <w:r>
        <w:rPr>
          <w:b/>
        </w:rPr>
        <w:t xml:space="preserve">Version: </w:t>
      </w:r>
      <w:r>
        <w:t>1.0</w:t>
      </w:r>
      <w:r>
        <w:rPr>
          <w:b/>
        </w:rPr>
        <w:t xml:space="preserve">    Effective date: </w:t>
      </w:r>
      <w:r>
        <w:t>1 August 2026</w:t>
      </w:r>
      <w:r>
        <w:rPr>
          <w:b/>
        </w:rPr>
        <w:t xml:space="preserve">    Classification: </w:t>
      </w:r>
      <w:r>
        <w:t>Synthetic training policy</w:t>
      </w:r>
    </w:p>
    <w:tbl>
      <w:tblPr>
        <w:tblStyle w:val="TableGrid"/>
        <w:tblW w:type="auto" w:w="0"/>
        <w:jc w:val="center"/>
        <w:tblLook w:firstColumn="1" w:firstRow="1" w:lastColumn="0" w:lastRow="0" w:noHBand="0" w:noVBand="1" w:val="04A0"/>
      </w:tblPr>
      <w:tblGrid>
        <w:gridCol w:w="10224"/>
      </w:tblGrid>
      <w:tr>
        <w:tc>
          <w:tcPr>
            <w:tcW w:type="dxa" w:w="10224"/>
            <w:shd w:fill="FFF2CC"/>
          </w:tcPr>
          <w:p>
            <w:pPr>
              <w:spacing w:after="40"/>
            </w:pPr>
            <w:r/>
            <w:r>
              <w:rPr>
                <w:b/>
                <w:color w:val="17365D"/>
                <w:sz w:val="19"/>
              </w:rPr>
              <w:t>Training use only</w:t>
            </w:r>
          </w:p>
          <w:p>
            <w:pPr>
              <w:spacing w:after="0"/>
            </w:pPr>
            <w:r>
              <w:rPr>
                <w:sz w:val="18"/>
              </w:rPr>
              <w:t>This policy and all organisations, names, email addresses, budgets, and opportunities in the accompanying data package are fictional. Do not use real customer information during the project build.</w:t>
            </w:r>
          </w:p>
        </w:tc>
      </w:tr>
    </w:tbl>
    <w:p>
      <w:pPr>
        <w:spacing w:after="20"/>
      </w:pPr>
    </w:p>
    <w:p>
      <w:pPr>
        <w:pStyle w:val="Heading1"/>
      </w:pPr>
      <w:r>
        <w:t>1. Purpose</w:t>
      </w:r>
    </w:p>
    <w:p>
      <w:r>
        <w:t>This policy defines how the autonomous sales lead qualification agent must identify, enrich, score, classify, route, document, and communicate about incoming sales inquiries.</w:t>
      </w:r>
    </w:p>
    <w:p>
      <w:pPr>
        <w:pStyle w:val="Heading1"/>
      </w:pPr>
      <w:r>
        <w:t>2. Definition of a Sales Lead</w:t>
      </w:r>
    </w:p>
    <w:p>
      <w:pPr>
        <w:pStyle w:val="ListBullet"/>
        <w:spacing w:after="40"/>
      </w:pPr>
      <w:r>
        <w:t>A request from an organisation or authorised representative exploring a NovaWorks product, service, training programme, advisory engagement, or implementation.</w:t>
      </w:r>
    </w:p>
    <w:p>
      <w:pPr>
        <w:pStyle w:val="ListBullet"/>
        <w:spacing w:after="40"/>
      </w:pPr>
      <w:r>
        <w:t>The inquiry must contain a business need or a reasonable indication of commercial intent.</w:t>
      </w:r>
    </w:p>
    <w:p>
      <w:pPr>
        <w:pStyle w:val="ListBullet"/>
        <w:spacing w:after="40"/>
      </w:pPr>
      <w:r>
        <w:t>Support incidents, recruitment requests, academic research, competitive intelligence, spam, and general non-commercial messages are not sales leads.</w:t>
      </w:r>
    </w:p>
    <w:p>
      <w:pPr>
        <w:pStyle w:val="Heading1"/>
      </w:pPr>
      <w:r>
        <w:t>3. Mandatory Information</w:t>
      </w:r>
    </w:p>
    <w:p>
      <w:pPr>
        <w:pStyle w:val="ListBullet"/>
        <w:spacing w:after="40"/>
      </w:pPr>
      <w:r>
        <w:t>Contact name or identifiable sender</w:t>
      </w:r>
    </w:p>
    <w:p>
      <w:pPr>
        <w:pStyle w:val="ListBullet"/>
        <w:spacing w:after="40"/>
      </w:pPr>
      <w:r>
        <w:t>Company name</w:t>
      </w:r>
    </w:p>
    <w:p>
      <w:pPr>
        <w:pStyle w:val="ListBullet"/>
        <w:spacing w:after="40"/>
      </w:pPr>
      <w:r>
        <w:t>Country</w:t>
      </w:r>
    </w:p>
    <w:p>
      <w:pPr>
        <w:pStyle w:val="ListBullet"/>
        <w:spacing w:after="40"/>
      </w:pPr>
      <w:r>
        <w:t>Product or solution interest</w:t>
      </w:r>
    </w:p>
    <w:p>
      <w:pPr>
        <w:pStyle w:val="ListBullet"/>
        <w:spacing w:after="40"/>
      </w:pPr>
      <w:r>
        <w:t>Business need</w:t>
      </w:r>
    </w:p>
    <w:p>
      <w:pPr>
        <w:pStyle w:val="ListBullet"/>
        <w:spacing w:after="40"/>
      </w:pPr>
      <w:r>
        <w:t>Budget or budget status</w:t>
      </w:r>
    </w:p>
    <w:p>
      <w:pPr>
        <w:pStyle w:val="ListBullet"/>
        <w:spacing w:after="40"/>
      </w:pPr>
      <w:r>
        <w:t>Purchase timeline or timeline status</w:t>
      </w:r>
    </w:p>
    <w:p>
      <w:pPr>
        <w:pStyle w:val="ListBullet"/>
        <w:spacing w:after="40"/>
      </w:pPr>
      <w:r>
        <w:t>Decision role or role status</w:t>
      </w:r>
    </w:p>
    <w:p>
      <w:r>
        <w:t>One or two missing fields may be resolved through an autonomous information request. Three or more missing mandatory fields require the classification Additional Information Required or Human Review Required, depending on confidence and ambiguity.</w:t>
      </w:r>
    </w:p>
    <w:p>
      <w:pPr>
        <w:pStyle w:val="Heading1"/>
      </w:pPr>
      <w:r>
        <w:t>4. Qualification Score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17365D"/>
          </w:tcPr>
          <w:p>
            <w:pPr>
              <w:spacing w:after="0"/>
            </w:pPr>
            <w:r/>
            <w:r>
              <w:rPr>
                <w:b/>
                <w:color w:val="FFFFFF"/>
                <w:sz w:val="17"/>
              </w:rPr>
              <w:t>Dimension</w:t>
            </w:r>
          </w:p>
        </w:tc>
        <w:tc>
          <w:tcPr>
            <w:tcW w:type="dxa" w:w="1584"/>
            <w:vAlign w:val="center"/>
            <w:shd w:fill="17365D"/>
          </w:tcPr>
          <w:p>
            <w:pPr>
              <w:spacing w:after="0"/>
            </w:pPr>
            <w:r/>
            <w:r>
              <w:rPr>
                <w:b/>
                <w:color w:val="FFFFFF"/>
                <w:sz w:val="17"/>
              </w:rPr>
              <w:t>Maximum Points</w:t>
            </w:r>
          </w:p>
        </w:tc>
        <w:tc>
          <w:tcPr>
            <w:tcW w:type="dxa" w:w="5904"/>
            <w:vAlign w:val="center"/>
            <w:shd w:fill="17365D"/>
          </w:tcPr>
          <w:p>
            <w:pPr>
              <w:spacing w:after="0"/>
            </w:pPr>
            <w:r/>
            <w:r>
              <w:rPr>
                <w:b/>
                <w:color w:val="FFFFFF"/>
                <w:sz w:val="17"/>
              </w:rPr>
              <w:t>Summary</w:t>
            </w:r>
          </w:p>
        </w:tc>
      </w:tr>
      <w:tr>
        <w:tc>
          <w:tcPr>
            <w:tcW w:type="dxa" w:w="2304"/>
            <w:vAlign w:val="center"/>
          </w:tcPr>
          <w:p>
            <w:pPr>
              <w:spacing w:after="0"/>
            </w:pPr>
            <w:r/>
            <w:r>
              <w:rPr>
                <w:b w:val="0"/>
                <w:sz w:val="17"/>
              </w:rPr>
              <w:t>Product fit</w:t>
            </w:r>
          </w:p>
        </w:tc>
        <w:tc>
          <w:tcPr>
            <w:tcW w:type="dxa" w:w="1584"/>
            <w:vAlign w:val="center"/>
          </w:tcPr>
          <w:p>
            <w:pPr>
              <w:spacing w:after="0"/>
            </w:pPr>
            <w:r/>
            <w:r>
              <w:rPr>
                <w:b w:val="0"/>
                <w:sz w:val="17"/>
              </w:rPr>
              <w:t>20</w:t>
            </w:r>
          </w:p>
        </w:tc>
        <w:tc>
          <w:tcPr>
            <w:tcW w:type="dxa" w:w="5904"/>
            <w:vAlign w:val="center"/>
          </w:tcPr>
          <w:p>
            <w:pPr>
              <w:spacing w:after="0"/>
            </w:pPr>
            <w:r/>
            <w:r>
              <w:rPr>
                <w:b w:val="0"/>
                <w:sz w:val="17"/>
              </w:rPr>
              <w:t>Strategic, standard, limited, or unsupported match</w:t>
            </w:r>
          </w:p>
        </w:tc>
      </w:tr>
      <w:tr>
        <w:tc>
          <w:tcPr>
            <w:tcW w:type="dxa" w:w="2304"/>
            <w:vAlign w:val="center"/>
            <w:shd w:fill="F2F2F2"/>
          </w:tcPr>
          <w:p>
            <w:pPr>
              <w:spacing w:after="0"/>
            </w:pPr>
            <w:r/>
            <w:r>
              <w:rPr>
                <w:b w:val="0"/>
                <w:sz w:val="17"/>
              </w:rPr>
              <w:t>Budget viability</w:t>
            </w:r>
          </w:p>
        </w:tc>
        <w:tc>
          <w:tcPr>
            <w:tcW w:type="dxa" w:w="1584"/>
            <w:vAlign w:val="center"/>
            <w:shd w:fill="F2F2F2"/>
          </w:tcPr>
          <w:p>
            <w:pPr>
              <w:spacing w:after="0"/>
            </w:pPr>
            <w:r/>
            <w:r>
              <w:rPr>
                <w:b w:val="0"/>
                <w:sz w:val="17"/>
              </w:rPr>
              <w:t>20</w:t>
            </w:r>
          </w:p>
        </w:tc>
        <w:tc>
          <w:tcPr>
            <w:tcW w:type="dxa" w:w="5904"/>
            <w:vAlign w:val="center"/>
            <w:shd w:fill="F2F2F2"/>
          </w:tcPr>
          <w:p>
            <w:pPr>
              <w:spacing w:after="0"/>
            </w:pPr>
            <w:r/>
            <w:r>
              <w:rPr>
                <w:b w:val="0"/>
                <w:sz w:val="17"/>
              </w:rPr>
              <w:t>Comparison with the offering minimum budget</w:t>
            </w:r>
          </w:p>
        </w:tc>
      </w:tr>
      <w:tr>
        <w:tc>
          <w:tcPr>
            <w:tcW w:type="dxa" w:w="2304"/>
            <w:vAlign w:val="center"/>
          </w:tcPr>
          <w:p>
            <w:pPr>
              <w:spacing w:after="0"/>
            </w:pPr>
            <w:r/>
            <w:r>
              <w:rPr>
                <w:b w:val="0"/>
                <w:sz w:val="17"/>
              </w:rPr>
              <w:t>Purchase timeline</w:t>
            </w:r>
          </w:p>
        </w:tc>
        <w:tc>
          <w:tcPr>
            <w:tcW w:type="dxa" w:w="1584"/>
            <w:vAlign w:val="center"/>
          </w:tcPr>
          <w:p>
            <w:pPr>
              <w:spacing w:after="0"/>
            </w:pPr>
            <w:r/>
            <w:r>
              <w:rPr>
                <w:b w:val="0"/>
                <w:sz w:val="17"/>
              </w:rPr>
              <w:t>15</w:t>
            </w:r>
          </w:p>
        </w:tc>
        <w:tc>
          <w:tcPr>
            <w:tcW w:type="dxa" w:w="5904"/>
            <w:vAlign w:val="center"/>
          </w:tcPr>
          <w:p>
            <w:pPr>
              <w:spacing w:after="0"/>
            </w:pPr>
            <w:r/>
            <w:r>
              <w:rPr>
                <w:b w:val="0"/>
                <w:sz w:val="17"/>
              </w:rPr>
              <w:t>Near-term opportunities receive more points</w:t>
            </w:r>
          </w:p>
        </w:tc>
      </w:tr>
      <w:tr>
        <w:tc>
          <w:tcPr>
            <w:tcW w:type="dxa" w:w="2304"/>
            <w:vAlign w:val="center"/>
            <w:shd w:fill="F2F2F2"/>
          </w:tcPr>
          <w:p>
            <w:pPr>
              <w:spacing w:after="0"/>
            </w:pPr>
            <w:r/>
            <w:r>
              <w:rPr>
                <w:b w:val="0"/>
                <w:sz w:val="17"/>
              </w:rPr>
              <w:t>Decision role</w:t>
            </w:r>
          </w:p>
        </w:tc>
        <w:tc>
          <w:tcPr>
            <w:tcW w:type="dxa" w:w="1584"/>
            <w:vAlign w:val="center"/>
            <w:shd w:fill="F2F2F2"/>
          </w:tcPr>
          <w:p>
            <w:pPr>
              <w:spacing w:after="0"/>
            </w:pPr>
            <w:r/>
            <w:r>
              <w:rPr>
                <w:b w:val="0"/>
                <w:sz w:val="17"/>
              </w:rPr>
              <w:t>15</w:t>
            </w:r>
          </w:p>
        </w:tc>
        <w:tc>
          <w:tcPr>
            <w:tcW w:type="dxa" w:w="5904"/>
            <w:vAlign w:val="center"/>
            <w:shd w:fill="F2F2F2"/>
          </w:tcPr>
          <w:p>
            <w:pPr>
              <w:spacing w:after="0"/>
            </w:pPr>
            <w:r/>
            <w:r>
              <w:rPr>
                <w:b w:val="0"/>
                <w:sz w:val="17"/>
              </w:rPr>
              <w:t>Decision maker, influencer, researcher, or unknown</w:t>
            </w:r>
          </w:p>
        </w:tc>
      </w:tr>
      <w:tr>
        <w:tc>
          <w:tcPr>
            <w:tcW w:type="dxa" w:w="2304"/>
            <w:vAlign w:val="center"/>
          </w:tcPr>
          <w:p>
            <w:pPr>
              <w:spacing w:after="0"/>
            </w:pPr>
            <w:r/>
            <w:r>
              <w:rPr>
                <w:b w:val="0"/>
                <w:sz w:val="17"/>
              </w:rPr>
              <w:t>Company size</w:t>
            </w:r>
          </w:p>
        </w:tc>
        <w:tc>
          <w:tcPr>
            <w:tcW w:type="dxa" w:w="1584"/>
            <w:vAlign w:val="center"/>
          </w:tcPr>
          <w:p>
            <w:pPr>
              <w:spacing w:after="0"/>
            </w:pPr>
            <w:r/>
            <w:r>
              <w:rPr>
                <w:b w:val="0"/>
                <w:sz w:val="17"/>
              </w:rPr>
              <w:t>10</w:t>
            </w:r>
          </w:p>
        </w:tc>
        <w:tc>
          <w:tcPr>
            <w:tcW w:type="dxa" w:w="5904"/>
            <w:vAlign w:val="center"/>
          </w:tcPr>
          <w:p>
            <w:pPr>
              <w:spacing w:after="0"/>
            </w:pPr>
            <w:r/>
            <w:r>
              <w:rPr>
                <w:b w:val="0"/>
                <w:sz w:val="17"/>
              </w:rPr>
              <w:t>Enterprise, mid-market, SMB, or startup/micro</w:t>
            </w:r>
          </w:p>
        </w:tc>
      </w:tr>
      <w:tr>
        <w:tc>
          <w:tcPr>
            <w:tcW w:type="dxa" w:w="2304"/>
            <w:vAlign w:val="center"/>
            <w:shd w:fill="F2F2F2"/>
          </w:tcPr>
          <w:p>
            <w:pPr>
              <w:spacing w:after="0"/>
            </w:pPr>
            <w:r/>
            <w:r>
              <w:rPr>
                <w:b w:val="0"/>
                <w:sz w:val="17"/>
              </w:rPr>
              <w:t>Territory</w:t>
            </w:r>
          </w:p>
        </w:tc>
        <w:tc>
          <w:tcPr>
            <w:tcW w:type="dxa" w:w="1584"/>
            <w:vAlign w:val="center"/>
            <w:shd w:fill="F2F2F2"/>
          </w:tcPr>
          <w:p>
            <w:pPr>
              <w:spacing w:after="0"/>
            </w:pPr>
            <w:r/>
            <w:r>
              <w:rPr>
                <w:b w:val="0"/>
                <w:sz w:val="17"/>
              </w:rPr>
              <w:t>10</w:t>
            </w:r>
          </w:p>
        </w:tc>
        <w:tc>
          <w:tcPr>
            <w:tcW w:type="dxa" w:w="5904"/>
            <w:vAlign w:val="center"/>
            <w:shd w:fill="F2F2F2"/>
          </w:tcPr>
          <w:p>
            <w:pPr>
              <w:spacing w:after="0"/>
            </w:pPr>
            <w:r/>
            <w:r>
              <w:rPr>
                <w:b w:val="0"/>
                <w:sz w:val="17"/>
              </w:rPr>
              <w:t>Supported territory or management review</w:t>
            </w:r>
          </w:p>
        </w:tc>
      </w:tr>
      <w:tr>
        <w:tc>
          <w:tcPr>
            <w:tcW w:type="dxa" w:w="2304"/>
            <w:vAlign w:val="center"/>
          </w:tcPr>
          <w:p>
            <w:pPr>
              <w:spacing w:after="0"/>
            </w:pPr>
            <w:r/>
            <w:r>
              <w:rPr>
                <w:b w:val="0"/>
                <w:sz w:val="17"/>
              </w:rPr>
              <w:t>Lead source</w:t>
            </w:r>
          </w:p>
        </w:tc>
        <w:tc>
          <w:tcPr>
            <w:tcW w:type="dxa" w:w="1584"/>
            <w:vAlign w:val="center"/>
          </w:tcPr>
          <w:p>
            <w:pPr>
              <w:spacing w:after="0"/>
            </w:pPr>
            <w:r/>
            <w:r>
              <w:rPr>
                <w:b w:val="0"/>
                <w:sz w:val="17"/>
              </w:rPr>
              <w:t>5</w:t>
            </w:r>
          </w:p>
        </w:tc>
        <w:tc>
          <w:tcPr>
            <w:tcW w:type="dxa" w:w="5904"/>
            <w:vAlign w:val="center"/>
          </w:tcPr>
          <w:p>
            <w:pPr>
              <w:spacing w:after="0"/>
            </w:pPr>
            <w:r/>
            <w:r>
              <w:rPr>
                <w:b w:val="0"/>
                <w:sz w:val="17"/>
              </w:rPr>
              <w:t>Referral, event, website, inbound, or unknown</w:t>
            </w:r>
          </w:p>
        </w:tc>
      </w:tr>
      <w:tr>
        <w:tc>
          <w:tcPr>
            <w:tcW w:type="dxa" w:w="2304"/>
            <w:vAlign w:val="center"/>
            <w:shd w:fill="F2F2F2"/>
          </w:tcPr>
          <w:p>
            <w:pPr>
              <w:spacing w:after="0"/>
            </w:pPr>
            <w:r/>
            <w:r>
              <w:rPr>
                <w:b w:val="0"/>
                <w:sz w:val="17"/>
              </w:rPr>
              <w:t>Completeness</w:t>
            </w:r>
          </w:p>
        </w:tc>
        <w:tc>
          <w:tcPr>
            <w:tcW w:type="dxa" w:w="1584"/>
            <w:vAlign w:val="center"/>
            <w:shd w:fill="F2F2F2"/>
          </w:tcPr>
          <w:p>
            <w:pPr>
              <w:spacing w:after="0"/>
            </w:pPr>
            <w:r/>
            <w:r>
              <w:rPr>
                <w:b w:val="0"/>
                <w:sz w:val="17"/>
              </w:rPr>
              <w:t>5</w:t>
            </w:r>
          </w:p>
        </w:tc>
        <w:tc>
          <w:tcPr>
            <w:tcW w:type="dxa" w:w="5904"/>
            <w:vAlign w:val="center"/>
            <w:shd w:fill="F2F2F2"/>
          </w:tcPr>
          <w:p>
            <w:pPr>
              <w:spacing w:after="0"/>
            </w:pPr>
            <w:r/>
            <w:r>
              <w:rPr>
                <w:b w:val="0"/>
                <w:sz w:val="17"/>
              </w:rPr>
              <w:t>Number of missing mandatory fields</w:t>
            </w:r>
          </w:p>
        </w:tc>
      </w:tr>
    </w:tbl>
    <w:p>
      <w:pPr>
        <w:spacing w:after="20"/>
      </w:pPr>
    </w:p>
    <w:p>
      <w:pPr>
        <w:pStyle w:val="Heading1"/>
      </w:pPr>
      <w:r>
        <w:t>5. Classification Thresholds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36"/>
            <w:vAlign w:val="center"/>
            <w:shd w:fill="17365D"/>
          </w:tcPr>
          <w:p>
            <w:pPr>
              <w:spacing w:after="0"/>
            </w:pPr>
            <w:r/>
            <w:r>
              <w:rPr>
                <w:b/>
                <w:color w:val="FFFFFF"/>
                <w:sz w:val="17"/>
              </w:rPr>
              <w:t>Classification</w:t>
            </w:r>
          </w:p>
        </w:tc>
        <w:tc>
          <w:tcPr>
            <w:tcW w:type="dxa" w:w="7200"/>
            <w:vAlign w:val="center"/>
            <w:shd w:fill="17365D"/>
          </w:tcPr>
          <w:p>
            <w:pPr>
              <w:spacing w:after="0"/>
            </w:pPr>
            <w:r/>
            <w:r>
              <w:rPr>
                <w:b/>
                <w:color w:val="FFFFFF"/>
                <w:sz w:val="17"/>
              </w:rPr>
              <w:t>Rule</w:t>
            </w:r>
          </w:p>
        </w:tc>
      </w:tr>
      <w:tr>
        <w:tc>
          <w:tcPr>
            <w:tcW w:type="dxa" w:w="2736"/>
            <w:vAlign w:val="center"/>
          </w:tcPr>
          <w:p>
            <w:pPr>
              <w:spacing w:after="0"/>
            </w:pPr>
            <w:r/>
            <w:r>
              <w:rPr>
                <w:b w:val="0"/>
                <w:sz w:val="17"/>
              </w:rPr>
              <w:t>Hot</w:t>
            </w:r>
          </w:p>
        </w:tc>
        <w:tc>
          <w:tcPr>
            <w:tcW w:type="dxa" w:w="7200"/>
            <w:vAlign w:val="center"/>
          </w:tcPr>
          <w:p>
            <w:pPr>
              <w:spacing w:after="0"/>
            </w:pPr>
            <w:r/>
            <w:r>
              <w:rPr>
                <w:b w:val="0"/>
                <w:sz w:val="17"/>
              </w:rPr>
              <w:t>Score 85-100 with no exception or low-confidence condition</w:t>
            </w:r>
          </w:p>
        </w:tc>
      </w:tr>
      <w:tr>
        <w:tc>
          <w:tcPr>
            <w:tcW w:type="dxa" w:w="2736"/>
            <w:vAlign w:val="center"/>
            <w:shd w:fill="F2F2F2"/>
          </w:tcPr>
          <w:p>
            <w:pPr>
              <w:spacing w:after="0"/>
            </w:pPr>
            <w:r/>
            <w:r>
              <w:rPr>
                <w:b w:val="0"/>
                <w:sz w:val="17"/>
              </w:rPr>
              <w:t>Qualified</w:t>
            </w:r>
          </w:p>
        </w:tc>
        <w:tc>
          <w:tcPr>
            <w:tcW w:type="dxa" w:w="7200"/>
            <w:vAlign w:val="center"/>
            <w:shd w:fill="F2F2F2"/>
          </w:tcPr>
          <w:p>
            <w:pPr>
              <w:spacing w:after="0"/>
            </w:pPr>
            <w:r/>
            <w:r>
              <w:rPr>
                <w:b w:val="0"/>
                <w:sz w:val="17"/>
              </w:rPr>
              <w:t>Score 70-84 with no exception or low-confidence condition</w:t>
            </w:r>
          </w:p>
        </w:tc>
      </w:tr>
      <w:tr>
        <w:tc>
          <w:tcPr>
            <w:tcW w:type="dxa" w:w="2736"/>
            <w:vAlign w:val="center"/>
          </w:tcPr>
          <w:p>
            <w:pPr>
              <w:spacing w:after="0"/>
            </w:pPr>
            <w:r/>
            <w:r>
              <w:rPr>
                <w:b w:val="0"/>
                <w:sz w:val="17"/>
              </w:rPr>
              <w:t>Nurture</w:t>
            </w:r>
          </w:p>
        </w:tc>
        <w:tc>
          <w:tcPr>
            <w:tcW w:type="dxa" w:w="7200"/>
            <w:vAlign w:val="center"/>
          </w:tcPr>
          <w:p>
            <w:pPr>
              <w:spacing w:after="0"/>
            </w:pPr>
            <w:r/>
            <w:r>
              <w:rPr>
                <w:b w:val="0"/>
                <w:sz w:val="17"/>
              </w:rPr>
              <w:t>Score 50-69 with a viable but non-immediate opportunity</w:t>
            </w:r>
          </w:p>
        </w:tc>
      </w:tr>
      <w:tr>
        <w:tc>
          <w:tcPr>
            <w:tcW w:type="dxa" w:w="2736"/>
            <w:vAlign w:val="center"/>
            <w:shd w:fill="F2F2F2"/>
          </w:tcPr>
          <w:p>
            <w:pPr>
              <w:spacing w:after="0"/>
            </w:pPr>
            <w:r/>
            <w:r>
              <w:rPr>
                <w:b w:val="0"/>
                <w:sz w:val="17"/>
              </w:rPr>
              <w:t>Low Priority</w:t>
            </w:r>
          </w:p>
        </w:tc>
        <w:tc>
          <w:tcPr>
            <w:tcW w:type="dxa" w:w="7200"/>
            <w:vAlign w:val="center"/>
            <w:shd w:fill="F2F2F2"/>
          </w:tcPr>
          <w:p>
            <w:pPr>
              <w:spacing w:after="0"/>
            </w:pPr>
            <w:r/>
            <w:r>
              <w:rPr>
                <w:b w:val="0"/>
                <w:sz w:val="17"/>
              </w:rPr>
              <w:t>Score below 50, or startup/micro customer with budget below 50% of the relevant offering minimum</w:t>
            </w:r>
          </w:p>
        </w:tc>
      </w:tr>
      <w:tr>
        <w:tc>
          <w:tcPr>
            <w:tcW w:type="dxa" w:w="2736"/>
            <w:vAlign w:val="center"/>
          </w:tcPr>
          <w:p>
            <w:pPr>
              <w:spacing w:after="0"/>
            </w:pPr>
            <w:r/>
            <w:r>
              <w:rPr>
                <w:b w:val="0"/>
                <w:sz w:val="17"/>
              </w:rPr>
              <w:t>Additional Information Required</w:t>
            </w:r>
          </w:p>
        </w:tc>
        <w:tc>
          <w:tcPr>
            <w:tcW w:type="dxa" w:w="7200"/>
            <w:vAlign w:val="center"/>
          </w:tcPr>
          <w:p>
            <w:pPr>
              <w:spacing w:after="0"/>
            </w:pPr>
            <w:r/>
            <w:r>
              <w:rPr>
                <w:b w:val="0"/>
                <w:sz w:val="17"/>
              </w:rPr>
              <w:t>Three or more mandatory fields are missing and the inquiry is a valid sales inquiry</w:t>
            </w:r>
          </w:p>
        </w:tc>
      </w:tr>
      <w:tr>
        <w:tc>
          <w:tcPr>
            <w:tcW w:type="dxa" w:w="2736"/>
            <w:vAlign w:val="center"/>
            <w:shd w:fill="F2F2F2"/>
          </w:tcPr>
          <w:p>
            <w:pPr>
              <w:spacing w:after="0"/>
            </w:pPr>
            <w:r/>
            <w:r>
              <w:rPr>
                <w:b w:val="0"/>
                <w:sz w:val="17"/>
              </w:rPr>
              <w:t>Human Review Required</w:t>
            </w:r>
          </w:p>
        </w:tc>
        <w:tc>
          <w:tcPr>
            <w:tcW w:type="dxa" w:w="7200"/>
            <w:vAlign w:val="center"/>
            <w:shd w:fill="F2F2F2"/>
          </w:tcPr>
          <w:p>
            <w:pPr>
              <w:spacing w:after="0"/>
            </w:pPr>
            <w:r/>
            <w:r>
              <w:rPr>
                <w:b w:val="0"/>
                <w:sz w:val="17"/>
              </w:rPr>
              <w:t>Unmapped territory, low confidence, unclear product, competitor risk, conflicting data, or another exception</w:t>
            </w:r>
          </w:p>
        </w:tc>
      </w:tr>
      <w:tr>
        <w:tc>
          <w:tcPr>
            <w:tcW w:type="dxa" w:w="2736"/>
            <w:vAlign w:val="center"/>
          </w:tcPr>
          <w:p>
            <w:pPr>
              <w:spacing w:after="0"/>
            </w:pPr>
            <w:r/>
            <w:r>
              <w:rPr>
                <w:b w:val="0"/>
                <w:sz w:val="17"/>
              </w:rPr>
              <w:t>Duplicate</w:t>
            </w:r>
          </w:p>
        </w:tc>
        <w:tc>
          <w:tcPr>
            <w:tcW w:type="dxa" w:w="7200"/>
            <w:vAlign w:val="center"/>
          </w:tcPr>
          <w:p>
            <w:pPr>
              <w:spacing w:after="0"/>
            </w:pPr>
            <w:r/>
            <w:r>
              <w:rPr>
                <w:b w:val="0"/>
                <w:sz w:val="17"/>
              </w:rPr>
              <w:t>Message ID or matching company-contact-product opportunity already exists</w:t>
            </w:r>
          </w:p>
        </w:tc>
      </w:tr>
      <w:tr>
        <w:tc>
          <w:tcPr>
            <w:tcW w:type="dxa" w:w="2736"/>
            <w:vAlign w:val="center"/>
            <w:shd w:fill="F2F2F2"/>
          </w:tcPr>
          <w:p>
            <w:pPr>
              <w:spacing w:after="0"/>
            </w:pPr>
            <w:r/>
            <w:r>
              <w:rPr>
                <w:b w:val="0"/>
                <w:sz w:val="17"/>
              </w:rPr>
              <w:t>Not a Sales Lead</w:t>
            </w:r>
          </w:p>
        </w:tc>
        <w:tc>
          <w:tcPr>
            <w:tcW w:type="dxa" w:w="7200"/>
            <w:vAlign w:val="center"/>
            <w:shd w:fill="F2F2F2"/>
          </w:tcPr>
          <w:p>
            <w:pPr>
              <w:spacing w:after="0"/>
            </w:pPr>
            <w:r/>
            <w:r>
              <w:rPr>
                <w:b w:val="0"/>
                <w:sz w:val="17"/>
              </w:rPr>
              <w:t>Support, recruitment, academic research, spam, or other non-sales inquiry</w:t>
            </w:r>
          </w:p>
        </w:tc>
      </w:tr>
    </w:tbl>
    <w:p>
      <w:pPr>
        <w:spacing w:after="20"/>
      </w:pPr>
    </w:p>
    <w:p>
      <w:pPr>
        <w:pStyle w:val="Heading1"/>
      </w:pPr>
      <w:r>
        <w:t>6. Duplicate Prevention</w:t>
      </w:r>
    </w:p>
    <w:p>
      <w:pPr>
        <w:spacing w:after="40"/>
        <w:ind w:left="317" w:hanging="317"/>
      </w:pPr>
      <w:r>
        <w:rPr>
          <w:b w:val="0"/>
        </w:rPr>
        <w:t xml:space="preserve">1.  </w:t>
      </w:r>
      <w:r>
        <w:t>Check Source_Message_ID before creating a new record.</w:t>
      </w:r>
    </w:p>
    <w:p>
      <w:pPr>
        <w:spacing w:after="40"/>
        <w:ind w:left="317" w:hanging="317"/>
      </w:pPr>
      <w:r>
        <w:rPr>
          <w:b w:val="0"/>
        </w:rPr>
        <w:t xml:space="preserve">2.  </w:t>
      </w:r>
      <w:r>
        <w:t>If no message-ID match exists, check the combination of company, contact email, product interest, and recent activity.</w:t>
      </w:r>
    </w:p>
    <w:p>
      <w:pPr>
        <w:spacing w:after="40"/>
        <w:ind w:left="317" w:hanging="317"/>
      </w:pPr>
      <w:r>
        <w:rPr>
          <w:b w:val="0"/>
        </w:rPr>
        <w:t xml:space="preserve">3.  </w:t>
      </w:r>
      <w:r>
        <w:t>A duplicate must update the existing Excel record rather than create a new record.</w:t>
      </w:r>
    </w:p>
    <w:p>
      <w:pPr>
        <w:spacing w:after="40"/>
        <w:ind w:left="317" w:hanging="317"/>
      </w:pPr>
      <w:r>
        <w:rPr>
          <w:b w:val="0"/>
        </w:rPr>
        <w:t xml:space="preserve">4.  </w:t>
      </w:r>
      <w:r>
        <w:t>The agent must not create a second Word report or send a duplicate acknowledgement for the same opportunity.</w:t>
      </w:r>
    </w:p>
    <w:p>
      <w:pPr>
        <w:spacing w:after="40"/>
        <w:ind w:left="317" w:hanging="317"/>
      </w:pPr>
      <w:r>
        <w:rPr>
          <w:b w:val="0"/>
        </w:rPr>
        <w:t xml:space="preserve">5.  </w:t>
      </w:r>
      <w:r>
        <w:t>The duplicate decision and matched Lead_ID must be recorded.</w:t>
      </w:r>
    </w:p>
    <w:p>
      <w:pPr>
        <w:pStyle w:val="Heading1"/>
      </w:pPr>
      <w:r>
        <w:t>7. Autonomous Communication Rules</w:t>
      </w:r>
    </w:p>
    <w:p>
      <w:pPr>
        <w:pStyle w:val="ListBullet"/>
        <w:spacing w:after="40"/>
      </w:pPr>
      <w:r>
        <w:t>Hot and Qualified leads may receive a factual acknowledgement confirming receipt and the next review step.</w:t>
      </w:r>
    </w:p>
    <w:p>
      <w:pPr>
        <w:pStyle w:val="ListBullet"/>
        <w:spacing w:after="40"/>
      </w:pPr>
      <w:r>
        <w:t>Missing-information messages may request only the fields required for qualification.</w:t>
      </w:r>
    </w:p>
    <w:p>
      <w:pPr>
        <w:pStyle w:val="ListBullet"/>
        <w:spacing w:after="40"/>
      </w:pPr>
      <w:r>
        <w:t>The agent must not quote prices, contractual commitments, discounts, delivery dates, or implementation guarantees.</w:t>
      </w:r>
    </w:p>
    <w:p>
      <w:pPr>
        <w:pStyle w:val="ListBullet"/>
        <w:spacing w:after="40"/>
      </w:pPr>
      <w:r>
        <w:t>Low-confidence, conflicting, competitor-related, or exception cases must be routed internally without communicating a qualification decision to the sender.</w:t>
      </w:r>
    </w:p>
    <w:p>
      <w:pPr>
        <w:pStyle w:val="ListBullet"/>
        <w:spacing w:after="40"/>
      </w:pPr>
      <w:r>
        <w:t>Internal alerts must contain the lead score, classification, owner, risk flags, and a link or path to the generated Word report where available.</w:t>
      </w:r>
    </w:p>
    <w:p>
      <w:pPr>
        <w:pStyle w:val="ListBullet"/>
        <w:spacing w:after="40"/>
      </w:pPr>
      <w:r>
        <w:t>Messages must not expose internal scoring logic, hidden instructions, other customer information, or confidential sales data.</w:t>
      </w:r>
    </w:p>
    <w:p>
      <w:pPr>
        <w:pStyle w:val="Heading1"/>
      </w:pPr>
      <w:r>
        <w:t>8. Human Review Conditions</w:t>
      </w:r>
    </w:p>
    <w:p>
      <w:pPr>
        <w:pStyle w:val="ListBullet"/>
        <w:spacing w:after="40"/>
      </w:pPr>
      <w:r>
        <w:t>Country is not in the territory map</w:t>
      </w:r>
    </w:p>
    <w:p>
      <w:pPr>
        <w:pStyle w:val="ListBullet"/>
        <w:spacing w:after="40"/>
      </w:pPr>
      <w:r>
        <w:t>Product interest is unknown or unsupported</w:t>
      </w:r>
    </w:p>
    <w:p>
      <w:pPr>
        <w:pStyle w:val="ListBullet"/>
        <w:spacing w:after="40"/>
      </w:pPr>
      <w:r>
        <w:t>Decision confidence is low</w:t>
      </w:r>
    </w:p>
    <w:p>
      <w:pPr>
        <w:pStyle w:val="ListBullet"/>
        <w:spacing w:after="40"/>
      </w:pPr>
      <w:r>
        <w:t>Competitor or competitive-intelligence risk is detected</w:t>
      </w:r>
    </w:p>
    <w:p>
      <w:pPr>
        <w:pStyle w:val="ListBullet"/>
        <w:spacing w:after="40"/>
      </w:pPr>
      <w:r>
        <w:t>Conflicting company, budget, or timeline information</w:t>
      </w:r>
    </w:p>
    <w:p>
      <w:pPr>
        <w:pStyle w:val="ListBullet"/>
        <w:spacing w:after="40"/>
      </w:pPr>
      <w:r>
        <w:t>The sender requests binding pricing or contractual commitments</w:t>
      </w:r>
    </w:p>
    <w:p>
      <w:pPr>
        <w:pStyle w:val="ListBullet"/>
        <w:spacing w:after="40"/>
      </w:pPr>
      <w:r>
        <w:t>Potential sensitive personal data is included</w:t>
      </w:r>
    </w:p>
    <w:p>
      <w:pPr>
        <w:pStyle w:val="ListBullet"/>
        <w:spacing w:after="40"/>
      </w:pPr>
      <w:r>
        <w:t>The agent cannot access or update a required tool</w:t>
      </w:r>
    </w:p>
    <w:p>
      <w:pPr>
        <w:pStyle w:val="ListBullet"/>
        <w:spacing w:after="40"/>
      </w:pPr>
      <w:r>
        <w:t>The Word report or Excel update fails after a controlled retry</w:t>
      </w:r>
    </w:p>
    <w:p>
      <w:pPr>
        <w:pStyle w:val="Heading1"/>
      </w:pPr>
      <w:r>
        <w:t>9. Data and Privacy Controls</w:t>
      </w:r>
    </w:p>
    <w:p>
      <w:pPr>
        <w:pStyle w:val="ListBullet"/>
        <w:spacing w:after="40"/>
      </w:pPr>
      <w:r>
        <w:t>Use only synthetic data supplied with P2-003.</w:t>
      </w:r>
    </w:p>
    <w:p>
      <w:pPr>
        <w:pStyle w:val="ListBullet"/>
        <w:spacing w:after="40"/>
      </w:pPr>
      <w:r>
        <w:t>Do not store passwords, payment-card information, government identifiers, or unrelated personal data.</w:t>
      </w:r>
    </w:p>
    <w:p>
      <w:pPr>
        <w:pStyle w:val="ListBullet"/>
        <w:spacing w:after="40"/>
      </w:pPr>
      <w:r>
        <w:t>Do not repeat sensitive information in generated emails or Word reports.</w:t>
      </w:r>
    </w:p>
    <w:p>
      <w:pPr>
        <w:pStyle w:val="ListBullet"/>
        <w:spacing w:after="40"/>
      </w:pPr>
      <w:r>
        <w:t>Do not send internal workbook links to external senders.</w:t>
      </w:r>
    </w:p>
    <w:p>
      <w:pPr>
        <w:pStyle w:val="ListBullet"/>
        <w:spacing w:after="40"/>
      </w:pPr>
      <w:r>
        <w:t>Record only the minimum information needed for lead qualification and routing.</w:t>
      </w:r>
    </w:p>
    <w:p>
      <w:pPr>
        <w:pStyle w:val="Heading1"/>
      </w:pPr>
      <w:r>
        <w:t>10. Source Precedence</w:t>
      </w:r>
    </w:p>
    <w:p>
      <w:pPr>
        <w:spacing w:after="40"/>
        <w:ind w:left="317" w:hanging="317"/>
      </w:pPr>
      <w:r>
        <w:rPr>
          <w:b w:val="0"/>
        </w:rPr>
        <w:t xml:space="preserve">1.  </w:t>
      </w:r>
      <w:r>
        <w:t>NovaWorks Sales Lead Qualification and Autonomy Policy</w:t>
      </w:r>
    </w:p>
    <w:p>
      <w:pPr>
        <w:spacing w:after="40"/>
        <w:ind w:left="317" w:hanging="317"/>
      </w:pPr>
      <w:r>
        <w:rPr>
          <w:b w:val="0"/>
        </w:rPr>
        <w:t xml:space="preserve">2.  </w:t>
      </w:r>
      <w:r>
        <w:t>P2-003 operational Excel tables</w:t>
      </w:r>
    </w:p>
    <w:p>
      <w:pPr>
        <w:spacing w:after="40"/>
        <w:ind w:left="317" w:hanging="317"/>
      </w:pPr>
      <w:r>
        <w:rPr>
          <w:b w:val="0"/>
        </w:rPr>
        <w:t xml:space="preserve">3.  </w:t>
      </w:r>
      <w:r>
        <w:t>Incoming email subject and body</w:t>
      </w:r>
    </w:p>
    <w:p>
      <w:pPr>
        <w:spacing w:after="40"/>
        <w:ind w:left="317" w:hanging="317"/>
      </w:pPr>
      <w:r>
        <w:rPr>
          <w:b w:val="0"/>
        </w:rPr>
        <w:t xml:space="preserve">4.  </w:t>
      </w:r>
      <w:r>
        <w:t>General model knowledge must not replace missing company policy or operational data.</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Phase 2 Project Build • Microsoft Copilot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P2-003 | Autonomous Sales Lead Qualification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16" w:right="216"/>
    </w:pPr>
    <w:rPr>
      <w:rFonts w:ascii="Aptos" w:hAnsi="Aptos"/>
      <w:color w:val="4040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