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BC/DR Readiness Assessment Report Template</w:t>
      </w:r>
    </w:p>
    <w:p>
      <w:pPr>
        <w:jc w:val="center"/>
      </w:pPr>
      <w:r>
        <w:rPr>
          <w:color w:val="6B7280"/>
          <w:sz w:val="22"/>
        </w:rPr>
        <w:t>P2-004 | Word artifact template for the Reporting &amp; Communication Specialist</w:t>
      </w:r>
    </w:p>
    <w:p/>
    <w:p>
      <w:pPr>
        <w:pStyle w:val="Heading1"/>
      </w:pPr>
      <w:r>
        <w:t>1. Assessment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Assessment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{{Assessment_ID}}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Application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{{Application_ID}}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Application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{{Application_Name}}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Assessment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{{Assessment_Date}}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Business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{{Business_Owner}}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{{Technical_Owner}}</w:t>
            </w:r>
          </w:p>
        </w:tc>
      </w:tr>
    </w:tbl>
    <w:p/>
    <w:p>
      <w:pPr>
        <w:pStyle w:val="Heading1"/>
      </w:pPr>
      <w:r>
        <w:t>2.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Overall Readiness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{{Overall_Readiness}}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Remediation 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{{Remediation_Priority}}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Summary of Material Findings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{{Summary_of_Material_Findings}}</w:t>
            </w:r>
          </w:p>
        </w:tc>
      </w:tr>
    </w:tbl>
    <w:p/>
    <w:p>
      <w:pPr>
        <w:pStyle w:val="Heading1"/>
      </w:pPr>
      <w:r>
        <w:t>3. Business Criticality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Criticality 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{{Criticality_Classification}}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RTO Assessment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{{RTO_Assessment}}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RPO Assessment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{{RPO_Assessment}}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Maximum Tolerable Downtime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{{Maximum_Tolerable_Downtime}}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Manual Workaround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{{Manual_Workaround}}</w:t>
            </w:r>
          </w:p>
        </w:tc>
      </w:tr>
    </w:tbl>
    <w:p/>
    <w:p>
      <w:pPr>
        <w:pStyle w:val="Heading1"/>
      </w:pPr>
      <w:r>
        <w:t>4. Technical Recovery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Hosting Platform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{{Hosting_Platform}}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Azure 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{{Azure_Service}}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Backup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{{Backup_Status}}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DR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{{DR_Status}}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MCP Evidence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{{MCP_Evidence_Status}}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Microsoft Guidance Summary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{{Microsoft_Guidance_Summary}}</w:t>
            </w:r>
          </w:p>
        </w:tc>
      </w:tr>
    </w:tbl>
    <w:p/>
    <w:p>
      <w:pPr>
        <w:pStyle w:val="Heading1"/>
      </w:pPr>
      <w:r>
        <w:t>5. Identified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Critical Gaps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{{Critical_Gaps}}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High Gaps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{{High_Gaps}}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Medium Gaps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{{Medium_Gaps}}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Low Gaps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{{Low_Gaps}}</w:t>
            </w:r>
          </w:p>
        </w:tc>
      </w:tr>
    </w:tbl>
    <w:p/>
    <w:p>
      <w:pPr>
        <w:pStyle w:val="Heading1"/>
      </w:pPr>
      <w:r>
        <w:t>6. Remediation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Priority Actions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{{Priority_Actions}}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Suggested Owners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{{Suggested_Owners}}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Validation Requirements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{{Validation_Requirements}}</w:t>
            </w:r>
          </w:p>
        </w:tc>
      </w:tr>
    </w:tbl>
    <w:p/>
    <w:p>
      <w:pPr>
        <w:pStyle w:val="Heading1"/>
      </w:pPr>
      <w:r>
        <w:t>7. Final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Supervisor Decision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{{Supervisor_Decision}}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Escalation Required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{{Escalation_Required}}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Evidence Limitations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{{Evidence_Limitations}}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Recommended Next 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6B7280"/>
                <w:sz w:val="18"/>
              </w:rPr>
              <w:t>{{Recommended_Next_Action}}</w:t>
            </w:r>
          </w:p>
        </w:tc>
      </w:tr>
    </w:tbl>
    <w:p/>
    <w:p>
      <w:pPr>
        <w:pStyle w:val="Heading1"/>
      </w:pPr>
      <w:r>
        <w:t>8. Evidence Sources</w:t>
      </w:r>
    </w:p>
    <w:p>
      <w:r>
        <w:t>List the internal data sources and Microsoft Learn MCP evidence used during the assessment. Clearly identify any unavailable evidence or assumptions.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DD6DBF09D6A649A5996461764703D7" ma:contentTypeVersion="0" ma:contentTypeDescription="Create a new document." ma:contentTypeScope="" ma:versionID="c3535b302acf5a35409ce4d35b781e0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0709F6-9F4A-42CF-8C40-8BBAC800116A}"/>
</file>

<file path=customXml/itemProps3.xml><?xml version="1.0" encoding="utf-8"?>
<ds:datastoreItem xmlns:ds="http://schemas.openxmlformats.org/officeDocument/2006/customXml" ds:itemID="{220D3007-C90D-4714-994F-1B71DBE3B97C}"/>
</file>

<file path=customXml/itemProps4.xml><?xml version="1.0" encoding="utf-8"?>
<ds:datastoreItem xmlns:ds="http://schemas.openxmlformats.org/officeDocument/2006/customXml" ds:itemID="{9F9BA429-5D56-42C2-8956-2F51CB87AA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0x01010072DD6DBF09D6A649A5996461764703D7</vt:lpwstr>
  </property>
</Properties>
</file>