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NovaSphere BC/DR Policy</w:t>
      </w:r>
    </w:p>
    <w:p>
      <w:pPr>
        <w:jc w:val="center"/>
      </w:pPr>
      <w:r>
        <w:rPr>
          <w:color w:val="6B7280"/>
          <w:sz w:val="22"/>
        </w:rPr>
        <w:t>Synthetic policy for P2-004 training implementation | Version 1.0 | Effective 1 July 2026</w:t>
      </w:r>
    </w:p>
    <w:p/>
    <w:p>
      <w:pPr>
        <w:pStyle w:val="Heading1"/>
      </w:pPr>
      <w:r>
        <w:t>1. Purpose</w:t>
      </w:r>
    </w:p>
    <w:p>
      <w:r>
        <w:t>This policy defines the minimum Business Continuity and Disaster Recovery (BC/DR) expectations used by the P2-004 multi-agent assessment system. All data is synthetic and intended only for training.</w:t>
      </w:r>
    </w:p>
    <w:p>
      <w:pPr>
        <w:pStyle w:val="Heading1"/>
      </w:pPr>
      <w:r>
        <w:t>2. Criticality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F75B5"/>
          </w:tcPr>
          <w:p>
            <w:r/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556"/>
            <w:vAlign w:val="center"/>
            <w:shd w:fill="2F75B5"/>
          </w:tcPr>
          <w:p>
            <w:r/>
            <w:r>
              <w:rPr>
                <w:b/>
                <w:color w:val="FFFFFF"/>
                <w:sz w:val="18"/>
              </w:rPr>
              <w:t>Business Impact</w:t>
            </w:r>
          </w:p>
        </w:tc>
        <w:tc>
          <w:tcPr>
            <w:tcW w:type="dxa" w:w="2556"/>
            <w:vAlign w:val="center"/>
            <w:shd w:fill="2F75B5"/>
          </w:tcPr>
          <w:p>
            <w:r/>
            <w:r>
              <w:rPr>
                <w:b/>
                <w:color w:val="FFFFFF"/>
                <w:sz w:val="18"/>
              </w:rPr>
              <w:t>Target RTO</w:t>
            </w:r>
          </w:p>
        </w:tc>
        <w:tc>
          <w:tcPr>
            <w:tcW w:type="dxa" w:w="2556"/>
            <w:vAlign w:val="center"/>
            <w:shd w:fill="2F75B5"/>
          </w:tcPr>
          <w:p>
            <w:r/>
            <w:r>
              <w:rPr>
                <w:b/>
                <w:color w:val="FFFFFF"/>
                <w:sz w:val="18"/>
              </w:rPr>
              <w:t>Target RPO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Mission Critical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Severe customer, revenue or regulatory impact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&lt;= 4 hours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&lt;= 1 hour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Business Critical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Material operational or financial impact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&lt;= 8 hours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&lt;= 4 hours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Important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Significant internal productivity impact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&lt;= 24 hours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&lt;= 12 hours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Standard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Limited short-term business impact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&lt;= 48 hours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&lt;= 24 hours</w:t>
            </w:r>
          </w:p>
        </w:tc>
      </w:tr>
    </w:tbl>
    <w:p>
      <w:pPr>
        <w:pStyle w:val="Heading1"/>
      </w:pPr>
      <w:r>
        <w:t>3. Minimum Recovery Requirements</w:t>
      </w:r>
    </w:p>
    <w:p>
      <w:pPr>
        <w:pStyle w:val="ListBullet"/>
      </w:pPr>
      <w:r>
        <w:t>Production applications must have documented recovery ownership and a recovery procedure.</w:t>
      </w:r>
    </w:p>
    <w:p>
      <w:pPr>
        <w:pStyle w:val="ListBullet"/>
      </w:pPr>
      <w:r>
        <w:t>Mission Critical and Business Critical applications must have an approved backup and recovery strategy.</w:t>
      </w:r>
    </w:p>
    <w:p>
      <w:pPr>
        <w:pStyle w:val="ListBullet"/>
      </w:pPr>
      <w:r>
        <w:t>Mission Critical applications must not rely on an untested single point of failure without documented risk acceptance.</w:t>
      </w:r>
    </w:p>
    <w:p>
      <w:pPr>
        <w:pStyle w:val="ListBullet"/>
      </w:pPr>
      <w:r>
        <w:t>Recovery objectives must not exceed the maximum tolerable downtime approved by the business owner.</w:t>
      </w:r>
    </w:p>
    <w:p>
      <w:pPr>
        <w:pStyle w:val="ListBullet"/>
      </w:pPr>
      <w:r>
        <w:t>Critical dependencies must be documented and their recovery order considered.</w:t>
      </w:r>
    </w:p>
    <w:p>
      <w:pPr>
        <w:pStyle w:val="ListBullet"/>
      </w:pPr>
      <w:r>
        <w:t>Where no manual workaround exists for a critical application, the absence must be treated as a material continuity gap.</w:t>
      </w:r>
    </w:p>
    <w:p>
      <w:pPr>
        <w:pStyle w:val="Heading1"/>
      </w:pPr>
      <w:r>
        <w:t>4. Testing and Evidence</w:t>
      </w:r>
    </w:p>
    <w:p>
      <w:pPr>
        <w:pStyle w:val="ListBullet"/>
      </w:pPr>
      <w:r>
        <w:t>Disaster recovery tests for Mission Critical and Business Critical applications should be completed at least annually.</w:t>
      </w:r>
    </w:p>
    <w:p>
      <w:pPr>
        <w:pStyle w:val="ListBullet"/>
      </w:pPr>
      <w:r>
        <w:t>Backup restore evidence should be no older than six months for Mission Critical applications and twelve months for other production applications.</w:t>
      </w:r>
    </w:p>
    <w:p>
      <w:pPr>
        <w:pStyle w:val="ListBullet"/>
      </w:pPr>
      <w:r>
        <w:t>Missing or stale evidence must be reported; the agent must not infer that a control is effective without evidence.</w:t>
      </w:r>
    </w:p>
    <w:p>
      <w:pPr>
        <w:pStyle w:val="ListBullet"/>
      </w:pPr>
      <w:r>
        <w:t>Technical recommendations should use current Microsoft guidance when the Microsoft Learn MCP Server is available.</w:t>
      </w:r>
    </w:p>
    <w:p>
      <w:pPr>
        <w:pStyle w:val="Heading1"/>
      </w:pPr>
      <w:r>
        <w:t>5. Readiness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75B5"/>
          </w:tcPr>
          <w:p>
            <w:r/>
            <w:r>
              <w:rPr>
                <w:b/>
                <w:color w:val="FFFFFF"/>
                <w:sz w:val="18"/>
              </w:rPr>
              <w:t>Readiness</w:t>
            </w:r>
          </w:p>
        </w:tc>
        <w:tc>
          <w:tcPr>
            <w:tcW w:type="dxa" w:w="5112"/>
            <w:vAlign w:val="center"/>
            <w:shd w:fill="2F75B5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 material BC/DR gaps are identified.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Ready with Minor Gaps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Only low-risk issues remain and no critical recovery objective is breached.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Remediation 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One or more medium/high gaps require corrective 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High Risk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At least one critical gap exists, or a critical application lacks acceptable recovery capability.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Insufficient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Mandatory information or technical evidence is unavailable.</w:t>
            </w:r>
          </w:p>
        </w:tc>
      </w:tr>
    </w:tbl>
    <w:p>
      <w:pPr>
        <w:pStyle w:val="Heading1"/>
      </w:pPr>
      <w:r>
        <w:t>6. Escalation Rules</w:t>
      </w:r>
    </w:p>
    <w:p>
      <w:pPr>
        <w:pStyle w:val="ListBullet"/>
      </w:pPr>
      <w:r>
        <w:t>Critical gaps require management escalation.</w:t>
      </w:r>
    </w:p>
    <w:p>
      <w:pPr>
        <w:pStyle w:val="ListBullet"/>
      </w:pPr>
      <w:r>
        <w:t>Conflicting specialist conclusions that cannot be resolved from available evidence require human review.</w:t>
      </w:r>
    </w:p>
    <w:p>
      <w:pPr>
        <w:pStyle w:val="ListBullet"/>
      </w:pPr>
      <w:r>
        <w:t>If MCP lookup fails, the Technical Recovery Specialist must return Technical Evidence Unavailable rather than invent guidance.</w:t>
      </w:r>
    </w:p>
    <w:p>
      <w:pPr>
        <w:pStyle w:val="ListBullet"/>
      </w:pPr>
      <w:r>
        <w:t>The Reporting and Communication Specialist may issue final notifications only after Supervisor validation.</w:t>
      </w:r>
    </w:p>
    <w:p>
      <w:pPr>
        <w:pStyle w:val="Heading1"/>
      </w:pPr>
      <w:r>
        <w:t>7. Roles</w:t>
      </w:r>
    </w:p>
    <w:p>
      <w:r>
        <w:t>Business Owner: validates business impact and recovery requirements. Technical Owner: validates architecture and recovery controls. BC/DR Supervisor Agent: consolidates specialist outputs and assigns the final readiness classification. Human reviewer: resolves exceptions, conflicts and unsupported evidence.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D6DBF09D6A649A5996461764703D7" ma:contentTypeVersion="0" ma:contentTypeDescription="Create a new document." ma:contentTypeScope="" ma:versionID="c3535b302acf5a35409ce4d35b781e0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767787-BC3F-4845-9A99-FEC17D034147}"/>
</file>

<file path=customXml/itemProps3.xml><?xml version="1.0" encoding="utf-8"?>
<ds:datastoreItem xmlns:ds="http://schemas.openxmlformats.org/officeDocument/2006/customXml" ds:itemID="{462BCD4E-D3DB-48AF-8391-FA0C27944FA8}"/>
</file>

<file path=customXml/itemProps4.xml><?xml version="1.0" encoding="utf-8"?>
<ds:datastoreItem xmlns:ds="http://schemas.openxmlformats.org/officeDocument/2006/customXml" ds:itemID="{E0AB3BCD-BDA2-4EC5-BF24-1C8E27FDC6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0x01010072DD6DBF09D6A649A5996461764703D7</vt:lpwstr>
  </property>
</Properties>
</file>