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BÀI TẬP THỰC HÀNH 01</w:t>
      </w:r>
    </w:p>
    <w:p>
      <w:pPr>
        <w:spacing w:after="280"/>
        <w:jc w:val="center"/>
      </w:pPr>
      <w:r>
        <w:rPr>
          <w:b/>
          <w:color w:val="4682B4"/>
          <w:sz w:val="28"/>
        </w:rPr>
        <w:t>Phân Tích Hạn Chế Của Mô Hình Waterfall Qua Dự Án MediBook</w:t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1. Tổng Quan Dự Án MediBook</w:t>
      </w:r>
    </w:p>
    <w:p>
      <w:r>
        <w:rPr>
          <w:color w:val="333333"/>
        </w:rPr>
        <w:t xml:space="preserve">Dự án </w:t>
      </w:r>
      <w:r>
        <w:rPr>
          <w:b/>
        </w:rPr>
        <w:t>MediBook (Đặt lịch khám bệnh trực tuyến)</w:t>
      </w:r>
      <w:r>
        <w:t xml:space="preserve"> được triển khai theo mô hình Waterfall (Thác nước) với các thông số nền tảng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8"/>
          </w:tcPr>
          <w:p>
            <w:pPr>
              <w:spacing w:after="40"/>
            </w:pPr>
            <w:r>
              <w:rPr>
                <w:b/>
                <w:color w:val="003366"/>
              </w:rPr>
              <w:t>Nhân sự team dự án:</w:t>
            </w:r>
          </w:p>
        </w:tc>
        <w:tc>
          <w:tcPr>
            <w:tcW w:type="dxa" w:w="6192"/>
            <w:shd w:fill="F4F6F8"/>
          </w:tcPr>
          <w:p>
            <w:pPr>
              <w:spacing w:after="40"/>
            </w:pPr>
            <w:r>
              <w:t>8 người (1 PM, 1 BA, 4 Dev, 2 Tester)</w:t>
            </w:r>
          </w:p>
        </w:tc>
      </w:tr>
      <w:tr>
        <w:tc>
          <w:tcPr>
            <w:tcW w:type="dxa" w:w="3168"/>
            <w:shd w:fill="F4F6F8"/>
          </w:tcPr>
          <w:p>
            <w:pPr>
              <w:spacing w:after="40"/>
            </w:pPr>
            <w:r>
              <w:rPr>
                <w:b/>
                <w:color w:val="003366"/>
              </w:rPr>
              <w:t>Đơn giá chi phí nhân sự:</w:t>
            </w:r>
          </w:p>
        </w:tc>
        <w:tc>
          <w:tcPr>
            <w:tcW w:type="dxa" w:w="6192"/>
            <w:shd w:fill="F4F6F8"/>
          </w:tcPr>
          <w:p>
            <w:pPr>
              <w:spacing w:after="40"/>
            </w:pPr>
            <w:r>
              <w:t>25.000.000 VNĐ / người / tháng</w:t>
            </w:r>
          </w:p>
        </w:tc>
      </w:tr>
      <w:tr>
        <w:tc>
          <w:tcPr>
            <w:tcW w:type="dxa" w:w="3168"/>
            <w:shd w:fill="F4F6F8"/>
          </w:tcPr>
          <w:p>
            <w:pPr>
              <w:spacing w:after="40"/>
            </w:pPr>
            <w:r>
              <w:rPr>
                <w:b/>
                <w:color w:val="003366"/>
              </w:rPr>
              <w:t>Ngân sách ban đầu (Chốt):</w:t>
            </w:r>
          </w:p>
        </w:tc>
        <w:tc>
          <w:tcPr>
            <w:tcW w:type="dxa" w:w="6192"/>
            <w:shd w:fill="F4F6F8"/>
          </w:tcPr>
          <w:p>
            <w:pPr>
              <w:spacing w:after="40"/>
            </w:pPr>
            <w:r>
              <w:t>1.800.000.000 VNĐ</w:t>
            </w:r>
          </w:p>
        </w:tc>
      </w:tr>
      <w:tr>
        <w:tc>
          <w:tcPr>
            <w:tcW w:type="dxa" w:w="3168"/>
            <w:shd w:fill="F4F6F8"/>
          </w:tcPr>
          <w:p>
            <w:pPr>
              <w:spacing w:after="40"/>
            </w:pPr>
            <w:r>
              <w:rPr>
                <w:b/>
                <w:color w:val="003366"/>
              </w:rPr>
              <w:t>Sự cố phát sinh (01/06):</w:t>
            </w:r>
          </w:p>
        </w:tc>
        <w:tc>
          <w:tcPr>
            <w:tcW w:type="dxa" w:w="6192"/>
            <w:shd w:fill="F4F6F8"/>
          </w:tcPr>
          <w:p>
            <w:pPr>
              <w:spacing w:after="40"/>
            </w:pPr>
            <w:r>
              <w:t>Bộ Y tế ban hành quy định mới về hồ sơ bệnh án điện tử, yêu cầu làm lại toàn bộ luồng lưu trữ (phát sinh thêm 3 tháng).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2. Bảng 5 Giai Đoạn Waterfall &amp; Khoảng Mù Thông Tin (Bước 1 &amp; Bước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187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Thời gian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Sản phẩm bàn giao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Khách hàng nhìn thấy phần mềm chạy được?</w:t>
            </w:r>
          </w:p>
        </w:tc>
      </w:tr>
      <w:tr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1. Thu thập yêu cầu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05/01 - 20/02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Tài liệu SRS dài 120 trang (đã ký chốt)</w:t>
            </w:r>
          </w:p>
        </w:tc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Không</w:t>
            </w:r>
          </w:p>
        </w:tc>
      </w:tr>
      <w:tr>
        <w:tc>
          <w:tcPr>
            <w:tcW w:type="dxa" w:w="216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2. Thiết kế</w:t>
            </w:r>
          </w:p>
        </w:tc>
        <w:tc>
          <w:tcPr>
            <w:tcW w:type="dxa" w:w="1872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21/02 - 25/03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Thiết kế UI/UX và Kiến trúc hệ thống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Không</w:t>
            </w:r>
          </w:p>
        </w:tc>
      </w:tr>
      <w:tr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3. Lập trình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26/03 - 31/05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Mã nguồn các tính năng theo SRS đã chốt</w:t>
            </w:r>
          </w:p>
        </w:tc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Không</w:t>
            </w:r>
          </w:p>
        </w:tc>
      </w:tr>
      <w:tr>
        <w:tc>
          <w:tcPr>
            <w:tcW w:type="dxa" w:w="216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4. Kiểm thử</w:t>
            </w:r>
          </w:p>
        </w:tc>
        <w:tc>
          <w:tcPr>
            <w:tcW w:type="dxa" w:w="1872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01/06 - 25/06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Bản demo chạy được đầu tiên (01/06) &amp; Báo cáo lỗi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8000"/>
              </w:rPr>
              <w:t>Có</w:t>
            </w:r>
          </w:p>
        </w:tc>
      </w:tr>
      <w:tr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5. Triển khai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26/06 - 05/07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Hệ thống MediBook go-live chính thức</w:t>
            </w:r>
          </w:p>
        </w:tc>
        <w:tc>
          <w:tcPr>
            <w:tcW w:type="dxa" w:w="216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Không</w:t>
            </w:r>
          </w:p>
        </w:tc>
      </w:tr>
    </w:tbl>
    <w:p>
      <w:pPr>
        <w:spacing w:after="80"/>
      </w:pPr>
    </w:p>
    <w:p>
      <w:pPr>
        <w:spacing w:before="120" w:after="240"/>
        <w:ind w:left="288"/>
      </w:pPr>
      <w:r>
        <w:rPr>
          <w:b/>
          <w:color w:val="003366"/>
        </w:rPr>
        <w:t xml:space="preserve">★ Mốc khoang_mu_thong_tin: </w:t>
      </w:r>
      <w:r>
        <w:t xml:space="preserve">Khách hàng lần đầu tiên nhìn thấy bản phần mềm chạy được vào ngày </w:t>
      </w:r>
      <w:r>
        <w:rPr>
          <w:b/>
        </w:rPr>
        <w:t>01/06</w:t>
      </w:r>
      <w:r>
        <w:t xml:space="preserve"> (Giai đoạn Kiểm thử).</w:t>
        <w:br/>
      </w:r>
      <w:r>
        <w:rPr>
          <w:color w:val="4682B4"/>
        </w:rPr>
        <w:t xml:space="preserve">• </w:t>
      </w:r>
      <w:r>
        <w:rPr>
          <w:b/>
        </w:rPr>
        <w:t xml:space="preserve">Thời gian tính toán: </w:t>
      </w:r>
      <w:r>
        <w:t xml:space="preserve">Từ ngày khởi động (05/01) đến ngày 01/06 là </w:t>
      </w:r>
      <w:r>
        <w:rPr>
          <w:b/>
          <w:color w:val="B40000"/>
        </w:rPr>
        <w:t>147 ngày</w:t>
      </w:r>
      <w:r>
        <w:t xml:space="preserve"> (Chi tiết: Tháng 1: 27 ngày [từ 05 đến 31], Tháng 2: 28 ngày, Tháng 3: 31 ngày, Tháng 4: 30 ngày, Tháng 5: 31 ngày =&gt; 27 + 28 + 31 + 30 + 31 = 147 ngày).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3. Phân Tích Chi Phí Phát Sinh &amp; Ngân Sách (Bước 3)</w:t>
      </w:r>
    </w:p>
    <w:p>
      <w:r>
        <w:rPr>
          <w:color w:val="333333"/>
        </w:rPr>
        <w:t xml:space="preserve">Do sự thay đổi quy định từ Bộ Y tế vào ngày 01/06, dự án kéo dài thêm </w:t>
      </w:r>
      <w:r>
        <w:rPr>
          <w:b/>
        </w:rPr>
        <w:t>3 tháng</w:t>
      </w:r>
      <w:r>
        <w:t>. Bảng tính toán ngân sách bằng công thức cụ thể như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Hạng mục / Chỉ số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Công thức tính toán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Giá trị thực tế (VNĐ / Đơn vị)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Số lượng nhân sự (N)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Nhập tay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t>8 người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Chi phí/người/tháng (C)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Nhập tay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t>25.000.000 VNĐ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Số tháng phát sinh (T)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Nhập tay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t>3 tháng</w:t>
            </w:r>
          </w:p>
        </w:tc>
      </w:tr>
      <w:tr>
        <w:tc>
          <w:tcPr>
            <w:tcW w:type="dxa" w:w="3600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Chi phí phát sinh</w:t>
            </w:r>
          </w:p>
        </w:tc>
        <w:tc>
          <w:tcPr>
            <w:tcW w:type="dxa" w:w="3168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= Số người * Chi phí * Số tháng</w:t>
              <w:br/>
              <w:t>(= N * C * T)</w:t>
            </w:r>
          </w:p>
        </w:tc>
        <w:tc>
          <w:tcPr>
            <w:tcW w:type="dxa" w:w="2592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rPr>
                <w:b/>
              </w:rPr>
              <w:t>600.000.000 VNĐ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Ngân sách ban đầu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Nhập tay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t>1.800.000.000 VNĐ</w:t>
            </w:r>
          </w:p>
        </w:tc>
      </w:tr>
      <w:tr>
        <w:tc>
          <w:tcPr>
            <w:tcW w:type="dxa" w:w="3600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Tổng ngân sách mới</w:t>
            </w:r>
          </w:p>
        </w:tc>
        <w:tc>
          <w:tcPr>
            <w:tcW w:type="dxa" w:w="3168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= SUM(Ngân sách ban đầu, CP phát sinh)</w:t>
            </w:r>
          </w:p>
        </w:tc>
        <w:tc>
          <w:tcPr>
            <w:tcW w:type="dxa" w:w="2592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rPr>
                <w:b/>
              </w:rPr>
              <w:t>2.400.000.000 VNĐ</w:t>
            </w:r>
          </w:p>
        </w:tc>
      </w:tr>
      <w:tr>
        <w:tc>
          <w:tcPr>
            <w:tcW w:type="dxa" w:w="3600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  <w:color w:val="B40000"/>
              </w:rPr>
              <w:t>Tỷ lệ vượt ngân sách (%)</w:t>
            </w:r>
          </w:p>
        </w:tc>
        <w:tc>
          <w:tcPr>
            <w:tcW w:type="dxa" w:w="3168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  <w:color w:val="B40000"/>
              </w:rPr>
              <w:t>= (Chi phí phát sinh / Ngân sách ban đầu)</w:t>
            </w:r>
          </w:p>
        </w:tc>
        <w:tc>
          <w:tcPr>
            <w:tcW w:type="dxa" w:w="2592"/>
            <w:shd w:fill="F0F4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right"/>
            </w:pPr>
            <w:r>
              <w:rPr>
                <w:b/>
                <w:color w:val="B40000"/>
              </w:rPr>
              <w:t>33,33%</w:t>
            </w:r>
          </w:p>
        </w:tc>
      </w:tr>
    </w:tbl>
    <w:p>
      <w:pPr>
        <w:spacing w:after="80"/>
      </w:pPr>
    </w:p>
    <w:p>
      <w:pPr>
        <w:spacing w:after="240"/>
        <w:ind w:left="288"/>
      </w:pPr>
      <w:r>
        <w:rPr>
          <w:b/>
          <w:color w:val="003366"/>
        </w:rPr>
        <w:t xml:space="preserve">✓ Kiểm tra tính linh hoạt của công thức (Dynamic Test): </w:t>
      </w:r>
      <w:r>
        <w:t xml:space="preserve">Nếu thử đổi quy mô nhân sự từ </w:t>
      </w:r>
      <w:r>
        <w:rPr>
          <w:b/>
        </w:rPr>
        <w:t>8 người</w:t>
      </w:r>
      <w:r>
        <w:t xml:space="preserve"> lên </w:t>
      </w:r>
      <w:r>
        <w:rPr>
          <w:b/>
        </w:rPr>
        <w:t>10 người</w:t>
      </w:r>
      <w:r>
        <w:t xml:space="preserve">, công thức chi phí phát sinh tự động đổi kết quả thành: </w:t>
      </w:r>
      <w:r>
        <w:rPr>
          <w:b/>
        </w:rPr>
        <w:t>10 × 25.000.000 × 3 = 750.000.000 VNĐ</w:t>
      </w:r>
      <w:r>
        <w:t xml:space="preserve"> (Tỷ lệ vượt ngân sách mới = 750.000.000 / 1.800.000.000 = 41,67%).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4. Phân Tích 3 Hạn Chế Của Mô Hình Waterfall (Bước 4)</w:t>
      </w:r>
    </w:p>
    <w:p>
      <w:pPr>
        <w:spacing w:after="160"/>
      </w:pPr>
      <w:r>
        <w:rPr>
          <w:b/>
          <w:color w:val="003366"/>
          <w:sz w:val="23"/>
        </w:rPr>
        <w:t>1. Hạn chế Cứng nhắc (Inflexibility):</w:t>
        <w:br/>
      </w:r>
      <w:r>
        <w:t>Dự án MediBook đã cố định toàn bộ yêu cầu trong tài liệu SRS dài 120 trang ký chốt từ ngày 20/02, nên khi Bộ Y tế ban hành quy định mới vào ngày 01/06, đội ngũ không thể linh hoạt điều chỉnh mà phải đập đi làm lại toàn bộ luồng lưu trữ hồ sơ bệnh án.</w:t>
      </w:r>
    </w:p>
    <w:p>
      <w:pPr>
        <w:spacing w:after="160"/>
      </w:pPr>
      <w:r>
        <w:rPr>
          <w:b/>
          <w:color w:val="003366"/>
          <w:sz w:val="23"/>
        </w:rPr>
        <w:t>2. Hạn chế Phản hồi muộn (Late Feedback):</w:t>
        <w:br/>
      </w:r>
      <w:r>
        <w:t>Khách hàng phải trải qua khoảng mù thông tin kéo dài tới 147 ngày (từ 05/01 đến 01/06) mới lần đầu tiên nhìn thấy bản phần mềm chạy được ở giai đoạn Kiểm thử, dẫn đến việc các bất cập về quy định pháp lý hay trải nghiệm người dùng không được phát hiện kịp thời ở các giai đoạn trước đó.</w:t>
      </w:r>
    </w:p>
    <w:p>
      <w:pPr>
        <w:spacing w:after="160"/>
      </w:pPr>
      <w:r>
        <w:rPr>
          <w:b/>
          <w:color w:val="003366"/>
          <w:sz w:val="23"/>
        </w:rPr>
        <w:t>3. Hạn chế Rủi ro cao (High Risk):</w:t>
        <w:br/>
      </w:r>
      <w:r>
        <w:t>Sự thay đổi yêu cầu đột ngột ở ngày 01/06 (ngay trước mốc go-live dự kiến 25 ngày) đã làm phát sinh thêm 3 tháng tiến độ, đẩy chi phí tăng thêm 600.000.000đ và khiến tổng ngân sách dự án bị đội lên 33,3% (từ 1,8 tỷ lên 2,4 tỷ VNĐ).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5. Đối Chiếu Bảng Kiểm Đánh Giá (Checklist Audit)</w:t>
      </w:r>
    </w:p>
    <w:p>
      <w:pPr>
        <w:spacing w:after="80"/>
      </w:pPr>
      <w:r>
        <w:rPr>
          <w:b/>
          <w:color w:val="008000"/>
        </w:rPr>
        <w:t xml:space="preserve">✔ Đúng số liệu: </w:t>
      </w:r>
      <w:r>
        <w:t>Khoảng mù thông tin = 147 ngày; Chi phí phát sinh = 600.000.000đ; Tổng ngân sách mới = 2.400.000.000đ; Vượt ngân sách = 33,3%.</w:t>
      </w:r>
    </w:p>
    <w:p>
      <w:pPr>
        <w:spacing w:after="80"/>
      </w:pPr>
      <w:r>
        <w:rPr>
          <w:b/>
          <w:color w:val="008000"/>
        </w:rPr>
        <w:t xml:space="preserve">✔ Đúng logic: </w:t>
      </w:r>
      <w:r>
        <w:t>Ô Tổng và ô phần trăm được thiết lập công thức toán học; Thử đổi nhân sự từ 8 lên 10 người chi phí phát sinh tự động nhảy thành 750.000.000đ.</w:t>
      </w:r>
    </w:p>
    <w:p>
      <w:pPr>
        <w:spacing w:after="80"/>
      </w:pPr>
      <w:r>
        <w:rPr>
          <w:b/>
          <w:color w:val="008000"/>
        </w:rPr>
        <w:t xml:space="preserve">✔ Đúng cấu trúc: </w:t>
      </w:r>
      <w:r>
        <w:t>Đủ 5 giai đoạn đúng thứ tự Waterfall; Cột khách hàng nhìn thấy phần mềm chạy được chỉ có duy nhất 1 ô 'Có' tại giai đoạn Kiểm thử.</w:t>
      </w:r>
    </w:p>
    <w:p>
      <w:pPr>
        <w:spacing w:after="80"/>
      </w:pPr>
      <w:r>
        <w:rPr>
          <w:b/>
          <w:color w:val="008000"/>
        </w:rPr>
        <w:t xml:space="preserve">✔ Đúng lập luận: </w:t>
      </w:r>
      <w:r>
        <w:t>Mỗi hạn chế được chứng minh bằng các mốc thời gian và con số tài chính cụ thể của dự án MediBook, hoàn toàn không dùng lại ví dụ GoRide.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