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453" w:rsidRDefault="00730736" w:rsidP="00430F64">
      <w:pPr>
        <w:pStyle w:val="Heading2"/>
      </w:pPr>
      <w:bookmarkStart w:id="0" w:name="_GoBack"/>
      <w:bookmarkEnd w:id="0"/>
      <w:r>
        <w:t xml:space="preserve">DoD Enterprise </w:t>
      </w:r>
      <w:proofErr w:type="spellStart"/>
      <w:r>
        <w:t>DevSecOps</w:t>
      </w:r>
      <w:proofErr w:type="spellEnd"/>
      <w:r>
        <w:t xml:space="preserve"> Reference Design from the DoD CIO – A Summary</w:t>
      </w:r>
    </w:p>
    <w:p w:rsidR="00100EFE" w:rsidRDefault="00954AD3" w:rsidP="00730736">
      <w:r>
        <w:rPr>
          <w:sz w:val="20"/>
        </w:rPr>
        <w:t xml:space="preserve">Content referenced from: </w:t>
      </w:r>
      <w:hyperlink r:id="rId5" w:history="1">
        <w:r w:rsidR="00100EFE" w:rsidRPr="00100EFE">
          <w:rPr>
            <w:rStyle w:val="Hyperlink"/>
            <w:sz w:val="20"/>
          </w:rPr>
          <w:t>https://dodcio.defense.gov/Portals/0/Documents/DoD%20Enterprise%20DevSecOps%20Reference%20Design%20v1.0_Public%20Release.pdf?ver=2019-09-26-115824-583</w:t>
        </w:r>
      </w:hyperlink>
    </w:p>
    <w:p w:rsidR="00730736" w:rsidRDefault="005A4188" w:rsidP="00730736">
      <w:r>
        <w:rPr>
          <w:noProof/>
        </w:rPr>
        <w:drawing>
          <wp:inline distT="0" distB="0" distL="0" distR="0" wp14:anchorId="5EB980FB">
            <wp:extent cx="5681188" cy="2918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9999" cy="2948337"/>
                    </a:xfrm>
                    <a:prstGeom prst="rect">
                      <a:avLst/>
                    </a:prstGeom>
                    <a:noFill/>
                  </pic:spPr>
                </pic:pic>
              </a:graphicData>
            </a:graphic>
          </wp:inline>
        </w:drawing>
      </w:r>
    </w:p>
    <w:p w:rsidR="00430F64" w:rsidRDefault="00430F64" w:rsidP="00430F64">
      <w:pPr>
        <w:pStyle w:val="Heading2"/>
      </w:pPr>
      <w:proofErr w:type="spellStart"/>
      <w:r>
        <w:t>DevSecOps</w:t>
      </w:r>
      <w:proofErr w:type="spellEnd"/>
      <w:r>
        <w:t xml:space="preserve"> – Defined by DoD CIO</w:t>
      </w:r>
    </w:p>
    <w:p w:rsidR="00100EFE" w:rsidRPr="00E647B1" w:rsidRDefault="00100EFE" w:rsidP="00730736">
      <w:pPr>
        <w:rPr>
          <w:sz w:val="20"/>
        </w:rPr>
      </w:pPr>
      <w:proofErr w:type="spellStart"/>
      <w:r w:rsidRPr="00E647B1">
        <w:rPr>
          <w:sz w:val="20"/>
        </w:rPr>
        <w:t>DevSecOps</w:t>
      </w:r>
      <w:proofErr w:type="spellEnd"/>
      <w:r w:rsidRPr="00E647B1">
        <w:rPr>
          <w:sz w:val="20"/>
        </w:rPr>
        <w:t xml:space="preserve"> is an organizational software engineering culture and practice that aims at unifying software development (Dev), security (Sec) and operations (Ops). The main characteristic of </w:t>
      </w:r>
      <w:proofErr w:type="spellStart"/>
      <w:r w:rsidRPr="00E647B1">
        <w:rPr>
          <w:sz w:val="20"/>
        </w:rPr>
        <w:t>DevSecOps</w:t>
      </w:r>
      <w:proofErr w:type="spellEnd"/>
      <w:r w:rsidRPr="00E647B1">
        <w:rPr>
          <w:sz w:val="20"/>
        </w:rPr>
        <w:t xml:space="preserve"> is to automate, monitor, and apply security at all phases of the software lifecycle: plan, develop, build, test, release, deliver, deploy, operate, and monitor. In </w:t>
      </w:r>
      <w:proofErr w:type="spellStart"/>
      <w:r w:rsidRPr="00E647B1">
        <w:rPr>
          <w:sz w:val="20"/>
        </w:rPr>
        <w:t>DevSecOps</w:t>
      </w:r>
      <w:proofErr w:type="spellEnd"/>
      <w:r w:rsidRPr="00E647B1">
        <w:rPr>
          <w:sz w:val="20"/>
        </w:rPr>
        <w:t xml:space="preserve">, testing and security are shifted to the left through automated unit, functional, integration, and security testing - this is a key </w:t>
      </w:r>
      <w:proofErr w:type="spellStart"/>
      <w:r w:rsidRPr="00E647B1">
        <w:rPr>
          <w:sz w:val="20"/>
        </w:rPr>
        <w:t>DevSecOps</w:t>
      </w:r>
      <w:proofErr w:type="spellEnd"/>
      <w:r w:rsidRPr="00E647B1">
        <w:rPr>
          <w:sz w:val="20"/>
        </w:rPr>
        <w:t xml:space="preserve"> differentiator since security and functional capabilities are tested and built simultaneously.</w:t>
      </w:r>
    </w:p>
    <w:p w:rsidR="00E647B1" w:rsidRPr="00E647B1" w:rsidRDefault="00E647B1" w:rsidP="00100EFE">
      <w:pPr>
        <w:rPr>
          <w:sz w:val="20"/>
        </w:rPr>
        <w:sectPr w:rsidR="00E647B1" w:rsidRPr="00E647B1" w:rsidSect="005A4188">
          <w:pgSz w:w="12240" w:h="15840"/>
          <w:pgMar w:top="720" w:right="720" w:bottom="720" w:left="720" w:header="720" w:footer="720" w:gutter="0"/>
          <w:cols w:space="720"/>
          <w:docGrid w:linePitch="360"/>
        </w:sectPr>
      </w:pPr>
    </w:p>
    <w:p w:rsidR="00B34755" w:rsidRPr="00B34755" w:rsidRDefault="00100EFE" w:rsidP="00B34755">
      <w:pPr>
        <w:pStyle w:val="Heading2"/>
      </w:pPr>
      <w:r w:rsidRPr="00E647B1">
        <w:t>Key Measures</w:t>
      </w:r>
    </w:p>
    <w:p w:rsidR="00100EFE" w:rsidRPr="00E647B1" w:rsidRDefault="00100EFE" w:rsidP="00B34755">
      <w:pPr>
        <w:spacing w:after="120" w:line="240" w:lineRule="auto"/>
        <w:rPr>
          <w:sz w:val="20"/>
        </w:rPr>
      </w:pPr>
      <w:r w:rsidRPr="00E647B1">
        <w:rPr>
          <w:b/>
          <w:sz w:val="20"/>
        </w:rPr>
        <w:t>Mean-time to production</w:t>
      </w:r>
      <w:r w:rsidRPr="00E647B1">
        <w:rPr>
          <w:sz w:val="20"/>
        </w:rPr>
        <w:t>: the average time it takes from when new software features are required until they are running in production.</w:t>
      </w:r>
    </w:p>
    <w:p w:rsidR="00100EFE" w:rsidRPr="00E647B1" w:rsidRDefault="00100EFE" w:rsidP="00B34755">
      <w:pPr>
        <w:spacing w:after="120" w:line="240" w:lineRule="auto"/>
        <w:rPr>
          <w:sz w:val="20"/>
        </w:rPr>
      </w:pPr>
      <w:r w:rsidRPr="00E647B1">
        <w:rPr>
          <w:b/>
          <w:sz w:val="20"/>
        </w:rPr>
        <w:t>Average lead-time</w:t>
      </w:r>
      <w:r w:rsidRPr="00E647B1">
        <w:rPr>
          <w:sz w:val="20"/>
        </w:rPr>
        <w:t>: how long it takes for a new requirement to be delivered and deployed.</w:t>
      </w:r>
    </w:p>
    <w:p w:rsidR="00100EFE" w:rsidRPr="00E647B1" w:rsidRDefault="00100EFE" w:rsidP="00B34755">
      <w:pPr>
        <w:spacing w:after="120" w:line="240" w:lineRule="auto"/>
        <w:rPr>
          <w:sz w:val="20"/>
        </w:rPr>
      </w:pPr>
      <w:r w:rsidRPr="00E647B1">
        <w:rPr>
          <w:b/>
          <w:sz w:val="20"/>
        </w:rPr>
        <w:t>Deployment speed</w:t>
      </w:r>
      <w:r w:rsidRPr="00E647B1">
        <w:rPr>
          <w:sz w:val="20"/>
        </w:rPr>
        <w:t>: how fast a new version of the application can be deployed into the production environment.</w:t>
      </w:r>
    </w:p>
    <w:p w:rsidR="00100EFE" w:rsidRPr="00E647B1" w:rsidRDefault="00100EFE" w:rsidP="00B34755">
      <w:pPr>
        <w:spacing w:after="120" w:line="240" w:lineRule="auto"/>
        <w:rPr>
          <w:sz w:val="20"/>
        </w:rPr>
      </w:pPr>
      <w:r w:rsidRPr="00E647B1">
        <w:rPr>
          <w:b/>
          <w:sz w:val="20"/>
        </w:rPr>
        <w:t>Deployment frequency</w:t>
      </w:r>
      <w:r w:rsidRPr="00E647B1">
        <w:rPr>
          <w:sz w:val="20"/>
        </w:rPr>
        <w:t>: how often a new release can be deployed into the production environment.</w:t>
      </w:r>
    </w:p>
    <w:p w:rsidR="00100EFE" w:rsidRPr="00E647B1" w:rsidRDefault="00100EFE" w:rsidP="00B34755">
      <w:pPr>
        <w:spacing w:after="120" w:line="240" w:lineRule="auto"/>
        <w:rPr>
          <w:sz w:val="20"/>
        </w:rPr>
      </w:pPr>
      <w:r w:rsidRPr="00E647B1">
        <w:rPr>
          <w:b/>
          <w:sz w:val="20"/>
        </w:rPr>
        <w:t>Production failure rate</w:t>
      </w:r>
      <w:r w:rsidRPr="00E647B1">
        <w:rPr>
          <w:sz w:val="20"/>
        </w:rPr>
        <w:t>: how often software fails during production.</w:t>
      </w:r>
    </w:p>
    <w:p w:rsidR="00100EFE" w:rsidRPr="00E647B1" w:rsidRDefault="00100EFE" w:rsidP="00B34755">
      <w:pPr>
        <w:spacing w:after="120" w:line="240" w:lineRule="auto"/>
        <w:rPr>
          <w:sz w:val="20"/>
        </w:rPr>
      </w:pPr>
      <w:r w:rsidRPr="00E647B1">
        <w:rPr>
          <w:b/>
          <w:sz w:val="20"/>
        </w:rPr>
        <w:t>Mean-time to recovery</w:t>
      </w:r>
      <w:r w:rsidRPr="00E647B1">
        <w:rPr>
          <w:sz w:val="20"/>
        </w:rPr>
        <w:t>: how long it takes applications in the production stage to recover from failure.</w:t>
      </w:r>
    </w:p>
    <w:p w:rsidR="00E647B1" w:rsidRPr="00E647B1" w:rsidRDefault="00100EFE" w:rsidP="00430F64">
      <w:pPr>
        <w:pStyle w:val="Heading2"/>
      </w:pPr>
      <w:r w:rsidRPr="00E647B1">
        <w:t>Key Principles</w:t>
      </w:r>
      <w:r w:rsidR="00E647B1" w:rsidRPr="00E647B1">
        <w:t xml:space="preserve"> to implementing a successful </w:t>
      </w:r>
      <w:proofErr w:type="spellStart"/>
      <w:r w:rsidR="00E647B1" w:rsidRPr="00E647B1">
        <w:t>DevSecOps</w:t>
      </w:r>
      <w:proofErr w:type="spellEnd"/>
      <w:r w:rsidR="00E647B1" w:rsidRPr="00E647B1">
        <w:t xml:space="preserve"> approach</w:t>
      </w:r>
    </w:p>
    <w:p w:rsidR="00E647B1" w:rsidRPr="00E647B1" w:rsidRDefault="00E647B1" w:rsidP="00E647B1">
      <w:pPr>
        <w:pStyle w:val="ListParagraph"/>
        <w:numPr>
          <w:ilvl w:val="0"/>
          <w:numId w:val="1"/>
        </w:numPr>
        <w:spacing w:line="240" w:lineRule="auto"/>
        <w:rPr>
          <w:sz w:val="20"/>
        </w:rPr>
      </w:pPr>
      <w:r w:rsidRPr="00E647B1">
        <w:rPr>
          <w:sz w:val="20"/>
        </w:rPr>
        <w:t>Remove bottlenecks (including human ones) and manual actions.</w:t>
      </w:r>
    </w:p>
    <w:p w:rsidR="00E647B1" w:rsidRPr="00E647B1" w:rsidRDefault="00E647B1" w:rsidP="00E647B1">
      <w:pPr>
        <w:pStyle w:val="ListParagraph"/>
        <w:numPr>
          <w:ilvl w:val="0"/>
          <w:numId w:val="1"/>
        </w:numPr>
        <w:spacing w:line="240" w:lineRule="auto"/>
        <w:rPr>
          <w:sz w:val="20"/>
        </w:rPr>
      </w:pPr>
      <w:r w:rsidRPr="00E647B1">
        <w:rPr>
          <w:sz w:val="20"/>
        </w:rPr>
        <w:t>Automate as much of the development and deployment activities as possible.</w:t>
      </w:r>
    </w:p>
    <w:p w:rsidR="00E647B1" w:rsidRPr="00E647B1" w:rsidRDefault="00E647B1" w:rsidP="00E647B1">
      <w:pPr>
        <w:pStyle w:val="ListParagraph"/>
        <w:numPr>
          <w:ilvl w:val="0"/>
          <w:numId w:val="1"/>
        </w:numPr>
        <w:spacing w:line="240" w:lineRule="auto"/>
        <w:rPr>
          <w:sz w:val="20"/>
        </w:rPr>
      </w:pPr>
      <w:r w:rsidRPr="00E647B1">
        <w:rPr>
          <w:sz w:val="20"/>
        </w:rPr>
        <w:t>Adopt common tools from planning and requirements through deployment and operations.</w:t>
      </w:r>
    </w:p>
    <w:p w:rsidR="00E647B1" w:rsidRPr="00E647B1" w:rsidRDefault="00E647B1" w:rsidP="00E647B1">
      <w:pPr>
        <w:pStyle w:val="ListParagraph"/>
        <w:numPr>
          <w:ilvl w:val="0"/>
          <w:numId w:val="1"/>
        </w:numPr>
        <w:spacing w:line="240" w:lineRule="auto"/>
        <w:rPr>
          <w:sz w:val="20"/>
        </w:rPr>
      </w:pPr>
      <w:r w:rsidRPr="00E647B1">
        <w:rPr>
          <w:sz w:val="20"/>
        </w:rPr>
        <w:t>Leverage agile software principles and favor small, incremental, frequent updates over larger, more sporadic releases.</w:t>
      </w:r>
    </w:p>
    <w:p w:rsidR="00E647B1" w:rsidRPr="00E647B1" w:rsidRDefault="00E647B1" w:rsidP="00E647B1">
      <w:pPr>
        <w:pStyle w:val="ListParagraph"/>
        <w:numPr>
          <w:ilvl w:val="0"/>
          <w:numId w:val="1"/>
        </w:numPr>
        <w:spacing w:line="240" w:lineRule="auto"/>
        <w:rPr>
          <w:sz w:val="20"/>
        </w:rPr>
      </w:pPr>
      <w:r w:rsidRPr="00E647B1">
        <w:rPr>
          <w:sz w:val="20"/>
        </w:rPr>
        <w:t>Apply the cross-functional skill sets of Development, Cybersecurity, and Operations throughout the software lifecycle, embracing a continuous monitoring approach in parallel instead of waiting to apply each skill set sequentially.</w:t>
      </w:r>
    </w:p>
    <w:p w:rsidR="00E647B1" w:rsidRPr="00E647B1" w:rsidRDefault="00E647B1" w:rsidP="00E647B1">
      <w:pPr>
        <w:pStyle w:val="ListParagraph"/>
        <w:numPr>
          <w:ilvl w:val="0"/>
          <w:numId w:val="1"/>
        </w:numPr>
        <w:spacing w:line="240" w:lineRule="auto"/>
        <w:rPr>
          <w:sz w:val="20"/>
        </w:rPr>
      </w:pPr>
      <w:r w:rsidRPr="00E647B1">
        <w:rPr>
          <w:sz w:val="20"/>
        </w:rPr>
        <w:t>Security risks of the underlying infrastructure must be measured and quantified, so that the total risks and impacts to software applications are understood.</w:t>
      </w:r>
    </w:p>
    <w:p w:rsidR="00430F64" w:rsidRPr="00B34755" w:rsidRDefault="00E647B1" w:rsidP="00430F64">
      <w:pPr>
        <w:pStyle w:val="ListParagraph"/>
        <w:numPr>
          <w:ilvl w:val="0"/>
          <w:numId w:val="1"/>
        </w:numPr>
        <w:spacing w:line="240" w:lineRule="auto"/>
        <w:rPr>
          <w:sz w:val="20"/>
        </w:rPr>
        <w:sectPr w:rsidR="00430F64" w:rsidRPr="00B34755" w:rsidSect="00E647B1">
          <w:type w:val="continuous"/>
          <w:pgSz w:w="12240" w:h="15840"/>
          <w:pgMar w:top="720" w:right="720" w:bottom="720" w:left="720" w:header="720" w:footer="720" w:gutter="0"/>
          <w:cols w:space="720"/>
          <w:docGrid w:linePitch="360"/>
        </w:sectPr>
      </w:pPr>
      <w:r w:rsidRPr="00E647B1">
        <w:rPr>
          <w:sz w:val="20"/>
        </w:rPr>
        <w:t>Deploy immutable infrastructure, such as containers. The concept of immutable infrastructure is an IT strategy in which deployed components are replaced in their entirety, rather than being updated in place. Deploying immutable infrastructure requires standardization and emulation of common infrastructure components to achieve con</w:t>
      </w:r>
      <w:r w:rsidR="00430F64">
        <w:rPr>
          <w:sz w:val="20"/>
        </w:rPr>
        <w:t>sistent and predictable result</w:t>
      </w:r>
    </w:p>
    <w:p w:rsidR="00100EFE" w:rsidRDefault="00430F64" w:rsidP="00430F64">
      <w:pPr>
        <w:pStyle w:val="Heading2"/>
      </w:pPr>
      <w:r>
        <w:lastRenderedPageBreak/>
        <w:t>Conceptual Model</w:t>
      </w:r>
    </w:p>
    <w:p w:rsidR="00430F64" w:rsidRDefault="00430F64" w:rsidP="00B33FB2">
      <w:pPr>
        <w:jc w:val="center"/>
        <w:rPr>
          <w:sz w:val="20"/>
        </w:rPr>
      </w:pPr>
      <w:r w:rsidRPr="00430F64">
        <w:rPr>
          <w:noProof/>
          <w:sz w:val="20"/>
        </w:rPr>
        <w:drawing>
          <wp:inline distT="0" distB="0" distL="0" distR="0">
            <wp:extent cx="5137899" cy="3629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3270" cy="3646945"/>
                    </a:xfrm>
                    <a:prstGeom prst="rect">
                      <a:avLst/>
                    </a:prstGeom>
                    <a:noFill/>
                    <a:ln>
                      <a:noFill/>
                    </a:ln>
                  </pic:spPr>
                </pic:pic>
              </a:graphicData>
            </a:graphic>
          </wp:inline>
        </w:drawing>
      </w:r>
    </w:p>
    <w:p w:rsidR="00430F64" w:rsidRDefault="00430F64" w:rsidP="00B33FB2">
      <w:pPr>
        <w:pStyle w:val="Heading2"/>
      </w:pPr>
      <w:proofErr w:type="spellStart"/>
      <w:r>
        <w:t>DevSecOps</w:t>
      </w:r>
      <w:proofErr w:type="spellEnd"/>
      <w:r>
        <w:t xml:space="preserve"> Lifecycle</w:t>
      </w:r>
    </w:p>
    <w:p w:rsidR="00430F64" w:rsidRDefault="00430F64" w:rsidP="004B2962">
      <w:pPr>
        <w:jc w:val="center"/>
        <w:rPr>
          <w:sz w:val="20"/>
        </w:rPr>
      </w:pPr>
      <w:r w:rsidRPr="00430F64">
        <w:rPr>
          <w:noProof/>
          <w:sz w:val="20"/>
        </w:rPr>
        <w:drawing>
          <wp:inline distT="0" distB="0" distL="0" distR="0">
            <wp:extent cx="6334125" cy="28779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7165" cy="2888436"/>
                    </a:xfrm>
                    <a:prstGeom prst="rect">
                      <a:avLst/>
                    </a:prstGeom>
                    <a:noFill/>
                    <a:ln>
                      <a:noFill/>
                    </a:ln>
                  </pic:spPr>
                </pic:pic>
              </a:graphicData>
            </a:graphic>
          </wp:inline>
        </w:drawing>
      </w:r>
    </w:p>
    <w:p w:rsidR="00B33FB2" w:rsidRDefault="00B33FB2" w:rsidP="00B33FB2">
      <w:pPr>
        <w:pStyle w:val="Heading2"/>
      </w:pPr>
      <w:proofErr w:type="spellStart"/>
      <w:r>
        <w:lastRenderedPageBreak/>
        <w:t>DevSecOps</w:t>
      </w:r>
      <w:proofErr w:type="spellEnd"/>
      <w:r>
        <w:t xml:space="preserve"> Pillars</w:t>
      </w:r>
    </w:p>
    <w:p w:rsidR="00B33FB2" w:rsidRDefault="00B33FB2" w:rsidP="004B2962">
      <w:pPr>
        <w:jc w:val="center"/>
        <w:rPr>
          <w:sz w:val="20"/>
        </w:rPr>
      </w:pPr>
      <w:r w:rsidRPr="00B33FB2">
        <w:rPr>
          <w:noProof/>
          <w:sz w:val="20"/>
        </w:rPr>
        <w:drawing>
          <wp:inline distT="0" distB="0" distL="0" distR="0">
            <wp:extent cx="6267450" cy="3792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7699" cy="3804863"/>
                    </a:xfrm>
                    <a:prstGeom prst="rect">
                      <a:avLst/>
                    </a:prstGeom>
                    <a:noFill/>
                    <a:ln>
                      <a:noFill/>
                    </a:ln>
                  </pic:spPr>
                </pic:pic>
              </a:graphicData>
            </a:graphic>
          </wp:inline>
        </w:drawing>
      </w:r>
    </w:p>
    <w:p w:rsidR="00B33FB2" w:rsidRDefault="00B33FB2" w:rsidP="00B33FB2">
      <w:pPr>
        <w:pStyle w:val="Heading2"/>
      </w:pPr>
      <w:proofErr w:type="spellStart"/>
      <w:r>
        <w:t>DevSecOps</w:t>
      </w:r>
      <w:proofErr w:type="spellEnd"/>
      <w:r>
        <w:t xml:space="preserve"> Ecosystem</w:t>
      </w:r>
    </w:p>
    <w:p w:rsidR="00B33FB2" w:rsidRDefault="00B33FB2" w:rsidP="004B2962">
      <w:pPr>
        <w:jc w:val="center"/>
        <w:rPr>
          <w:sz w:val="20"/>
        </w:rPr>
      </w:pPr>
      <w:r w:rsidRPr="00B33FB2">
        <w:rPr>
          <w:noProof/>
          <w:sz w:val="20"/>
        </w:rPr>
        <w:drawing>
          <wp:inline distT="0" distB="0" distL="0" distR="0">
            <wp:extent cx="6381750" cy="4463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579" cy="4475024"/>
                    </a:xfrm>
                    <a:prstGeom prst="rect">
                      <a:avLst/>
                    </a:prstGeom>
                    <a:noFill/>
                    <a:ln>
                      <a:noFill/>
                    </a:ln>
                  </pic:spPr>
                </pic:pic>
              </a:graphicData>
            </a:graphic>
          </wp:inline>
        </w:drawing>
      </w:r>
    </w:p>
    <w:p w:rsidR="009E2989" w:rsidRDefault="009E2989" w:rsidP="004B2962">
      <w:pPr>
        <w:jc w:val="center"/>
        <w:rPr>
          <w:sz w:val="20"/>
        </w:rPr>
      </w:pPr>
    </w:p>
    <w:p w:rsidR="00B33FB2" w:rsidRDefault="00B33FB2" w:rsidP="00B33FB2">
      <w:pPr>
        <w:pStyle w:val="Heading2"/>
      </w:pPr>
      <w:proofErr w:type="spellStart"/>
      <w:r>
        <w:lastRenderedPageBreak/>
        <w:t>DevSecOps</w:t>
      </w:r>
      <w:proofErr w:type="spellEnd"/>
      <w:r>
        <w:t xml:space="preserve"> Software Factory</w:t>
      </w:r>
    </w:p>
    <w:p w:rsidR="00B33FB2" w:rsidRDefault="00B33FB2" w:rsidP="004B2962">
      <w:pPr>
        <w:jc w:val="center"/>
        <w:rPr>
          <w:sz w:val="20"/>
        </w:rPr>
      </w:pPr>
      <w:r w:rsidRPr="00B33FB2">
        <w:rPr>
          <w:noProof/>
          <w:sz w:val="20"/>
        </w:rPr>
        <w:drawing>
          <wp:inline distT="0" distB="0" distL="0" distR="0">
            <wp:extent cx="6381750" cy="39599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8155" cy="3970137"/>
                    </a:xfrm>
                    <a:prstGeom prst="rect">
                      <a:avLst/>
                    </a:prstGeom>
                    <a:noFill/>
                    <a:ln>
                      <a:noFill/>
                    </a:ln>
                  </pic:spPr>
                </pic:pic>
              </a:graphicData>
            </a:graphic>
          </wp:inline>
        </w:drawing>
      </w:r>
    </w:p>
    <w:p w:rsidR="004B2962" w:rsidRDefault="004B2962" w:rsidP="0033608B">
      <w:pPr>
        <w:pStyle w:val="Heading2"/>
      </w:pPr>
      <w:proofErr w:type="spellStart"/>
      <w:r>
        <w:t>DevSecOps</w:t>
      </w:r>
      <w:proofErr w:type="spellEnd"/>
      <w:r>
        <w:t xml:space="preserve"> MVP</w:t>
      </w:r>
    </w:p>
    <w:p w:rsidR="004B2962" w:rsidRDefault="004B2962" w:rsidP="004B2962">
      <w:pPr>
        <w:rPr>
          <w:sz w:val="20"/>
        </w:rPr>
      </w:pPr>
      <w:r>
        <w:rPr>
          <w:noProof/>
          <w:sz w:val="20"/>
        </w:rPr>
        <w:drawing>
          <wp:inline distT="0" distB="0" distL="0" distR="0">
            <wp:extent cx="6858000" cy="3847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D CIO DevSecOps MVP.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847465"/>
                    </a:xfrm>
                    <a:prstGeom prst="rect">
                      <a:avLst/>
                    </a:prstGeom>
                  </pic:spPr>
                </pic:pic>
              </a:graphicData>
            </a:graphic>
          </wp:inline>
        </w:drawing>
      </w:r>
    </w:p>
    <w:p w:rsidR="004B2962" w:rsidRDefault="004B2962" w:rsidP="004B2962">
      <w:pPr>
        <w:rPr>
          <w:sz w:val="20"/>
        </w:rPr>
      </w:pPr>
      <w:r>
        <w:rPr>
          <w:sz w:val="20"/>
        </w:rPr>
        <w:t xml:space="preserve">Image from </w:t>
      </w:r>
      <w:hyperlink r:id="rId13" w:history="1">
        <w:r w:rsidR="009E2989" w:rsidRPr="00740F35">
          <w:rPr>
            <w:rStyle w:val="Hyperlink"/>
            <w:sz w:val="20"/>
          </w:rPr>
          <w:t>https://github.com/jondavid-black/DevOpsForDefense/raw/master/Meetup/2019/2019-10%20DO4D%20-%20DevSecOps%20Reference%20Design.pdf</w:t>
        </w:r>
      </w:hyperlink>
    </w:p>
    <w:p w:rsidR="009E2989" w:rsidRDefault="009E2989" w:rsidP="009E2989">
      <w:pPr>
        <w:pStyle w:val="Heading2"/>
      </w:pPr>
      <w:r>
        <w:lastRenderedPageBreak/>
        <w:t>Containerized Software Factory Reference Design</w:t>
      </w:r>
    </w:p>
    <w:p w:rsidR="009E2989" w:rsidRDefault="009E2989" w:rsidP="004B2962">
      <w:pPr>
        <w:rPr>
          <w:sz w:val="20"/>
        </w:rPr>
      </w:pPr>
      <w:r w:rsidRPr="009E2989">
        <w:rPr>
          <w:noProof/>
          <w:sz w:val="20"/>
        </w:rPr>
        <w:drawing>
          <wp:inline distT="0" distB="0" distL="0" distR="0">
            <wp:extent cx="6858000" cy="8143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143426"/>
                    </a:xfrm>
                    <a:prstGeom prst="rect">
                      <a:avLst/>
                    </a:prstGeom>
                    <a:noFill/>
                    <a:ln>
                      <a:noFill/>
                    </a:ln>
                  </pic:spPr>
                </pic:pic>
              </a:graphicData>
            </a:graphic>
          </wp:inline>
        </w:drawing>
      </w:r>
    </w:p>
    <w:p w:rsidR="009E2989" w:rsidRDefault="00A131ED" w:rsidP="00A131ED">
      <w:pPr>
        <w:pStyle w:val="Heading2"/>
      </w:pPr>
      <w:r>
        <w:lastRenderedPageBreak/>
        <w:t xml:space="preserve">Software Factory using Cloud </w:t>
      </w:r>
      <w:proofErr w:type="spellStart"/>
      <w:r>
        <w:t>DevSecOps</w:t>
      </w:r>
      <w:proofErr w:type="spellEnd"/>
      <w:r>
        <w:t xml:space="preserve"> Services</w:t>
      </w:r>
    </w:p>
    <w:p w:rsidR="00A131ED" w:rsidRDefault="00A131ED" w:rsidP="00A131ED">
      <w:pPr>
        <w:jc w:val="center"/>
        <w:rPr>
          <w:sz w:val="20"/>
        </w:rPr>
      </w:pPr>
      <w:r w:rsidRPr="00A131ED">
        <w:rPr>
          <w:noProof/>
          <w:sz w:val="20"/>
        </w:rPr>
        <w:drawing>
          <wp:inline distT="0" distB="0" distL="0" distR="0">
            <wp:extent cx="6372225" cy="396058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6334" cy="3969352"/>
                    </a:xfrm>
                    <a:prstGeom prst="rect">
                      <a:avLst/>
                    </a:prstGeom>
                    <a:noFill/>
                    <a:ln>
                      <a:noFill/>
                    </a:ln>
                  </pic:spPr>
                </pic:pic>
              </a:graphicData>
            </a:graphic>
          </wp:inline>
        </w:drawing>
      </w:r>
    </w:p>
    <w:p w:rsidR="00A131ED" w:rsidRDefault="0033608B" w:rsidP="00CC52D0">
      <w:pPr>
        <w:pStyle w:val="Heading2"/>
      </w:pPr>
      <w:r>
        <w:t>Sidecar Container Security Stack</w:t>
      </w:r>
    </w:p>
    <w:p w:rsidR="00700FA0" w:rsidRDefault="00DE6588" w:rsidP="00700FA0">
      <w:pPr>
        <w:rPr>
          <w:sz w:val="20"/>
        </w:rPr>
      </w:pPr>
      <w:r w:rsidRPr="00DE6588">
        <w:rPr>
          <w:noProof/>
          <w:sz w:val="20"/>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2973070" cy="22574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3070" cy="2257425"/>
                    </a:xfrm>
                    <a:prstGeom prst="rect">
                      <a:avLst/>
                    </a:prstGeom>
                    <a:noFill/>
                    <a:ln>
                      <a:noFill/>
                    </a:ln>
                  </pic:spPr>
                </pic:pic>
              </a:graphicData>
            </a:graphic>
          </wp:anchor>
        </w:drawing>
      </w:r>
      <w:r w:rsidR="00700FA0" w:rsidRPr="00700FA0">
        <w:rPr>
          <w:sz w:val="23"/>
          <w:szCs w:val="23"/>
        </w:rPr>
        <w:t xml:space="preserve"> </w:t>
      </w:r>
      <w:r w:rsidR="00700FA0">
        <w:rPr>
          <w:sz w:val="23"/>
          <w:szCs w:val="23"/>
        </w:rPr>
        <w:t>Sidecar Container Security Stack enables: correlated and centralized logs, container security, east/west traffic management, a zero-trust model, a whitelist, Role-Based Access Control (RBAC), continuous monitoring, signature-based continuous scanning using Common Vulnerabilities and Exposures (CVEs), runtime behavior analysis, and container policy enforcement.</w:t>
      </w:r>
    </w:p>
    <w:p w:rsidR="00700FA0" w:rsidRDefault="00700FA0" w:rsidP="00700FA0">
      <w:pPr>
        <w:pStyle w:val="Default"/>
        <w:rPr>
          <w:sz w:val="23"/>
          <w:szCs w:val="23"/>
        </w:rPr>
      </w:pPr>
    </w:p>
    <w:p w:rsidR="00700FA0" w:rsidRDefault="00700FA0" w:rsidP="00700FA0">
      <w:pPr>
        <w:pStyle w:val="Default"/>
        <w:rPr>
          <w:sz w:val="23"/>
          <w:szCs w:val="23"/>
        </w:rPr>
      </w:pPr>
      <w:r w:rsidRPr="00700FA0">
        <w:rPr>
          <w:noProof/>
          <w:sz w:val="20"/>
        </w:rPr>
        <w:lastRenderedPageBreak/>
        <w:drawing>
          <wp:inline distT="0" distB="0" distL="0" distR="0" wp14:anchorId="5B34D6BA" wp14:editId="151E7923">
            <wp:extent cx="6372225" cy="35258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691" cy="3537203"/>
                    </a:xfrm>
                    <a:prstGeom prst="rect">
                      <a:avLst/>
                    </a:prstGeom>
                    <a:noFill/>
                    <a:ln>
                      <a:noFill/>
                    </a:ln>
                  </pic:spPr>
                </pic:pic>
              </a:graphicData>
            </a:graphic>
          </wp:inline>
        </w:drawing>
      </w:r>
    </w:p>
    <w:p w:rsidR="00700FA0" w:rsidRDefault="00700FA0" w:rsidP="00700FA0">
      <w:pPr>
        <w:pStyle w:val="Default"/>
        <w:rPr>
          <w:sz w:val="23"/>
          <w:szCs w:val="23"/>
        </w:rPr>
      </w:pPr>
      <w:r>
        <w:rPr>
          <w:sz w:val="23"/>
          <w:szCs w:val="23"/>
        </w:rPr>
        <w:t xml:space="preserve">The security stack in the security sidecar container will include: </w:t>
      </w:r>
    </w:p>
    <w:p w:rsidR="00700FA0" w:rsidRDefault="00700FA0" w:rsidP="00700FA0">
      <w:pPr>
        <w:pStyle w:val="Default"/>
        <w:numPr>
          <w:ilvl w:val="0"/>
          <w:numId w:val="2"/>
        </w:numPr>
        <w:spacing w:after="83"/>
        <w:rPr>
          <w:sz w:val="23"/>
          <w:szCs w:val="23"/>
        </w:rPr>
      </w:pPr>
      <w:r>
        <w:rPr>
          <w:sz w:val="23"/>
          <w:szCs w:val="23"/>
        </w:rPr>
        <w:t xml:space="preserve"> A logging agent to push logs to a platform centralized logging service. </w:t>
      </w:r>
    </w:p>
    <w:p w:rsidR="00700FA0" w:rsidRDefault="00700FA0" w:rsidP="00CE26D2">
      <w:pPr>
        <w:pStyle w:val="Default"/>
        <w:numPr>
          <w:ilvl w:val="0"/>
          <w:numId w:val="2"/>
        </w:numPr>
        <w:spacing w:after="83"/>
        <w:rPr>
          <w:sz w:val="23"/>
          <w:szCs w:val="23"/>
        </w:rPr>
      </w:pPr>
      <w:r>
        <w:rPr>
          <w:sz w:val="23"/>
          <w:szCs w:val="23"/>
        </w:rPr>
        <w:t xml:space="preserve"> </w:t>
      </w:r>
      <w:r w:rsidRPr="00700FA0">
        <w:rPr>
          <w:sz w:val="23"/>
          <w:szCs w:val="23"/>
        </w:rPr>
        <w:t xml:space="preserve">Container policy enforcement. This includes ensuring container hardening from DCAR containers are preserved and complies with the </w:t>
      </w:r>
      <w:r>
        <w:rPr>
          <w:sz w:val="23"/>
          <w:szCs w:val="23"/>
        </w:rPr>
        <w:t>NIST 800-190 requirements [12].</w:t>
      </w:r>
    </w:p>
    <w:p w:rsidR="00700FA0" w:rsidRDefault="00700FA0" w:rsidP="00C22E7C">
      <w:pPr>
        <w:pStyle w:val="Default"/>
        <w:numPr>
          <w:ilvl w:val="0"/>
          <w:numId w:val="2"/>
        </w:numPr>
        <w:spacing w:after="83"/>
        <w:rPr>
          <w:sz w:val="23"/>
          <w:szCs w:val="23"/>
        </w:rPr>
      </w:pPr>
      <w:r>
        <w:rPr>
          <w:sz w:val="23"/>
          <w:szCs w:val="23"/>
        </w:rPr>
        <w:t xml:space="preserve"> </w:t>
      </w:r>
      <w:r w:rsidRPr="00700FA0">
        <w:rPr>
          <w:sz w:val="23"/>
          <w:szCs w:val="23"/>
        </w:rPr>
        <w:t>Runtime Defense, this can perform both signature-based and behavior-based detection. This can also be used to send notifications when there is anomalous behavior.</w:t>
      </w:r>
    </w:p>
    <w:p w:rsidR="00700FA0" w:rsidRDefault="00700FA0" w:rsidP="00157F01">
      <w:pPr>
        <w:pStyle w:val="Default"/>
        <w:numPr>
          <w:ilvl w:val="0"/>
          <w:numId w:val="2"/>
        </w:numPr>
        <w:spacing w:after="83"/>
        <w:rPr>
          <w:sz w:val="23"/>
          <w:szCs w:val="23"/>
        </w:rPr>
      </w:pPr>
      <w:r>
        <w:rPr>
          <w:sz w:val="23"/>
          <w:szCs w:val="23"/>
        </w:rPr>
        <w:t xml:space="preserve"> </w:t>
      </w:r>
      <w:r w:rsidRPr="00700FA0">
        <w:rPr>
          <w:sz w:val="23"/>
          <w:szCs w:val="23"/>
        </w:rPr>
        <w:t xml:space="preserve">Vulnerability Management </w:t>
      </w:r>
    </w:p>
    <w:p w:rsidR="00700FA0" w:rsidRDefault="00700FA0" w:rsidP="00B84415">
      <w:pPr>
        <w:pStyle w:val="Default"/>
        <w:numPr>
          <w:ilvl w:val="0"/>
          <w:numId w:val="2"/>
        </w:numPr>
        <w:spacing w:after="83"/>
        <w:rPr>
          <w:sz w:val="23"/>
          <w:szCs w:val="23"/>
        </w:rPr>
      </w:pPr>
      <w:r>
        <w:rPr>
          <w:sz w:val="23"/>
          <w:szCs w:val="23"/>
        </w:rPr>
        <w:t xml:space="preserve"> </w:t>
      </w:r>
      <w:r w:rsidRPr="00700FA0">
        <w:rPr>
          <w:sz w:val="23"/>
          <w:szCs w:val="23"/>
        </w:rPr>
        <w:t xml:space="preserve">A service mesh proxy to connect to the service mesh </w:t>
      </w:r>
    </w:p>
    <w:p w:rsidR="00700FA0" w:rsidRPr="00700FA0" w:rsidRDefault="00700FA0" w:rsidP="00BC4DE9">
      <w:pPr>
        <w:pStyle w:val="Default"/>
        <w:numPr>
          <w:ilvl w:val="0"/>
          <w:numId w:val="2"/>
        </w:numPr>
        <w:spacing w:after="83"/>
        <w:rPr>
          <w:sz w:val="23"/>
          <w:szCs w:val="23"/>
        </w:rPr>
      </w:pPr>
      <w:r>
        <w:rPr>
          <w:sz w:val="23"/>
          <w:szCs w:val="23"/>
        </w:rPr>
        <w:t xml:space="preserve"> </w:t>
      </w:r>
      <w:r w:rsidRPr="00700FA0">
        <w:rPr>
          <w:sz w:val="23"/>
          <w:szCs w:val="23"/>
        </w:rPr>
        <w:t xml:space="preserve">Zero Trust down to the container level. </w:t>
      </w:r>
      <w:r w:rsidRPr="00700FA0">
        <w:rPr>
          <w:b/>
          <w:sz w:val="23"/>
          <w:szCs w:val="23"/>
        </w:rPr>
        <w:t>Zero trust requires strict controls, never trust anything by default and always verify.</w:t>
      </w:r>
      <w:r w:rsidRPr="00700FA0">
        <w:rPr>
          <w:sz w:val="23"/>
          <w:szCs w:val="23"/>
        </w:rPr>
        <w:t xml:space="preserve"> Key aspects of zero trust at the container level include mutual Transport Layer Security authentication (</w:t>
      </w:r>
      <w:proofErr w:type="spellStart"/>
      <w:r w:rsidRPr="00700FA0">
        <w:rPr>
          <w:sz w:val="23"/>
          <w:szCs w:val="23"/>
        </w:rPr>
        <w:t>mTLS</w:t>
      </w:r>
      <w:proofErr w:type="spellEnd"/>
      <w:r w:rsidRPr="00700FA0">
        <w:rPr>
          <w:sz w:val="23"/>
          <w:szCs w:val="23"/>
        </w:rPr>
        <w:t xml:space="preserve">), an encrypted communication tunnel between containers, strong identities per Pod using certificates, and whitelisting rather than blacklisting. </w:t>
      </w:r>
    </w:p>
    <w:p w:rsidR="0033608B" w:rsidRDefault="00700FA0" w:rsidP="00700FA0">
      <w:pPr>
        <w:rPr>
          <w:sz w:val="23"/>
          <w:szCs w:val="23"/>
        </w:rPr>
      </w:pPr>
      <w:r>
        <w:rPr>
          <w:sz w:val="23"/>
          <w:szCs w:val="23"/>
        </w:rPr>
        <w:t>Services that support the security sidecar include:</w:t>
      </w:r>
    </w:p>
    <w:p w:rsidR="00700FA0" w:rsidRDefault="00700FA0" w:rsidP="003A5ACF">
      <w:pPr>
        <w:pStyle w:val="ListParagraph"/>
        <w:numPr>
          <w:ilvl w:val="0"/>
          <w:numId w:val="3"/>
        </w:numPr>
        <w:spacing w:after="83"/>
        <w:rPr>
          <w:sz w:val="23"/>
          <w:szCs w:val="23"/>
        </w:rPr>
      </w:pPr>
      <w:r w:rsidRPr="00700FA0">
        <w:rPr>
          <w:sz w:val="23"/>
          <w:szCs w:val="23"/>
        </w:rPr>
        <w:t xml:space="preserve">Program-specific Log Storage and Retrieval Service </w:t>
      </w:r>
    </w:p>
    <w:p w:rsidR="00700FA0" w:rsidRDefault="00700FA0" w:rsidP="00B70C53">
      <w:pPr>
        <w:pStyle w:val="ListParagraph"/>
        <w:numPr>
          <w:ilvl w:val="0"/>
          <w:numId w:val="3"/>
        </w:numPr>
        <w:spacing w:after="83"/>
        <w:rPr>
          <w:sz w:val="23"/>
          <w:szCs w:val="23"/>
        </w:rPr>
      </w:pPr>
      <w:r w:rsidRPr="00700FA0">
        <w:rPr>
          <w:sz w:val="23"/>
          <w:szCs w:val="23"/>
        </w:rPr>
        <w:t xml:space="preserve">Service Mesh </w:t>
      </w:r>
    </w:p>
    <w:p w:rsidR="00700FA0" w:rsidRDefault="00700FA0" w:rsidP="00BC6E15">
      <w:pPr>
        <w:pStyle w:val="ListParagraph"/>
        <w:numPr>
          <w:ilvl w:val="0"/>
          <w:numId w:val="3"/>
        </w:numPr>
        <w:spacing w:after="83"/>
        <w:rPr>
          <w:sz w:val="23"/>
          <w:szCs w:val="23"/>
        </w:rPr>
      </w:pPr>
      <w:r w:rsidRPr="00700FA0">
        <w:rPr>
          <w:sz w:val="23"/>
          <w:szCs w:val="23"/>
        </w:rPr>
        <w:t xml:space="preserve">Program-specific artifact repository </w:t>
      </w:r>
    </w:p>
    <w:p w:rsidR="00700FA0" w:rsidRDefault="00700FA0" w:rsidP="002F7E57">
      <w:pPr>
        <w:pStyle w:val="ListParagraph"/>
        <w:numPr>
          <w:ilvl w:val="0"/>
          <w:numId w:val="3"/>
        </w:numPr>
        <w:spacing w:after="83"/>
        <w:rPr>
          <w:sz w:val="23"/>
          <w:szCs w:val="23"/>
        </w:rPr>
      </w:pPr>
      <w:r w:rsidRPr="00700FA0">
        <w:rPr>
          <w:sz w:val="23"/>
          <w:szCs w:val="23"/>
        </w:rPr>
        <w:t xml:space="preserve">Runtime Behavior Analysis Artificial Intelligence (AI) service </w:t>
      </w:r>
    </w:p>
    <w:p w:rsidR="00700FA0" w:rsidRDefault="00700FA0" w:rsidP="00C14F93">
      <w:pPr>
        <w:pStyle w:val="ListParagraph"/>
        <w:numPr>
          <w:ilvl w:val="0"/>
          <w:numId w:val="3"/>
        </w:numPr>
        <w:spacing w:after="83"/>
        <w:rPr>
          <w:sz w:val="23"/>
          <w:szCs w:val="23"/>
        </w:rPr>
      </w:pPr>
      <w:r w:rsidRPr="00700FA0">
        <w:rPr>
          <w:sz w:val="23"/>
          <w:szCs w:val="23"/>
        </w:rPr>
        <w:t xml:space="preserve">DCAR for the hardened containers </w:t>
      </w:r>
    </w:p>
    <w:p w:rsidR="00700FA0" w:rsidRPr="00426608" w:rsidRDefault="00700FA0" w:rsidP="00700FA0">
      <w:pPr>
        <w:pStyle w:val="ListParagraph"/>
        <w:numPr>
          <w:ilvl w:val="0"/>
          <w:numId w:val="3"/>
        </w:numPr>
        <w:spacing w:after="83"/>
        <w:rPr>
          <w:sz w:val="23"/>
          <w:szCs w:val="23"/>
        </w:rPr>
      </w:pPr>
      <w:r w:rsidRPr="00700FA0">
        <w:rPr>
          <w:sz w:val="23"/>
          <w:szCs w:val="23"/>
        </w:rPr>
        <w:t xml:space="preserve">Common Vulnerabilities and Exposures (CVE)Service / host-based security to provide CVEs for the security sidecar container </w:t>
      </w:r>
    </w:p>
    <w:p w:rsidR="00426608" w:rsidRDefault="00426608" w:rsidP="00426608">
      <w:pPr>
        <w:pStyle w:val="Heading2"/>
      </w:pPr>
      <w:r w:rsidRPr="00426608">
        <w:t xml:space="preserve">CSIAC Webinars - DoD Enterprise </w:t>
      </w:r>
      <w:proofErr w:type="spellStart"/>
      <w:r w:rsidRPr="00426608">
        <w:t>DevSecOps</w:t>
      </w:r>
      <w:proofErr w:type="spellEnd"/>
      <w:r w:rsidRPr="00426608">
        <w:t xml:space="preserve"> Initiative</w:t>
      </w:r>
      <w:r>
        <w:t xml:space="preserve"> – Nicolas </w:t>
      </w:r>
      <w:proofErr w:type="spellStart"/>
      <w:r>
        <w:t>Chaillan</w:t>
      </w:r>
      <w:proofErr w:type="spellEnd"/>
      <w:r>
        <w:t xml:space="preserve"> presenting</w:t>
      </w:r>
    </w:p>
    <w:p w:rsidR="00700FA0" w:rsidRDefault="00954AD3" w:rsidP="00700FA0">
      <w:pPr>
        <w:spacing w:after="83"/>
        <w:rPr>
          <w:sz w:val="23"/>
          <w:szCs w:val="23"/>
        </w:rPr>
      </w:pPr>
      <w:hyperlink r:id="rId18" w:history="1">
        <w:r w:rsidR="00700FA0" w:rsidRPr="00740F35">
          <w:rPr>
            <w:rStyle w:val="Hyperlink"/>
            <w:sz w:val="23"/>
            <w:szCs w:val="23"/>
          </w:rPr>
          <w:t>https://www.csiac.org/podcast/dod-enterprise-devsecops-initiative/</w:t>
        </w:r>
      </w:hyperlink>
    </w:p>
    <w:p w:rsidR="00700FA0" w:rsidRDefault="00954AD3" w:rsidP="00954AD3">
      <w:pPr>
        <w:pStyle w:val="Heading2"/>
      </w:pPr>
      <w:r>
        <w:t>DoD Centralized Container Source Code Repository (DCCSCR)</w:t>
      </w:r>
    </w:p>
    <w:p w:rsidR="00954AD3" w:rsidRDefault="00954AD3" w:rsidP="00700FA0">
      <w:pPr>
        <w:rPr>
          <w:sz w:val="20"/>
        </w:rPr>
      </w:pPr>
      <w:hyperlink r:id="rId19" w:history="1">
        <w:r w:rsidRPr="00736F39">
          <w:rPr>
            <w:rStyle w:val="Hyperlink"/>
            <w:sz w:val="20"/>
          </w:rPr>
          <w:t>https://dcar.dsop.io/</w:t>
        </w:r>
      </w:hyperlink>
    </w:p>
    <w:p w:rsidR="00954AD3" w:rsidRDefault="00954AD3" w:rsidP="00954AD3">
      <w:pPr>
        <w:pStyle w:val="Heading2"/>
      </w:pPr>
      <w:r>
        <w:t>DSOP Group Workspace</w:t>
      </w:r>
    </w:p>
    <w:p w:rsidR="00954AD3" w:rsidRDefault="00954AD3" w:rsidP="00700FA0">
      <w:pPr>
        <w:rPr>
          <w:sz w:val="20"/>
        </w:rPr>
      </w:pPr>
      <w:hyperlink r:id="rId20" w:history="1">
        <w:r w:rsidRPr="00736F39">
          <w:rPr>
            <w:rStyle w:val="Hyperlink"/>
            <w:sz w:val="20"/>
          </w:rPr>
          <w:t>https://dccscr.dsop.io/dsop</w:t>
        </w:r>
      </w:hyperlink>
    </w:p>
    <w:p w:rsidR="00954AD3" w:rsidRDefault="00954AD3" w:rsidP="00954AD3">
      <w:pPr>
        <w:pStyle w:val="Heading2"/>
      </w:pPr>
      <w:r>
        <w:lastRenderedPageBreak/>
        <w:t>DCCSCR Project Page</w:t>
      </w:r>
    </w:p>
    <w:p w:rsidR="00954AD3" w:rsidRDefault="00954AD3" w:rsidP="00700FA0">
      <w:pPr>
        <w:rPr>
          <w:sz w:val="20"/>
        </w:rPr>
      </w:pPr>
      <w:hyperlink r:id="rId21" w:history="1">
        <w:r w:rsidRPr="00736F39">
          <w:rPr>
            <w:rStyle w:val="Hyperlink"/>
            <w:sz w:val="20"/>
          </w:rPr>
          <w:t>https://dccscr.dsop.io/dsop/dccscr</w:t>
        </w:r>
      </w:hyperlink>
    </w:p>
    <w:p w:rsidR="00954AD3" w:rsidRPr="00E647B1" w:rsidRDefault="00954AD3" w:rsidP="00700FA0">
      <w:pPr>
        <w:rPr>
          <w:sz w:val="20"/>
        </w:rPr>
      </w:pPr>
    </w:p>
    <w:sectPr w:rsidR="00954AD3" w:rsidRPr="00E647B1" w:rsidSect="00E647B1">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9C392E"/>
    <w:multiLevelType w:val="hybridMultilevel"/>
    <w:tmpl w:val="31724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3B5711"/>
    <w:multiLevelType w:val="hybridMultilevel"/>
    <w:tmpl w:val="E978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8B0A1A"/>
    <w:multiLevelType w:val="hybridMultilevel"/>
    <w:tmpl w:val="121654E2"/>
    <w:lvl w:ilvl="0" w:tplc="119AA248">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736"/>
    <w:rsid w:val="00100EFE"/>
    <w:rsid w:val="0033608B"/>
    <w:rsid w:val="00426608"/>
    <w:rsid w:val="00430F64"/>
    <w:rsid w:val="004B2962"/>
    <w:rsid w:val="005157C3"/>
    <w:rsid w:val="005A4188"/>
    <w:rsid w:val="00700FA0"/>
    <w:rsid w:val="00730736"/>
    <w:rsid w:val="00954AD3"/>
    <w:rsid w:val="009E2989"/>
    <w:rsid w:val="00A131ED"/>
    <w:rsid w:val="00AD56CA"/>
    <w:rsid w:val="00B33FB2"/>
    <w:rsid w:val="00B34755"/>
    <w:rsid w:val="00CC52D0"/>
    <w:rsid w:val="00D5399C"/>
    <w:rsid w:val="00D86D14"/>
    <w:rsid w:val="00DE6588"/>
    <w:rsid w:val="00E647B1"/>
    <w:rsid w:val="00F0689E"/>
    <w:rsid w:val="00F82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224DE"/>
  <w15:chartTrackingRefBased/>
  <w15:docId w15:val="{A459BE74-2896-4F47-AA8C-790E01CCE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66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0F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0EFE"/>
    <w:rPr>
      <w:color w:val="0563C1" w:themeColor="hyperlink"/>
      <w:u w:val="single"/>
    </w:rPr>
  </w:style>
  <w:style w:type="paragraph" w:styleId="ListParagraph">
    <w:name w:val="List Paragraph"/>
    <w:basedOn w:val="Normal"/>
    <w:uiPriority w:val="34"/>
    <w:qFormat/>
    <w:rsid w:val="00E647B1"/>
    <w:pPr>
      <w:ind w:left="720"/>
      <w:contextualSpacing/>
    </w:pPr>
  </w:style>
  <w:style w:type="character" w:customStyle="1" w:styleId="Heading2Char">
    <w:name w:val="Heading 2 Char"/>
    <w:basedOn w:val="DefaultParagraphFont"/>
    <w:link w:val="Heading2"/>
    <w:uiPriority w:val="9"/>
    <w:rsid w:val="00430F64"/>
    <w:rPr>
      <w:rFonts w:asciiTheme="majorHAnsi" w:eastAsiaTheme="majorEastAsia" w:hAnsiTheme="majorHAnsi" w:cstheme="majorBidi"/>
      <w:color w:val="2E74B5" w:themeColor="accent1" w:themeShade="BF"/>
      <w:sz w:val="26"/>
      <w:szCs w:val="26"/>
    </w:rPr>
  </w:style>
  <w:style w:type="paragraph" w:customStyle="1" w:styleId="Default">
    <w:name w:val="Default"/>
    <w:rsid w:val="00700FA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42660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829097">
      <w:bodyDiv w:val="1"/>
      <w:marLeft w:val="0"/>
      <w:marRight w:val="0"/>
      <w:marTop w:val="0"/>
      <w:marBottom w:val="0"/>
      <w:divBdr>
        <w:top w:val="none" w:sz="0" w:space="0" w:color="auto"/>
        <w:left w:val="none" w:sz="0" w:space="0" w:color="auto"/>
        <w:bottom w:val="none" w:sz="0" w:space="0" w:color="auto"/>
        <w:right w:val="none" w:sz="0" w:space="0" w:color="auto"/>
      </w:divBdr>
    </w:div>
    <w:div w:id="139758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github.com/jondavid-black/DevOpsForDefense/raw/master/Meetup/2019/2019-10%20DO4D%20-%20DevSecOps%20Reference%20Design.pdf" TargetMode="External"/><Relationship Id="rId18" Type="http://schemas.openxmlformats.org/officeDocument/2006/relationships/hyperlink" Target="https://www.csiac.org/podcast/dod-enterprise-devsecops-initiative/" TargetMode="External"/><Relationship Id="rId3" Type="http://schemas.openxmlformats.org/officeDocument/2006/relationships/settings" Target="settings.xml"/><Relationship Id="rId21" Type="http://schemas.openxmlformats.org/officeDocument/2006/relationships/hyperlink" Target="https://dccscr.dsop.io/dsop/dccscr"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dccscr.dsop.io/dso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hyperlink" Target="https://dodcio.defense.gov/Portals/0/Documents/DoD%20Enterprise%20DevSecOps%20Reference%20Design%20v1.0_Public%20Release.pdf?ver=2019-09-26-115824-583" TargetMode="Externa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hyperlink" Target="https://dcar.dsop.io/"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8</Pages>
  <Words>836</Words>
  <Characters>4769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Stumme, Shawn C (IS)</dc:creator>
  <cp:keywords/>
  <dc:description/>
  <cp:lastModifiedBy>Stumme, Shawn C (IS)</cp:lastModifiedBy>
  <cp:revision>6</cp:revision>
  <dcterms:created xsi:type="dcterms:W3CDTF">2019-11-06T03:16:00Z</dcterms:created>
  <dcterms:modified xsi:type="dcterms:W3CDTF">2019-11-07T16:18:00Z</dcterms:modified>
</cp:coreProperties>
</file>