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AAIG Flashcard 复核册（40 张）</w:t>
      </w:r>
    </w:p>
    <w:p>
      <w:pPr>
        <w:spacing w:after="60"/>
      </w:pPr>
      <w:r>
        <w:rPr>
          <w:b w:val="0"/>
          <w:color w:val="5A5A5A"/>
          <w:sz w:val="18"/>
        </w:rPr>
        <w:t>日期：2026-10-24。分支：claude/trusting-fermat-7hxmm4。配套记录：docs/reviews/2026-10-24-flashcard-review.md。</w:t>
      </w:r>
    </w:p>
    <w:p>
      <w:pPr>
        <w:pStyle w:val="Heading1"/>
      </w:pPr>
      <w:r>
        <w:t>请先读这一页</w:t>
      </w:r>
    </w:p>
    <w:p>
      <w:pPr>
        <w:pStyle w:val="ListBullet"/>
        <w:spacing w:after="40"/>
      </w:pPr>
      <w:r>
        <w:t>这份文档把 40 张 flashcard 的完整内容、复核标准和需要你拍板的具体问题放在一起。我没有改任何卡片内容；你的决定出来之后我才动手。</w:t>
      </w:r>
    </w:p>
    <w:p>
      <w:pPr>
        <w:pStyle w:val="ListBullet"/>
        <w:spacing w:after="40"/>
      </w:pPr>
      <w:r>
        <w:t>第一部分是 7 条判断标准（C1–C7），供你随时对照。你要做的事分三层：①第二部分：6 条全局规则，每条选一个选项；②第三部分：逐项拍板（个别卡片的内容疑点、12 张复合正面怎么拆、22 张过长卡怎么拆、12 张拟新增卡要不要）；③第四部分：40 张卡逐张用 C1–C7 勾选并给出决定。</w:t>
      </w:r>
    </w:p>
    <w:p>
      <w:pPr>
        <w:pStyle w:val="ListBullet"/>
        <w:spacing w:after="40"/>
      </w:pPr>
      <w:r>
        <w:t>建议顺序：先做第二部分（全局规则会决定后面怎么拆），再做第三部分，最后逐张过第四部分。不需要一次做完，可以只做第二、三部分，第四部分只看被标红的卡。</w:t>
      </w:r>
    </w:p>
    <w:p>
      <w:pPr>
        <w:pStyle w:val="ListBullet"/>
        <w:spacing w:after="40"/>
      </w:pPr>
      <w:r>
        <w:t>三种常用决定：通过 = 内容、来源、形式都无需改动；修改 = 需要改动，请在意见栏写明改成什么；拆分 = 内容没错，但应拆成多张卡。另有"待核验"：你手头没有一手来源，无法判断，请写明缺什么。</w:t>
      </w:r>
    </w:p>
    <w:p>
      <w:pPr>
        <w:pStyle w:val="ListBullet"/>
        <w:spacing w:after="40"/>
      </w:pPr>
      <w:r>
        <w:t>我没有核验过的事：我没有对照任何法规原文、标准正版或 NIST 原文逐条核对这些卡片，也没有给任何卡片补 sourceUrl。文中所有"疑点"都是我读卡时的判断，请当作线索，不是结论。</w:t>
      </w:r>
    </w:p>
    <w:p>
      <w:pPr>
        <w:pStyle w:val="ListBullet"/>
        <w:spacing w:after="40"/>
      </w:pPr>
      <w:r>
        <w:t>这 40 张卡全部是"未复核"状态。其中 fc-04、fc-12、fc-32 在 2026-10-14 的复核中被列为"待补证"，仍然是待补证。</w:t>
      </w:r>
    </w:p>
    <w:p>
      <w:r>
        <w:br w:type="page"/>
      </w:r>
    </w:p>
    <w:p>
      <w:pPr>
        <w:pStyle w:val="Heading1"/>
      </w:pPr>
      <w:r>
        <w:t>第一部分　每张卡都要过的 7 条判断标准（C1–C7）</w:t>
      </w:r>
    </w:p>
    <w:p>
      <w:pPr>
        <w:spacing w:after="60"/>
      </w:pPr>
      <w:r>
        <w:rPr>
          <w:b w:val="0"/>
          <w:sz w:val="18"/>
        </w:rPr>
        <w:t>第四部分每张卡的页面上都有这 7 条的勾选框。下面写清楚每一条要判断什么、怎样才算通过、不通过时请怎么写。</w:t>
      </w:r>
    </w:p>
    <w:tbl>
      <w:tblPr>
        <w:tblStyle w:val="TableGrid"/>
        <w:tblW w:type="auto" w:w="0"/>
        <w:tblLayout w:type="fixed"/>
        <w:tblLook w:firstColumn="1" w:firstRow="1" w:lastColumn="0" w:lastRow="0" w:noHBand="0" w:noVBand="1" w:val="04A0"/>
      </w:tblPr>
      <w:tblGrid>
        <w:gridCol w:w="1814"/>
        <w:gridCol w:w="4535"/>
        <w:gridCol w:w="4309"/>
        <w:gridCol w:w="3969"/>
      </w:tblGrid>
      <w:tr>
        <w:tc>
          <w:tcPr>
            <w:tcW w:type="dxa" w:w="1814"/>
            <w:shd w:val="clear" w:color="auto" w:fill="D9E2F3"/>
          </w:tcPr>
          <w:p>
            <w:r/>
            <w:r>
              <w:rPr>
                <w:b/>
                <w:sz w:val="18"/>
              </w:rPr>
              <w:t>标准</w:t>
            </w:r>
          </w:p>
        </w:tc>
        <w:tc>
          <w:tcPr>
            <w:tcW w:type="dxa" w:w="4535"/>
            <w:shd w:val="clear" w:color="auto" w:fill="D9E2F3"/>
          </w:tcPr>
          <w:p>
            <w:r/>
            <w:r>
              <w:rPr>
                <w:b/>
                <w:sz w:val="18"/>
              </w:rPr>
              <w:t>你要判断的问题</w:t>
            </w:r>
          </w:p>
        </w:tc>
        <w:tc>
          <w:tcPr>
            <w:tcW w:type="dxa" w:w="4309"/>
            <w:shd w:val="clear" w:color="auto" w:fill="D9E2F3"/>
          </w:tcPr>
          <w:p>
            <w:r/>
            <w:r>
              <w:rPr>
                <w:b/>
                <w:sz w:val="18"/>
              </w:rPr>
              <w:t>通过的标准</w:t>
            </w:r>
          </w:p>
        </w:tc>
        <w:tc>
          <w:tcPr>
            <w:tcW w:type="dxa" w:w="3969"/>
            <w:shd w:val="clear" w:color="auto" w:fill="D9E2F3"/>
          </w:tcPr>
          <w:p>
            <w:r/>
            <w:r>
              <w:rPr>
                <w:b/>
                <w:sz w:val="18"/>
              </w:rPr>
              <w:t>不通过时请这样写</w:t>
            </w:r>
          </w:p>
        </w:tc>
      </w:tr>
      <w:tr>
        <w:tc>
          <w:tcPr>
            <w:tcW w:type="dxa" w:w="1814"/>
          </w:tcPr>
          <w:p>
            <w:r/>
            <w:r>
              <w:rPr>
                <w:b w:val="0"/>
                <w:sz w:val="18"/>
              </w:rPr>
              <w:t>C1　事实正确</w:t>
            </w:r>
          </w:p>
        </w:tc>
        <w:tc>
          <w:tcPr>
            <w:tcW w:type="dxa" w:w="4535"/>
          </w:tcPr>
          <w:p>
            <w:r/>
            <w:r>
              <w:rPr>
                <w:b w:val="0"/>
                <w:sz w:val="18"/>
              </w:rPr>
              <w:t>卡片里每一个具体陈述（条款号、天数、阈值、定义、"必须/可以"）是否与一手来源一致。</w:t>
            </w:r>
          </w:p>
        </w:tc>
        <w:tc>
          <w:tcPr>
            <w:tcW w:type="dxa" w:w="4309"/>
          </w:tcPr>
          <w:p>
            <w:r/>
            <w:r>
              <w:rPr>
                <w:b w:val="0"/>
                <w:sz w:val="18"/>
              </w:rPr>
              <w:t>每个具体陈述都能在法规原文、标准正版或 NIST 原文中找到；数字（如 2、10、15 天，10^25 FLOPs）逐个核过。</w:t>
            </w:r>
          </w:p>
        </w:tc>
        <w:tc>
          <w:tcPr>
            <w:tcW w:type="dxa" w:w="3969"/>
          </w:tcPr>
          <w:p>
            <w:r/>
            <w:r>
              <w:rPr>
                <w:b w:val="0"/>
                <w:sz w:val="18"/>
              </w:rPr>
              <w:t>写明哪句话错、正确应是什么、依据在哪里（条款号）。无法核对请选"无法核对"并写缺什么材料。</w:t>
            </w:r>
          </w:p>
        </w:tc>
      </w:tr>
      <w:tr>
        <w:tc>
          <w:tcPr>
            <w:tcW w:type="dxa" w:w="1814"/>
          </w:tcPr>
          <w:p>
            <w:r/>
            <w:r>
              <w:rPr>
                <w:b w:val="0"/>
                <w:sz w:val="18"/>
              </w:rPr>
              <w:t>C2　来源标签支持该陈述</w:t>
            </w:r>
          </w:p>
        </w:tc>
        <w:tc>
          <w:tcPr>
            <w:tcW w:type="dxa" w:w="4535"/>
          </w:tcPr>
          <w:p>
            <w:r/>
            <w:r>
              <w:rPr>
                <w:b w:val="0"/>
                <w:sz w:val="18"/>
              </w:rPr>
              <w:t>"来源"字段列出的文件和条款，是否真的包含卡片所说的内容。</w:t>
            </w:r>
          </w:p>
        </w:tc>
        <w:tc>
          <w:tcPr>
            <w:tcW w:type="dxa" w:w="4309"/>
          </w:tcPr>
          <w:p>
            <w:r/>
            <w:r>
              <w:rPr>
                <w:b w:val="0"/>
                <w:sz w:val="18"/>
              </w:rPr>
              <w:t>你能指出来源中对应的具体条款；标注"verify against licensed standard"的，必须已对照正版。</w:t>
            </w:r>
          </w:p>
        </w:tc>
        <w:tc>
          <w:tcPr>
            <w:tcW w:type="dxa" w:w="3969"/>
          </w:tcPr>
          <w:p>
            <w:r/>
            <w:r>
              <w:rPr>
                <w:b w:val="0"/>
                <w:sz w:val="18"/>
              </w:rPr>
              <w:t>写明应改成的来源；来源只写文件名没有条款的，写明补哪一条。</w:t>
            </w:r>
          </w:p>
        </w:tc>
      </w:tr>
      <w:tr>
        <w:tc>
          <w:tcPr>
            <w:tcW w:type="dxa" w:w="1814"/>
          </w:tcPr>
          <w:p>
            <w:r/>
            <w:r>
              <w:rPr>
                <w:b w:val="0"/>
                <w:sz w:val="18"/>
              </w:rPr>
              <w:t>C3　正面是单一问题，背面直接回答</w:t>
            </w:r>
          </w:p>
        </w:tc>
        <w:tc>
          <w:tcPr>
            <w:tcW w:type="dxa" w:w="4535"/>
          </w:tcPr>
          <w:p>
            <w:r/>
            <w:r>
              <w:rPr>
                <w:b w:val="0"/>
                <w:sz w:val="18"/>
              </w:rPr>
              <w:t>正面是否只问一件事；背面第一句是否就回答这件事。</w:t>
            </w:r>
          </w:p>
        </w:tc>
        <w:tc>
          <w:tcPr>
            <w:tcW w:type="dxa" w:w="4309"/>
          </w:tcPr>
          <w:p>
            <w:r/>
            <w:r>
              <w:rPr>
                <w:b w:val="0"/>
                <w:sz w:val="18"/>
              </w:rPr>
              <w:t>正面只有一个问题，背面不绕开它；学员自测时能清楚判断"答对/答错"。</w:t>
            </w:r>
          </w:p>
        </w:tc>
        <w:tc>
          <w:tcPr>
            <w:tcW w:type="dxa" w:w="3969"/>
          </w:tcPr>
          <w:p>
            <w:r/>
            <w:r>
              <w:rPr>
                <w:b w:val="0"/>
                <w:sz w:val="18"/>
              </w:rPr>
              <w:t>写明建议拆成哪几个问题，或背面缺哪一块答案。</w:t>
            </w:r>
          </w:p>
        </w:tc>
      </w:tr>
      <w:tr>
        <w:tc>
          <w:tcPr>
            <w:tcW w:type="dxa" w:w="1814"/>
          </w:tcPr>
          <w:p>
            <w:r/>
            <w:r>
              <w:rPr>
                <w:b w:val="0"/>
                <w:sz w:val="18"/>
              </w:rPr>
              <w:t>C4　一点一卡，长度合适</w:t>
            </w:r>
          </w:p>
        </w:tc>
        <w:tc>
          <w:tcPr>
            <w:tcW w:type="dxa" w:w="4535"/>
          </w:tcPr>
          <w:p>
            <w:r/>
            <w:r>
              <w:rPr>
                <w:b w:val="0"/>
                <w:sz w:val="18"/>
              </w:rPr>
              <w:t>背面是否只讲一个概念或一个清单；是否能在一次回忆中说出要点。</w:t>
            </w:r>
          </w:p>
        </w:tc>
        <w:tc>
          <w:tcPr>
            <w:tcW w:type="dxa" w:w="4309"/>
          </w:tcPr>
          <w:p>
            <w:r/>
            <w:r>
              <w:rPr>
                <w:b w:val="0"/>
                <w:sz w:val="18"/>
              </w:rPr>
              <w:t>背面不超过第二部分 J1 你选定的字数；清单不超过 3 到 4 项。</w:t>
            </w:r>
          </w:p>
        </w:tc>
        <w:tc>
          <w:tcPr>
            <w:tcW w:type="dxa" w:w="3969"/>
          </w:tcPr>
          <w:p>
            <w:r/>
            <w:r>
              <w:rPr>
                <w:b w:val="0"/>
                <w:sz w:val="18"/>
              </w:rPr>
              <w:t>写明建议拆分点（见第三部分 3.3 的拟拆方案是否同意）。</w:t>
            </w:r>
          </w:p>
        </w:tc>
      </w:tr>
      <w:tr>
        <w:tc>
          <w:tcPr>
            <w:tcW w:type="dxa" w:w="1814"/>
          </w:tcPr>
          <w:p>
            <w:r/>
            <w:r>
              <w:rPr>
                <w:b w:val="0"/>
                <w:sz w:val="18"/>
              </w:rPr>
              <w:t>C5　domain 归类正确</w:t>
            </w:r>
          </w:p>
        </w:tc>
        <w:tc>
          <w:tcPr>
            <w:tcW w:type="dxa" w:w="4535"/>
          </w:tcPr>
          <w:p>
            <w:r/>
            <w:r>
              <w:rPr>
                <w:b w:val="0"/>
                <w:sz w:val="18"/>
              </w:rPr>
              <w:t>卡片所属的 D1/D2/D3 是否与 ISACA 公开的三个 core area 名称相符：D1 AI Enterprise Governance；D2 Data and AI Architecture Principles；D3 AI Enterprise Integration and Performance Monitoring。</w:t>
            </w:r>
          </w:p>
        </w:tc>
        <w:tc>
          <w:tcPr>
            <w:tcW w:type="dxa" w:w="4309"/>
          </w:tcPr>
          <w:p>
            <w:r/>
            <w:r>
              <w:rPr>
                <w:b w:val="0"/>
                <w:sz w:val="18"/>
              </w:rPr>
              <w:t>按卡片的主要考点归类，你同意现在的归类。</w:t>
            </w:r>
          </w:p>
        </w:tc>
        <w:tc>
          <w:tcPr>
            <w:tcW w:type="dxa" w:w="3969"/>
          </w:tcPr>
          <w:p>
            <w:r/>
            <w:r>
              <w:rPr>
                <w:b w:val="0"/>
                <w:sz w:val="18"/>
              </w:rPr>
              <w:t>写明应归到哪个 domain 及理由。我只知道三个公开名称，不知道官方考试大纲；你若掌握官方大纲请以它为准。</w:t>
            </w:r>
          </w:p>
        </w:tc>
      </w:tr>
      <w:tr>
        <w:tc>
          <w:tcPr>
            <w:tcW w:type="dxa" w:w="1814"/>
          </w:tcPr>
          <w:p>
            <w:r/>
            <w:r>
              <w:rPr>
                <w:b w:val="0"/>
                <w:sz w:val="18"/>
              </w:rPr>
              <w:t>C6　考试相关性与范围</w:t>
            </w:r>
          </w:p>
        </w:tc>
        <w:tc>
          <w:tcPr>
            <w:tcW w:type="dxa" w:w="4535"/>
          </w:tcPr>
          <w:p>
            <w:r/>
            <w:r>
              <w:rPr>
                <w:b w:val="0"/>
                <w:sz w:val="18"/>
              </w:rPr>
              <w:t>概念是否属于 AAIG 应掌握的范围；是否是某一法域特定（如美国）的内容，且已标明。</w:t>
            </w:r>
          </w:p>
        </w:tc>
        <w:tc>
          <w:tcPr>
            <w:tcW w:type="dxa" w:w="4309"/>
          </w:tcPr>
          <w:p>
            <w:r/>
            <w:r>
              <w:rPr>
                <w:b w:val="0"/>
                <w:sz w:val="18"/>
              </w:rPr>
              <w:t>属于 AI 治理通用概念，或已标明法域；不会让学员把单一法域规则当成通用规则。</w:t>
            </w:r>
          </w:p>
        </w:tc>
        <w:tc>
          <w:tcPr>
            <w:tcW w:type="dxa" w:w="3969"/>
          </w:tcPr>
          <w:p>
            <w:r/>
            <w:r>
              <w:rPr>
                <w:b w:val="0"/>
                <w:sz w:val="18"/>
              </w:rPr>
              <w:t>写明建议：保留 / 标注法域 / 降为拓展 / 删除。</w:t>
            </w:r>
          </w:p>
        </w:tc>
      </w:tr>
      <w:tr>
        <w:tc>
          <w:tcPr>
            <w:tcW w:type="dxa" w:w="1814"/>
          </w:tcPr>
          <w:p>
            <w:r/>
            <w:r>
              <w:rPr>
                <w:b w:val="0"/>
                <w:sz w:val="18"/>
              </w:rPr>
              <w:t>C7　中立、不夸大</w:t>
            </w:r>
          </w:p>
        </w:tc>
        <w:tc>
          <w:tcPr>
            <w:tcW w:type="dxa" w:w="4535"/>
          </w:tcPr>
          <w:p>
            <w:r/>
            <w:r>
              <w:rPr>
                <w:b w:val="0"/>
                <w:sz w:val="18"/>
              </w:rPr>
              <w:t>措辞是否保留了来源里的限定条件；是否不声称"官方"、不使用来源没有的绝对化说法。</w:t>
            </w:r>
          </w:p>
        </w:tc>
        <w:tc>
          <w:tcPr>
            <w:tcW w:type="dxa" w:w="4309"/>
          </w:tcPr>
          <w:p>
            <w:r/>
            <w:r>
              <w:rPr>
                <w:b w:val="0"/>
                <w:sz w:val="18"/>
              </w:rPr>
              <w:t>"必须""绝不"等词与来源一致；有适用范围和例外的地方没有被省略。</w:t>
            </w:r>
          </w:p>
        </w:tc>
        <w:tc>
          <w:tcPr>
            <w:tcW w:type="dxa" w:w="3969"/>
          </w:tcPr>
          <w:p>
            <w:r/>
            <w:r>
              <w:rPr>
                <w:b w:val="0"/>
                <w:sz w:val="18"/>
              </w:rPr>
              <w:t>指出被夸大或漏掉限定条件的句子。</w:t>
            </w:r>
          </w:p>
        </w:tc>
      </w:tr>
    </w:tbl>
    <w:p>
      <w:r>
        <w:br w:type="page"/>
      </w:r>
    </w:p>
    <w:p>
      <w:pPr>
        <w:pStyle w:val="Heading1"/>
      </w:pPr>
      <w:r>
        <w:t>第二部分　6 条全局规则（先做这一部分）</w:t>
      </w:r>
    </w:p>
    <w:p>
      <w:pPr>
        <w:spacing w:after="60"/>
      </w:pPr>
      <w:r>
        <w:rPr>
          <w:b w:val="0"/>
          <w:sz w:val="18"/>
        </w:rPr>
        <w:t>这些规则会影响后面所有卡片怎么拆、怎么改。每条请选一个选项，或写你的意见。</w:t>
      </w:r>
    </w:p>
    <w:tbl>
      <w:tblPr>
        <w:tblStyle w:val="TableGrid"/>
        <w:tblW w:type="auto" w:w="0"/>
        <w:tblLayout w:type="fixed"/>
        <w:tblLook w:firstColumn="1" w:firstRow="1" w:lastColumn="0" w:lastRow="0" w:noHBand="0" w:noVBand="1" w:val="04A0"/>
      </w:tblPr>
      <w:tblGrid>
        <w:gridCol w:w="794"/>
        <w:gridCol w:w="2381"/>
        <w:gridCol w:w="5783"/>
        <w:gridCol w:w="5669"/>
      </w:tblGrid>
      <w:tr>
        <w:tc>
          <w:tcPr>
            <w:tcW w:type="dxa" w:w="794"/>
            <w:shd w:val="clear" w:color="auto" w:fill="D9E2F3"/>
          </w:tcPr>
          <w:p>
            <w:r/>
            <w:r>
              <w:rPr>
                <w:b/>
                <w:sz w:val="18"/>
              </w:rPr>
              <w:t>编号</w:t>
            </w:r>
          </w:p>
        </w:tc>
        <w:tc>
          <w:tcPr>
            <w:tcW w:type="dxa" w:w="2381"/>
            <w:shd w:val="clear" w:color="auto" w:fill="D9E2F3"/>
          </w:tcPr>
          <w:p>
            <w:r/>
            <w:r>
              <w:rPr>
                <w:b/>
                <w:sz w:val="18"/>
              </w:rPr>
              <w:t>要判断的事</w:t>
            </w:r>
          </w:p>
        </w:tc>
        <w:tc>
          <w:tcPr>
            <w:tcW w:type="dxa" w:w="5783"/>
            <w:shd w:val="clear" w:color="auto" w:fill="D9E2F3"/>
          </w:tcPr>
          <w:p>
            <w:r/>
            <w:r>
              <w:rPr>
                <w:b/>
                <w:sz w:val="18"/>
              </w:rPr>
              <w:t>现状</w:t>
            </w:r>
          </w:p>
        </w:tc>
        <w:tc>
          <w:tcPr>
            <w:tcW w:type="dxa" w:w="5669"/>
            <w:shd w:val="clear" w:color="auto" w:fill="D9E2F3"/>
          </w:tcPr>
          <w:p>
            <w:r/>
            <w:r>
              <w:rPr>
                <w:b/>
                <w:sz w:val="18"/>
              </w:rPr>
              <w:t>你的选择</w:t>
            </w:r>
          </w:p>
        </w:tc>
      </w:tr>
      <w:tr>
        <w:tc>
          <w:tcPr>
            <w:tcW w:type="dxa" w:w="794"/>
          </w:tcPr>
          <w:p>
            <w:r/>
            <w:r>
              <w:rPr>
                <w:b w:val="0"/>
                <w:sz w:val="18"/>
              </w:rPr>
              <w:t>J1</w:t>
            </w:r>
          </w:p>
        </w:tc>
        <w:tc>
          <w:tcPr>
            <w:tcW w:type="dxa" w:w="2381"/>
          </w:tcPr>
          <w:p>
            <w:r/>
            <w:r>
              <w:rPr>
                <w:b w:val="0"/>
                <w:sz w:val="18"/>
              </w:rPr>
              <w:t>背面字数上限</w:t>
            </w:r>
          </w:p>
        </w:tc>
        <w:tc>
          <w:tcPr>
            <w:tcW w:type="dxa" w:w="5783"/>
          </w:tcPr>
          <w:p>
            <w:r/>
            <w:r>
              <w:rPr>
                <w:b w:val="0"/>
                <w:sz w:val="18"/>
              </w:rPr>
              <w:t>现在：中位数 622 字，22 张超过 600 字，最长 1321 字；35/40 张在界面里需要在卡片内滚动。</w:t>
            </w:r>
          </w:p>
        </w:tc>
        <w:tc>
          <w:tcPr>
            <w:tcW w:type="dxa" w:w="5669"/>
          </w:tcPr>
          <w:p>
            <w:r/>
            <w:r>
              <w:rPr>
                <w:b w:val="0"/>
                <w:sz w:val="18"/>
              </w:rPr>
              <w:t>□ 400 字　□ 500 字　□ 600 字　□ 不设上限，只拆明显过长的　□ 其他：____</w:t>
            </w:r>
          </w:p>
        </w:tc>
      </w:tr>
      <w:tr>
        <w:tc>
          <w:tcPr>
            <w:tcW w:type="dxa" w:w="794"/>
          </w:tcPr>
          <w:p>
            <w:r/>
            <w:r>
              <w:rPr>
                <w:b w:val="0"/>
                <w:sz w:val="18"/>
              </w:rPr>
              <w:t>J2</w:t>
            </w:r>
          </w:p>
        </w:tc>
        <w:tc>
          <w:tcPr>
            <w:tcW w:type="dxa" w:w="2381"/>
          </w:tcPr>
          <w:p>
            <w:r/>
            <w:r>
              <w:rPr>
                <w:b w:val="0"/>
                <w:sz w:val="18"/>
              </w:rPr>
              <w:t>"Study Takeaway"（要点）字段</w:t>
            </w:r>
          </w:p>
        </w:tc>
        <w:tc>
          <w:tcPr>
            <w:tcW w:type="dxa" w:w="5783"/>
          </w:tcPr>
          <w:p>
            <w:r/>
            <w:r>
              <w:rPr>
                <w:b w:val="0"/>
                <w:sz w:val="18"/>
              </w:rPr>
              <w:t>现在：中位数 207 字，9 张超过 250 字，多数是对背面的复述，且同样要滚动才看得到。</w:t>
            </w:r>
          </w:p>
        </w:tc>
        <w:tc>
          <w:tcPr>
            <w:tcW w:type="dxa" w:w="5669"/>
          </w:tcPr>
          <w:p>
            <w:r/>
            <w:r>
              <w:rPr>
                <w:b w:val="0"/>
                <w:sz w:val="18"/>
              </w:rPr>
              <w:t>□ 保留，限制在一句话（约 100 字）　□ 保留，不限制　□ 删除，只保留背面　□ 其他：____</w:t>
            </w:r>
          </w:p>
        </w:tc>
      </w:tr>
      <w:tr>
        <w:tc>
          <w:tcPr>
            <w:tcW w:type="dxa" w:w="794"/>
          </w:tcPr>
          <w:p>
            <w:r/>
            <w:r>
              <w:rPr>
                <w:b w:val="0"/>
                <w:sz w:val="18"/>
              </w:rPr>
              <w:t>J3</w:t>
            </w:r>
          </w:p>
        </w:tc>
        <w:tc>
          <w:tcPr>
            <w:tcW w:type="dxa" w:w="2381"/>
          </w:tcPr>
          <w:p>
            <w:r/>
            <w:r>
              <w:rPr>
                <w:b w:val="0"/>
                <w:sz w:val="18"/>
              </w:rPr>
              <w:t>一卡一问</w:t>
            </w:r>
          </w:p>
        </w:tc>
        <w:tc>
          <w:tcPr>
            <w:tcW w:type="dxa" w:w="5783"/>
          </w:tcPr>
          <w:p>
            <w:r/>
            <w:r>
              <w:rPr>
                <w:b w:val="0"/>
                <w:sz w:val="18"/>
              </w:rPr>
              <w:t>12 张卡的正面一次问两件事（清单见 3.2）。拆开后每张卡只问一件事。</w:t>
            </w:r>
          </w:p>
        </w:tc>
        <w:tc>
          <w:tcPr>
            <w:tcW w:type="dxa" w:w="5669"/>
          </w:tcPr>
          <w:p>
            <w:r/>
            <w:r>
              <w:rPr>
                <w:b w:val="0"/>
                <w:sz w:val="18"/>
              </w:rPr>
              <w:t>□ 同意全部拆分　□ 逐张决定（在 3.2 表中勾选）　□ 不同意，保留复合问题</w:t>
            </w:r>
          </w:p>
        </w:tc>
      </w:tr>
      <w:tr>
        <w:tc>
          <w:tcPr>
            <w:tcW w:type="dxa" w:w="794"/>
          </w:tcPr>
          <w:p>
            <w:r/>
            <w:r>
              <w:rPr>
                <w:b w:val="0"/>
                <w:sz w:val="18"/>
              </w:rPr>
              <w:t>J4</w:t>
            </w:r>
          </w:p>
        </w:tc>
        <w:tc>
          <w:tcPr>
            <w:tcW w:type="dxa" w:w="2381"/>
          </w:tcPr>
          <w:p>
            <w:r/>
            <w:r>
              <w:rPr>
                <w:b w:val="0"/>
                <w:sz w:val="18"/>
              </w:rPr>
              <w:t>单一法域内容</w:t>
            </w:r>
          </w:p>
        </w:tc>
        <w:tc>
          <w:tcPr>
            <w:tcW w:type="dxa" w:w="5783"/>
          </w:tcPr>
          <w:p>
            <w:r/>
            <w:r>
              <w:rPr>
                <w:b w:val="0"/>
                <w:sz w:val="18"/>
              </w:rPr>
              <w:t>fc-07（美国 Caremark 董事监督义务）、fc-19（美国 Title VII 差别影响与 29 CFR 1607.4(D) 四五分之四规则）。内容我读起来准确，但 AAIG 是全球认证。</w:t>
            </w:r>
          </w:p>
        </w:tc>
        <w:tc>
          <w:tcPr>
            <w:tcW w:type="dxa" w:w="5669"/>
          </w:tcPr>
          <w:p>
            <w:r/>
            <w:r>
              <w:rPr>
                <w:b w:val="0"/>
                <w:sz w:val="18"/>
              </w:rPr>
              <w:t>□ 保留，在卡片上标注"美国特定"　□ 降为拓展卡，不出现在主复习序列　□ 删除　□ 保留不改</w:t>
            </w:r>
          </w:p>
        </w:tc>
      </w:tr>
      <w:tr>
        <w:tc>
          <w:tcPr>
            <w:tcW w:type="dxa" w:w="794"/>
          </w:tcPr>
          <w:p>
            <w:r/>
            <w:r>
              <w:rPr>
                <w:b w:val="0"/>
                <w:sz w:val="18"/>
              </w:rPr>
              <w:t>J5</w:t>
            </w:r>
          </w:p>
        </w:tc>
        <w:tc>
          <w:tcPr>
            <w:tcW w:type="dxa" w:w="2381"/>
          </w:tcPr>
          <w:p>
            <w:r/>
            <w:r>
              <w:rPr>
                <w:b w:val="0"/>
                <w:sz w:val="18"/>
              </w:rPr>
              <w:t>新增卡片的出处标注</w:t>
            </w:r>
          </w:p>
        </w:tc>
        <w:tc>
          <w:tcPr>
            <w:tcW w:type="dxa" w:w="5783"/>
          </w:tcPr>
          <w:p>
            <w:r/>
            <w:r>
              <w:rPr>
                <w:b w:val="0"/>
                <w:sz w:val="18"/>
              </w:rPr>
              <w:t>新增卡的出处我只能凭记忆写，没有核对原文。</w:t>
            </w:r>
          </w:p>
        </w:tc>
        <w:tc>
          <w:tcPr>
            <w:tcW w:type="dxa" w:w="5669"/>
          </w:tcPr>
          <w:p>
            <w:r/>
            <w:r>
              <w:rPr>
                <w:b w:val="0"/>
                <w:sz w:val="18"/>
              </w:rPr>
              <w:t>□ 新卡先标"待核验"，核实后才算正式　□ 只有你核实过出处的新卡才收进题库　□ 其他：____</w:t>
            </w:r>
          </w:p>
        </w:tc>
      </w:tr>
      <w:tr>
        <w:tc>
          <w:tcPr>
            <w:tcW w:type="dxa" w:w="794"/>
          </w:tcPr>
          <w:p>
            <w:r/>
            <w:r>
              <w:rPr>
                <w:b w:val="0"/>
                <w:sz w:val="18"/>
              </w:rPr>
              <w:t>J6</w:t>
            </w:r>
          </w:p>
        </w:tc>
        <w:tc>
          <w:tcPr>
            <w:tcW w:type="dxa" w:w="2381"/>
          </w:tcPr>
          <w:p>
            <w:r/>
            <w:r>
              <w:rPr>
                <w:b w:val="0"/>
                <w:sz w:val="18"/>
              </w:rPr>
              <w:t>卡片复习顺序</w:t>
            </w:r>
          </w:p>
        </w:tc>
        <w:tc>
          <w:tcPr>
            <w:tcW w:type="dxa" w:w="5783"/>
          </w:tcPr>
          <w:p>
            <w:r/>
            <w:r>
              <w:rPr>
                <w:b w:val="0"/>
                <w:sz w:val="18"/>
              </w:rPr>
              <w:t>现在只有"困难 / 需要复习 / 已掌握"三档，卡片固定顺序出现，选"困难"的不会更早回来。</w:t>
            </w:r>
          </w:p>
        </w:tc>
        <w:tc>
          <w:tcPr>
            <w:tcW w:type="dxa" w:w="5669"/>
          </w:tcPr>
          <w:p>
            <w:r/>
            <w:r>
              <w:rPr>
                <w:b w:val="0"/>
                <w:sz w:val="18"/>
              </w:rPr>
              <w:t>□ 需要：改成"困难和未见过的卡片优先"（与题目的弱项优先一致）　□ 不需要，保持现状</w:t>
            </w:r>
          </w:p>
        </w:tc>
      </w:tr>
    </w:tbl>
    <w:p>
      <w:r>
        <w:br w:type="page"/>
      </w:r>
    </w:p>
    <w:p>
      <w:pPr>
        <w:pStyle w:val="Heading1"/>
      </w:pPr>
      <w:r>
        <w:t>第三部分　需要你拍板的具体事项</w:t>
      </w:r>
    </w:p>
    <w:p>
      <w:pPr>
        <w:pStyle w:val="Heading2"/>
      </w:pPr>
      <w:r>
        <w:t>3.1　个别卡片的内容疑点（9 项）</w:t>
      </w:r>
    </w:p>
    <w:p>
      <w:pPr>
        <w:spacing w:after="60"/>
      </w:pPr>
      <w:r>
        <w:rPr>
          <w:b w:val="0"/>
          <w:sz w:val="18"/>
        </w:rPr>
        <w:t>下面每一项我都写了我的疑点、我手上缺什么、以及请你做出的具体判断。标"待补证"的是 2026-10-14 复核里已经列出的。</w:t>
      </w:r>
    </w:p>
    <w:tbl>
      <w:tblPr>
        <w:tblStyle w:val="TableGrid"/>
        <w:tblW w:type="auto" w:w="0"/>
        <w:tblLayout w:type="fixed"/>
        <w:tblLook w:firstColumn="1" w:firstRow="1" w:lastColumn="0" w:lastRow="0" w:noHBand="0" w:noVBand="1" w:val="04A0"/>
      </w:tblPr>
      <w:tblGrid>
        <w:gridCol w:w="1247"/>
        <w:gridCol w:w="13153"/>
      </w:tblGrid>
      <w:tr>
        <w:tc>
          <w:tcPr>
            <w:tcW w:type="dxa" w:w="1247"/>
            <w:shd w:val="clear" w:color="auto" w:fill="FFF2CC"/>
          </w:tcPr>
          <w:p>
            <w:r/>
            <w:r>
              <w:rPr>
                <w:b/>
              </w:rPr>
              <w:t>J7</w:t>
            </w:r>
          </w:p>
        </w:tc>
        <w:tc>
          <w:tcPr>
            <w:tcW w:type="dxa" w:w="13153"/>
            <w:shd w:val="clear" w:color="auto" w:fill="FFF2CC"/>
          </w:tcPr>
          <w:p>
            <w:r/>
            <w:r>
              <w:rPr>
                <w:b/>
              </w:rPr>
              <w:t>fc-12　Data Drift vs. Concept Drift（D2，待补证）</w:t>
            </w:r>
          </w:p>
        </w:tc>
      </w:tr>
      <w:tr>
        <w:tc>
          <w:tcPr>
            <w:tcW w:type="dxa" w:w="1247"/>
          </w:tcPr>
          <w:p>
            <w:r/>
            <w:r>
              <w:rPr>
                <w:b/>
              </w:rPr>
              <w:t>疑点</w:t>
            </w:r>
          </w:p>
        </w:tc>
        <w:tc>
          <w:tcPr>
            <w:tcW w:type="dxa" w:w="13153"/>
          </w:tcPr>
          <w:p>
            <w:r/>
            <w:r>
              <w:rPr>
                <w:b w:val="0"/>
              </w:rPr>
              <w:t>来源写的是 "ISO/IEC 23894"。我的疑点：该标准讲 AI 风险管理，我不认为它定义了漂移类型；卡片里的定义（data drift = 输入分布 P(X) 变化；concept drift = 输入与目标关系 P(Y|X) 变化）本身是机器学习的通用定义。</w:t>
            </w:r>
          </w:p>
        </w:tc>
      </w:tr>
      <w:tr>
        <w:tc>
          <w:tcPr>
            <w:tcW w:type="dxa" w:w="1247"/>
          </w:tcPr>
          <w:p>
            <w:r/>
            <w:r>
              <w:rPr>
                <w:b/>
              </w:rPr>
              <w:t>请判断</w:t>
            </w:r>
          </w:p>
        </w:tc>
        <w:tc>
          <w:tcPr>
            <w:tcW w:type="dxa" w:w="13153"/>
          </w:tcPr>
          <w:p>
            <w:r/>
            <w:r>
              <w:rPr>
                <w:b w:val="0"/>
              </w:rPr>
              <w:t>1）定义是否同意？□ 同意　□ 需修改：____</w:t>
              <w:br/>
              <w:t>2）来源应改成？□ NIST AI RMF（条款：____）　□ 学术或行业文献（____）　□ 其他：____</w:t>
              <w:br/>
              <w:t>3）归类：这张卡讲模型漂移，对应 D3 的"模型漂移与性能监控"。□ 改为 D3　□ 保留 D2</w:t>
            </w:r>
          </w:p>
        </w:tc>
      </w:tr>
    </w:tbl>
    <w:p>
      <w:pPr>
        <w:spacing w:after="80"/>
      </w:pPr>
      <w:r>
        <w:rPr>
          <w:b w:val="0"/>
        </w:rPr>
      </w:r>
    </w:p>
    <w:tbl>
      <w:tblPr>
        <w:tblStyle w:val="TableGrid"/>
        <w:tblW w:type="auto" w:w="0"/>
        <w:tblLayout w:type="fixed"/>
        <w:tblLook w:firstColumn="1" w:firstRow="1" w:lastColumn="0" w:lastRow="0" w:noHBand="0" w:noVBand="1" w:val="04A0"/>
      </w:tblPr>
      <w:tblGrid>
        <w:gridCol w:w="1247"/>
        <w:gridCol w:w="13153"/>
      </w:tblGrid>
      <w:tr>
        <w:tc>
          <w:tcPr>
            <w:tcW w:type="dxa" w:w="1247"/>
            <w:shd w:val="clear" w:color="auto" w:fill="FFF2CC"/>
          </w:tcPr>
          <w:p>
            <w:r/>
            <w:r>
              <w:rPr>
                <w:b/>
              </w:rPr>
              <w:t>J8</w:t>
            </w:r>
          </w:p>
        </w:tc>
        <w:tc>
          <w:tcPr>
            <w:tcW w:type="dxa" w:w="13153"/>
            <w:shd w:val="clear" w:color="auto" w:fill="FFF2CC"/>
          </w:tcPr>
          <w:p>
            <w:r/>
            <w:r>
              <w:rPr>
                <w:b/>
              </w:rPr>
              <w:t>fc-04　AI Risk Appetite vs. Risk Tolerance（D1，待补证）</w:t>
            </w:r>
          </w:p>
        </w:tc>
      </w:tr>
      <w:tr>
        <w:tc>
          <w:tcPr>
            <w:tcW w:type="dxa" w:w="1247"/>
          </w:tcPr>
          <w:p>
            <w:r/>
            <w:r>
              <w:rPr>
                <w:b/>
              </w:rPr>
              <w:t>疑点</w:t>
            </w:r>
          </w:p>
        </w:tc>
        <w:tc>
          <w:tcPr>
            <w:tcW w:type="dxa" w:w="13153"/>
          </w:tcPr>
          <w:p>
            <w:r/>
            <w:r>
              <w:rPr>
                <w:b w:val="0"/>
              </w:rPr>
              <w:t>来源只写 "COBIT 2019 EDM03"，没有说明两个定义出自哪里。卡片说风险偏好"由董事会设定"。</w:t>
            </w:r>
          </w:p>
        </w:tc>
      </w:tr>
      <w:tr>
        <w:tc>
          <w:tcPr>
            <w:tcW w:type="dxa" w:w="1247"/>
          </w:tcPr>
          <w:p>
            <w:r/>
            <w:r>
              <w:rPr>
                <w:b/>
              </w:rPr>
              <w:t>请判断</w:t>
            </w:r>
          </w:p>
        </w:tc>
        <w:tc>
          <w:tcPr>
            <w:tcW w:type="dxa" w:w="13153"/>
          </w:tcPr>
          <w:p>
            <w:r/>
            <w:r>
              <w:rPr>
                <w:b w:val="0"/>
              </w:rPr>
              <w:t>1）定义出处是？□ COBIT 2019 EDM03　□ ISO 31000 / ISO Guide 73　□ 其他：____</w:t>
              <w:br/>
              <w:t>2）"由董事会设定"是否准确？□ 准确　□ 改为"由治理机构或最高管理层设定，视组织而定"</w:t>
            </w:r>
          </w:p>
        </w:tc>
      </w:tr>
    </w:tbl>
    <w:p>
      <w:pPr>
        <w:spacing w:after="80"/>
      </w:pPr>
      <w:r>
        <w:rPr>
          <w:b w:val="0"/>
        </w:rPr>
      </w:r>
    </w:p>
    <w:tbl>
      <w:tblPr>
        <w:tblStyle w:val="TableGrid"/>
        <w:tblW w:type="auto" w:w="0"/>
        <w:tblLayout w:type="fixed"/>
        <w:tblLook w:firstColumn="1" w:firstRow="1" w:lastColumn="0" w:lastRow="0" w:noHBand="0" w:noVBand="1" w:val="04A0"/>
      </w:tblPr>
      <w:tblGrid>
        <w:gridCol w:w="1247"/>
        <w:gridCol w:w="13153"/>
      </w:tblGrid>
      <w:tr>
        <w:tc>
          <w:tcPr>
            <w:tcW w:type="dxa" w:w="1247"/>
            <w:shd w:val="clear" w:color="auto" w:fill="FFF2CC"/>
          </w:tcPr>
          <w:p>
            <w:r/>
            <w:r>
              <w:rPr>
                <w:b/>
              </w:rPr>
              <w:t>J9</w:t>
            </w:r>
          </w:p>
        </w:tc>
        <w:tc>
          <w:tcPr>
            <w:tcW w:type="dxa" w:w="13153"/>
            <w:shd w:val="clear" w:color="auto" w:fill="FFF2CC"/>
          </w:tcPr>
          <w:p>
            <w:r/>
            <w:r>
              <w:rPr>
                <w:b/>
              </w:rPr>
              <w:t>fc-32　ISO/IEC 42001 与 Statement of Applicability（D1，待补证）</w:t>
            </w:r>
          </w:p>
        </w:tc>
      </w:tr>
      <w:tr>
        <w:tc>
          <w:tcPr>
            <w:tcW w:type="dxa" w:w="1247"/>
          </w:tcPr>
          <w:p>
            <w:r/>
            <w:r>
              <w:rPr>
                <w:b/>
              </w:rPr>
              <w:t>疑点</w:t>
            </w:r>
          </w:p>
        </w:tc>
        <w:tc>
          <w:tcPr>
            <w:tcW w:type="dxa" w:w="13153"/>
          </w:tcPr>
          <w:p>
            <w:r/>
            <w:r>
              <w:rPr>
                <w:b w:val="0"/>
              </w:rPr>
              <w:t>卡片说 SoA 记录"已选或已排除的 Annex A 控制，并有风险评估和法律合规义务作为依据"。我的理解是 SoA 记录必要的控制、纳入理由、是否已实施，以及排除理由；"法律合规义务"这一说法我无法确认。另外卡片说 42001 "基于 PDCA"，请确认。</w:t>
            </w:r>
          </w:p>
        </w:tc>
      </w:tr>
      <w:tr>
        <w:tc>
          <w:tcPr>
            <w:tcW w:type="dxa" w:w="1247"/>
          </w:tcPr>
          <w:p>
            <w:r/>
            <w:r>
              <w:rPr>
                <w:b/>
              </w:rPr>
              <w:t>请判断</w:t>
            </w:r>
          </w:p>
        </w:tc>
        <w:tc>
          <w:tcPr>
            <w:tcW w:type="dxa" w:w="13153"/>
          </w:tcPr>
          <w:p>
            <w:r/>
            <w:r>
              <w:rPr>
                <w:b w:val="0"/>
              </w:rPr>
              <w:t>请对照 ISO/IEC 42001:2023 第 6.1.3 条正版文本：</w:t>
              <w:br/>
              <w:t>1）SoA 必须包含：□ 必要控制　□ 纳入理由　□ 实施状态　□ 排除理由　□ 其他：____</w:t>
              <w:br/>
              <w:t>2）"法律合规义务"是否应出现在 SoA 的说明里？□ 是　□ 否，删除</w:t>
              <w:br/>
              <w:t>3）"基于 PDCA"：□ 准确　□ 改为：____</w:t>
            </w:r>
          </w:p>
        </w:tc>
      </w:tr>
    </w:tbl>
    <w:p>
      <w:pPr>
        <w:spacing w:after="80"/>
      </w:pPr>
      <w:r>
        <w:rPr>
          <w:b w:val="0"/>
        </w:rPr>
      </w:r>
    </w:p>
    <w:tbl>
      <w:tblPr>
        <w:tblStyle w:val="TableGrid"/>
        <w:tblW w:type="auto" w:w="0"/>
        <w:tblLayout w:type="fixed"/>
        <w:tblLook w:firstColumn="1" w:firstRow="1" w:lastColumn="0" w:lastRow="0" w:noHBand="0" w:noVBand="1" w:val="04A0"/>
      </w:tblPr>
      <w:tblGrid>
        <w:gridCol w:w="1247"/>
        <w:gridCol w:w="13153"/>
      </w:tblGrid>
      <w:tr>
        <w:tc>
          <w:tcPr>
            <w:tcW w:type="dxa" w:w="1247"/>
            <w:shd w:val="clear" w:color="auto" w:fill="FFF2CC"/>
          </w:tcPr>
          <w:p>
            <w:r/>
            <w:r>
              <w:rPr>
                <w:b/>
              </w:rPr>
              <w:t>J10</w:t>
            </w:r>
          </w:p>
        </w:tc>
        <w:tc>
          <w:tcPr>
            <w:tcW w:type="dxa" w:w="13153"/>
            <w:shd w:val="clear" w:color="auto" w:fill="FFF2CC"/>
          </w:tcPr>
          <w:p>
            <w:r/>
            <w:r>
              <w:rPr>
                <w:b/>
              </w:rPr>
              <w:t>fc-10　AI Whistleblowing &amp; Safe Harbor Channels（D1）</w:t>
            </w:r>
          </w:p>
        </w:tc>
      </w:tr>
      <w:tr>
        <w:tc>
          <w:tcPr>
            <w:tcW w:type="dxa" w:w="1247"/>
          </w:tcPr>
          <w:p>
            <w:r/>
            <w:r>
              <w:rPr>
                <w:b/>
              </w:rPr>
              <w:t>疑点</w:t>
            </w:r>
          </w:p>
        </w:tc>
        <w:tc>
          <w:tcPr>
            <w:tcW w:type="dxa" w:w="13153"/>
          </w:tcPr>
          <w:p>
            <w:r/>
            <w:r>
              <w:rPr>
                <w:b w:val="0"/>
              </w:rPr>
              <w:t>来源引用 NIST AI RMF GOVERN 4.2 和 4.3。我的印象是这两条讲风险与影响文档化、事件识别与信息共享，并不直接涉及举报保护；我记得 EU AI Act 第 87 条把欧盟举报人指令（2019/1937）适用于报告 AI Act 违规，这更贴切，但我没有原文可核。</w:t>
            </w:r>
          </w:p>
        </w:tc>
      </w:tr>
      <w:tr>
        <w:tc>
          <w:tcPr>
            <w:tcW w:type="dxa" w:w="1247"/>
          </w:tcPr>
          <w:p>
            <w:r/>
            <w:r>
              <w:rPr>
                <w:b/>
              </w:rPr>
              <w:t>请判断</w:t>
            </w:r>
          </w:p>
        </w:tc>
        <w:tc>
          <w:tcPr>
            <w:tcW w:type="dxa" w:w="13153"/>
          </w:tcPr>
          <w:p>
            <w:r/>
            <w:r>
              <w:rPr>
                <w:b w:val="0"/>
              </w:rPr>
              <w:t>1）GOVERN 4.2/4.3 是否支持这张卡的内容？□ 支持　□ 不支持</w:t>
              <w:br/>
              <w:t>2）来源应改成？□ EU Directive 2019/1937　□ EU AI Act 第 87 条　□ NIST AI RMF（条款：____）　□ 其他：____</w:t>
            </w:r>
          </w:p>
        </w:tc>
      </w:tr>
    </w:tbl>
    <w:p>
      <w:pPr>
        <w:spacing w:after="80"/>
      </w:pPr>
      <w:r>
        <w:rPr>
          <w:b w:val="0"/>
        </w:rPr>
      </w:r>
    </w:p>
    <w:tbl>
      <w:tblPr>
        <w:tblStyle w:val="TableGrid"/>
        <w:tblW w:type="auto" w:w="0"/>
        <w:tblLayout w:type="fixed"/>
        <w:tblLook w:firstColumn="1" w:firstRow="1" w:lastColumn="0" w:lastRow="0" w:noHBand="0" w:noVBand="1" w:val="04A0"/>
      </w:tblPr>
      <w:tblGrid>
        <w:gridCol w:w="1247"/>
        <w:gridCol w:w="13153"/>
      </w:tblGrid>
      <w:tr>
        <w:tc>
          <w:tcPr>
            <w:tcW w:type="dxa" w:w="1247"/>
            <w:shd w:val="clear" w:color="auto" w:fill="FFF2CC"/>
          </w:tcPr>
          <w:p>
            <w:r/>
            <w:r>
              <w:rPr>
                <w:b/>
              </w:rPr>
              <w:t>J11</w:t>
            </w:r>
          </w:p>
        </w:tc>
        <w:tc>
          <w:tcPr>
            <w:tcW w:type="dxa" w:w="13153"/>
            <w:shd w:val="clear" w:color="auto" w:fill="FFF2CC"/>
          </w:tcPr>
          <w:p>
            <w:r/>
            <w:r>
              <w:rPr>
                <w:b/>
              </w:rPr>
              <w:t>fc-13　Proxy Discrimination（D2）</w:t>
            </w:r>
          </w:p>
        </w:tc>
      </w:tr>
      <w:tr>
        <w:tc>
          <w:tcPr>
            <w:tcW w:type="dxa" w:w="1247"/>
          </w:tcPr>
          <w:p>
            <w:r/>
            <w:r>
              <w:rPr>
                <w:b/>
              </w:rPr>
              <w:t>疑点</w:t>
            </w:r>
          </w:p>
        </w:tc>
        <w:tc>
          <w:tcPr>
            <w:tcW w:type="dxa" w:w="13153"/>
          </w:tcPr>
          <w:p>
            <w:r/>
            <w:r>
              <w:rPr>
                <w:b w:val="0"/>
              </w:rPr>
              <w:t>正面问"为什么难以检测"，背面只给了定义，没有回答"为什么难"。</w:t>
            </w:r>
          </w:p>
        </w:tc>
      </w:tr>
      <w:tr>
        <w:tc>
          <w:tcPr>
            <w:tcW w:type="dxa" w:w="1247"/>
          </w:tcPr>
          <w:p>
            <w:r/>
            <w:r>
              <w:rPr>
                <w:b/>
              </w:rPr>
              <w:t>请判断</w:t>
            </w:r>
          </w:p>
        </w:tc>
        <w:tc>
          <w:tcPr>
            <w:tcW w:type="dxa" w:w="13153"/>
          </w:tcPr>
          <w:p>
            <w:r/>
            <w:r>
              <w:rPr>
                <w:b w:val="0"/>
              </w:rPr>
              <w:t>我建议在背面补一句（待你确认）：代理变量与受保护特征的关联往往是间接、非线性的，去掉受保护属性并不去掉这个信号，只有按群体检验结果才能发现。</w:t>
              <w:br/>
              <w:t>□ 同意补这句　□ 修改为：____　□ 改正面，不再问"为什么难以检测"</w:t>
            </w:r>
          </w:p>
        </w:tc>
      </w:tr>
    </w:tbl>
    <w:p>
      <w:pPr>
        <w:spacing w:after="80"/>
      </w:pPr>
      <w:r>
        <w:rPr>
          <w:b w:val="0"/>
        </w:rPr>
      </w:r>
    </w:p>
    <w:tbl>
      <w:tblPr>
        <w:tblStyle w:val="TableGrid"/>
        <w:tblW w:type="auto" w:w="0"/>
        <w:tblLayout w:type="fixed"/>
        <w:tblLook w:firstColumn="1" w:firstRow="1" w:lastColumn="0" w:lastRow="0" w:noHBand="0" w:noVBand="1" w:val="04A0"/>
      </w:tblPr>
      <w:tblGrid>
        <w:gridCol w:w="1247"/>
        <w:gridCol w:w="13153"/>
      </w:tblGrid>
      <w:tr>
        <w:tc>
          <w:tcPr>
            <w:tcW w:type="dxa" w:w="1247"/>
            <w:shd w:val="clear" w:color="auto" w:fill="FFF2CC"/>
          </w:tcPr>
          <w:p>
            <w:r/>
            <w:r>
              <w:rPr>
                <w:b/>
              </w:rPr>
              <w:t>J12</w:t>
            </w:r>
          </w:p>
        </w:tc>
        <w:tc>
          <w:tcPr>
            <w:tcW w:type="dxa" w:w="13153"/>
            <w:shd w:val="clear" w:color="auto" w:fill="FFF2CC"/>
          </w:tcPr>
          <w:p>
            <w:r/>
            <w:r>
              <w:rPr>
                <w:b/>
              </w:rPr>
              <w:t>fc-02　AI Governance Steering Committee Charter（D1）</w:t>
            </w:r>
          </w:p>
        </w:tc>
      </w:tr>
      <w:tr>
        <w:tc>
          <w:tcPr>
            <w:tcW w:type="dxa" w:w="1247"/>
          </w:tcPr>
          <w:p>
            <w:r/>
            <w:r>
              <w:rPr>
                <w:b/>
              </w:rPr>
              <w:t>疑点</w:t>
            </w:r>
          </w:p>
        </w:tc>
        <w:tc>
          <w:tcPr>
            <w:tcW w:type="dxa" w:w="13153"/>
          </w:tcPr>
          <w:p>
            <w:r/>
            <w:r>
              <w:rPr>
                <w:b w:val="0"/>
              </w:rPr>
              <w:t>要点末句"同时允许并行遏制紧急的运营危害"与正面"首要职责是什么"不对应，像是复核时插入的。</w:t>
            </w:r>
          </w:p>
        </w:tc>
      </w:tr>
      <w:tr>
        <w:tc>
          <w:tcPr>
            <w:tcW w:type="dxa" w:w="1247"/>
          </w:tcPr>
          <w:p>
            <w:r/>
            <w:r>
              <w:rPr>
                <w:b/>
              </w:rPr>
              <w:t>请判断</w:t>
            </w:r>
          </w:p>
        </w:tc>
        <w:tc>
          <w:tcPr>
            <w:tcW w:type="dxa" w:w="13153"/>
          </w:tcPr>
          <w:p>
            <w:r/>
            <w:r>
              <w:rPr>
                <w:b w:val="0"/>
              </w:rPr>
              <w:t>□ 保留该句　□ 删除该句　□ 改为：____</w:t>
            </w:r>
          </w:p>
        </w:tc>
      </w:tr>
    </w:tbl>
    <w:p>
      <w:pPr>
        <w:spacing w:after="80"/>
      </w:pPr>
      <w:r>
        <w:rPr>
          <w:b w:val="0"/>
        </w:rPr>
      </w:r>
    </w:p>
    <w:tbl>
      <w:tblPr>
        <w:tblStyle w:val="TableGrid"/>
        <w:tblW w:type="auto" w:w="0"/>
        <w:tblLayout w:type="fixed"/>
        <w:tblLook w:firstColumn="1" w:firstRow="1" w:lastColumn="0" w:lastRow="0" w:noHBand="0" w:noVBand="1" w:val="04A0"/>
      </w:tblPr>
      <w:tblGrid>
        <w:gridCol w:w="1247"/>
        <w:gridCol w:w="13153"/>
      </w:tblGrid>
      <w:tr>
        <w:tc>
          <w:tcPr>
            <w:tcW w:type="dxa" w:w="1247"/>
            <w:shd w:val="clear" w:color="auto" w:fill="FFF2CC"/>
          </w:tcPr>
          <w:p>
            <w:r/>
            <w:r>
              <w:rPr>
                <w:b/>
              </w:rPr>
              <w:t>J13</w:t>
            </w:r>
          </w:p>
        </w:tc>
        <w:tc>
          <w:tcPr>
            <w:tcW w:type="dxa" w:w="13153"/>
            <w:shd w:val="clear" w:color="auto" w:fill="FFF2CC"/>
          </w:tcPr>
          <w:p>
            <w:r/>
            <w:r>
              <w:rPr>
                <w:b/>
              </w:rPr>
              <w:t>fc-39　Conformity Assessment（D1）</w:t>
            </w:r>
          </w:p>
        </w:tc>
      </w:tr>
      <w:tr>
        <w:tc>
          <w:tcPr>
            <w:tcW w:type="dxa" w:w="1247"/>
          </w:tcPr>
          <w:p>
            <w:r/>
            <w:r>
              <w:rPr>
                <w:b/>
              </w:rPr>
              <w:t>疑点</w:t>
            </w:r>
          </w:p>
        </w:tc>
        <w:tc>
          <w:tcPr>
            <w:tcW w:type="dxa" w:w="13153"/>
          </w:tcPr>
          <w:p>
            <w:r/>
            <w:r>
              <w:rPr>
                <w:b w:val="0"/>
              </w:rPr>
              <w:t>正面问"两条主要路径"，背面实际写的是：附件 III 第 2 至 8 点通常走内部控制（附件 VI）；附件 III 第 1 点可走内部控制或经公告机构评估（附件 VII）；附件 I 的产品类按行业法规。"两条路径"与背面不完全一致。</w:t>
            </w:r>
          </w:p>
        </w:tc>
      </w:tr>
      <w:tr>
        <w:tc>
          <w:tcPr>
            <w:tcW w:type="dxa" w:w="1247"/>
          </w:tcPr>
          <w:p>
            <w:r/>
            <w:r>
              <w:rPr>
                <w:b/>
              </w:rPr>
              <w:t>请判断</w:t>
            </w:r>
          </w:p>
        </w:tc>
        <w:tc>
          <w:tcPr>
            <w:tcW w:type="dxa" w:w="13153"/>
          </w:tcPr>
          <w:p>
            <w:r/>
            <w:r>
              <w:rPr>
                <w:b w:val="0"/>
              </w:rPr>
              <w:t>□ 正面改为"EU AI Act 第 43 条下，符合性评估的路径如何随高风险系统类别而不同？"　□ 保留正面，背面说明"两条路径"指内部控制与公告机构　□ 其他：____</w:t>
            </w:r>
          </w:p>
        </w:tc>
      </w:tr>
    </w:tbl>
    <w:p>
      <w:pPr>
        <w:spacing w:after="80"/>
      </w:pPr>
      <w:r>
        <w:rPr>
          <w:b w:val="0"/>
        </w:rPr>
      </w:r>
    </w:p>
    <w:tbl>
      <w:tblPr>
        <w:tblStyle w:val="TableGrid"/>
        <w:tblW w:type="auto" w:w="0"/>
        <w:tblLayout w:type="fixed"/>
        <w:tblLook w:firstColumn="1" w:firstRow="1" w:lastColumn="0" w:lastRow="0" w:noHBand="0" w:noVBand="1" w:val="04A0"/>
      </w:tblPr>
      <w:tblGrid>
        <w:gridCol w:w="1247"/>
        <w:gridCol w:w="13153"/>
      </w:tblGrid>
      <w:tr>
        <w:tc>
          <w:tcPr>
            <w:tcW w:type="dxa" w:w="1247"/>
            <w:shd w:val="clear" w:color="auto" w:fill="FFF2CC"/>
          </w:tcPr>
          <w:p>
            <w:r/>
            <w:r>
              <w:rPr>
                <w:b/>
              </w:rPr>
              <w:t>J14</w:t>
            </w:r>
          </w:p>
        </w:tc>
        <w:tc>
          <w:tcPr>
            <w:tcW w:type="dxa" w:w="13153"/>
            <w:shd w:val="clear" w:color="auto" w:fill="FFF2CC"/>
          </w:tcPr>
          <w:p>
            <w:r/>
            <w:r>
              <w:rPr>
                <w:b/>
              </w:rPr>
              <w:t>fc-38　AI Incident Reporting Timelines（D1）</w:t>
            </w:r>
          </w:p>
        </w:tc>
      </w:tr>
      <w:tr>
        <w:tc>
          <w:tcPr>
            <w:tcW w:type="dxa" w:w="1247"/>
          </w:tcPr>
          <w:p>
            <w:r/>
            <w:r>
              <w:rPr>
                <w:b/>
              </w:rPr>
              <w:t>疑点</w:t>
            </w:r>
          </w:p>
        </w:tc>
        <w:tc>
          <w:tcPr>
            <w:tcW w:type="dxa" w:w="13153"/>
          </w:tcPr>
          <w:p>
            <w:r/>
            <w:r>
              <w:rPr>
                <w:b w:val="0"/>
              </w:rPr>
              <w:t>内容是 AI Act 第 73 条的严重事件报告期限（2、10、15 天），与我的了解一致。我的疑问只是归类：它讲事件报告，既可算 D1 的监管内容，也可算 D3 的监控与事件管理。</w:t>
            </w:r>
          </w:p>
        </w:tc>
      </w:tr>
      <w:tr>
        <w:tc>
          <w:tcPr>
            <w:tcW w:type="dxa" w:w="1247"/>
          </w:tcPr>
          <w:p>
            <w:r/>
            <w:r>
              <w:rPr>
                <w:b/>
              </w:rPr>
              <w:t>请判断</w:t>
            </w:r>
          </w:p>
        </w:tc>
        <w:tc>
          <w:tcPr>
            <w:tcW w:type="dxa" w:w="13153"/>
          </w:tcPr>
          <w:p>
            <w:r/>
            <w:r>
              <w:rPr>
                <w:b w:val="0"/>
              </w:rPr>
              <w:t>□ 保留 D1　□ 改为 D3</w:t>
            </w:r>
          </w:p>
        </w:tc>
      </w:tr>
    </w:tbl>
    <w:p>
      <w:pPr>
        <w:spacing w:after="80"/>
      </w:pPr>
      <w:r>
        <w:rPr>
          <w:b w:val="0"/>
        </w:rPr>
      </w:r>
    </w:p>
    <w:tbl>
      <w:tblPr>
        <w:tblStyle w:val="TableGrid"/>
        <w:tblW w:type="auto" w:w="0"/>
        <w:tblLayout w:type="fixed"/>
        <w:tblLook w:firstColumn="1" w:firstRow="1" w:lastColumn="0" w:lastRow="0" w:noHBand="0" w:noVBand="1" w:val="04A0"/>
      </w:tblPr>
      <w:tblGrid>
        <w:gridCol w:w="1247"/>
        <w:gridCol w:w="13153"/>
      </w:tblGrid>
      <w:tr>
        <w:tc>
          <w:tcPr>
            <w:tcW w:type="dxa" w:w="1247"/>
            <w:shd w:val="clear" w:color="auto" w:fill="FFF2CC"/>
          </w:tcPr>
          <w:p>
            <w:r/>
            <w:r>
              <w:rPr>
                <w:b/>
              </w:rPr>
              <w:t>J15</w:t>
            </w:r>
          </w:p>
        </w:tc>
        <w:tc>
          <w:tcPr>
            <w:tcW w:type="dxa" w:w="13153"/>
            <w:shd w:val="clear" w:color="auto" w:fill="FFF2CC"/>
          </w:tcPr>
          <w:p>
            <w:r/>
            <w:r>
              <w:rPr>
                <w:b/>
              </w:rPr>
              <w:t>fc-07　Board Oversight &amp; Fiduciary Responsibility（D1）</w:t>
            </w:r>
          </w:p>
        </w:tc>
      </w:tr>
      <w:tr>
        <w:tc>
          <w:tcPr>
            <w:tcW w:type="dxa" w:w="1247"/>
          </w:tcPr>
          <w:p>
            <w:r/>
            <w:r>
              <w:rPr>
                <w:b/>
              </w:rPr>
              <w:t>疑点</w:t>
            </w:r>
          </w:p>
        </w:tc>
        <w:tc>
          <w:tcPr>
            <w:tcW w:type="dxa" w:w="13153"/>
          </w:tcPr>
          <w:p>
            <w:r/>
            <w:r>
              <w:rPr>
                <w:b w:val="0"/>
              </w:rPr>
              <w:t>背面混合了两件事：董事会对 AI 的一般治理职责，和美国特拉华州 Caremark 原则（698 A.2d 959）。</w:t>
            </w:r>
          </w:p>
        </w:tc>
      </w:tr>
      <w:tr>
        <w:tc>
          <w:tcPr>
            <w:tcW w:type="dxa" w:w="1247"/>
          </w:tcPr>
          <w:p>
            <w:r/>
            <w:r>
              <w:rPr>
                <w:b/>
              </w:rPr>
              <w:t>请判断</w:t>
            </w:r>
          </w:p>
        </w:tc>
        <w:tc>
          <w:tcPr>
            <w:tcW w:type="dxa" w:w="13153"/>
          </w:tcPr>
          <w:p>
            <w:r/>
            <w:r>
              <w:rPr>
                <w:b w:val="0"/>
              </w:rPr>
              <w:t>□ 拆成"一般职责"和"Caremark（美国特定）"两张　□ 保留一张，在卡片上标注美国特定　□ 删除 Caremark 部分</w:t>
            </w:r>
          </w:p>
        </w:tc>
      </w:tr>
    </w:tbl>
    <w:p>
      <w:pPr>
        <w:spacing w:after="80"/>
      </w:pPr>
      <w:r>
        <w:rPr>
          <w:b w:val="0"/>
        </w:rPr>
      </w:r>
    </w:p>
    <w:p>
      <w:pPr>
        <w:pStyle w:val="Heading2"/>
      </w:pPr>
      <w:r>
        <w:t>3.2　12 张"复合正面"：建议拆成单一问题</w:t>
      </w:r>
    </w:p>
    <w:p>
      <w:pPr>
        <w:spacing w:after="60"/>
      </w:pPr>
      <w:r>
        <w:rPr>
          <w:b w:val="0"/>
          <w:sz w:val="18"/>
        </w:rPr>
        <w:t>每张卡现在的正面一次问两件事。请在最后一列勾选；"修改"请写明你要的拆法。</w:t>
      </w:r>
    </w:p>
    <w:tbl>
      <w:tblPr>
        <w:tblStyle w:val="TableGrid"/>
        <w:tblW w:type="auto" w:w="0"/>
        <w:tblLayout w:type="fixed"/>
        <w:tblLook w:firstColumn="1" w:firstRow="1" w:lastColumn="0" w:lastRow="0" w:noHBand="0" w:noVBand="1" w:val="04A0"/>
      </w:tblPr>
      <w:tblGrid>
        <w:gridCol w:w="907"/>
        <w:gridCol w:w="5102"/>
        <w:gridCol w:w="5669"/>
        <w:gridCol w:w="2721"/>
      </w:tblGrid>
      <w:tr>
        <w:tc>
          <w:tcPr>
            <w:tcW w:type="dxa" w:w="907"/>
            <w:shd w:val="clear" w:color="auto" w:fill="D9E2F3"/>
          </w:tcPr>
          <w:p>
            <w:r/>
            <w:r>
              <w:rPr>
                <w:b/>
                <w:sz w:val="18"/>
              </w:rPr>
              <w:t>卡片</w:t>
            </w:r>
          </w:p>
        </w:tc>
        <w:tc>
          <w:tcPr>
            <w:tcW w:type="dxa" w:w="5102"/>
            <w:shd w:val="clear" w:color="auto" w:fill="D9E2F3"/>
          </w:tcPr>
          <w:p>
            <w:r/>
            <w:r>
              <w:rPr>
                <w:b/>
                <w:sz w:val="18"/>
              </w:rPr>
              <w:t>现在的正面</w:t>
            </w:r>
          </w:p>
        </w:tc>
        <w:tc>
          <w:tcPr>
            <w:tcW w:type="dxa" w:w="5669"/>
            <w:shd w:val="clear" w:color="auto" w:fill="D9E2F3"/>
          </w:tcPr>
          <w:p>
            <w:r/>
            <w:r>
              <w:rPr>
                <w:b/>
                <w:sz w:val="18"/>
              </w:rPr>
              <w:t>建议拆成</w:t>
            </w:r>
          </w:p>
        </w:tc>
        <w:tc>
          <w:tcPr>
            <w:tcW w:type="dxa" w:w="2721"/>
            <w:shd w:val="clear" w:color="auto" w:fill="D9E2F3"/>
          </w:tcPr>
          <w:p>
            <w:r/>
            <w:r>
              <w:rPr>
                <w:b/>
                <w:sz w:val="18"/>
              </w:rPr>
              <w:t>你的决定</w:t>
            </w:r>
          </w:p>
        </w:tc>
      </w:tr>
      <w:tr>
        <w:tc>
          <w:tcPr>
            <w:tcW w:type="dxa" w:w="907"/>
          </w:tcPr>
          <w:p>
            <w:r/>
            <w:r>
              <w:rPr>
                <w:b w:val="0"/>
                <w:sz w:val="18"/>
              </w:rPr>
              <w:t>fc-06</w:t>
            </w:r>
          </w:p>
        </w:tc>
        <w:tc>
          <w:tcPr>
            <w:tcW w:type="dxa" w:w="5102"/>
          </w:tcPr>
          <w:p>
            <w:r/>
            <w:r>
              <w:rPr>
                <w:b w:val="0"/>
                <w:sz w:val="18"/>
              </w:rPr>
              <w:t>What is "Shadow AI", and what is the primary governance mechanism to manage it without stifling innovation?</w:t>
            </w:r>
          </w:p>
        </w:tc>
        <w:tc>
          <w:tcPr>
            <w:tcW w:type="dxa" w:w="5669"/>
          </w:tcPr>
          <w:p>
            <w:r/>
            <w:r>
              <w:rPr>
                <w:b w:val="0"/>
                <w:sz w:val="18"/>
              </w:rPr>
              <w:t>①什么是 Shadow AI？②管理 Shadow AI 要结合哪三类措施（发现、安全的替代方案、可接受使用政策与培训）？</w:t>
            </w:r>
          </w:p>
        </w:tc>
        <w:tc>
          <w:tcPr>
            <w:tcW w:type="dxa" w:w="2721"/>
          </w:tcPr>
          <w:p>
            <w:r/>
            <w:r>
              <w:rPr>
                <w:b w:val="0"/>
                <w:sz w:val="18"/>
              </w:rPr>
              <w:t>□ 同意拆分　□ 保留不拆　□ 修改：____</w:t>
            </w:r>
          </w:p>
        </w:tc>
      </w:tr>
      <w:tr>
        <w:tc>
          <w:tcPr>
            <w:tcW w:type="dxa" w:w="907"/>
          </w:tcPr>
          <w:p>
            <w:r/>
            <w:r>
              <w:rPr>
                <w:b w:val="0"/>
                <w:sz w:val="18"/>
              </w:rPr>
              <w:t>fc-11</w:t>
            </w:r>
          </w:p>
        </w:tc>
        <w:tc>
          <w:tcPr>
            <w:tcW w:type="dxa" w:w="5102"/>
          </w:tcPr>
          <w:p>
            <w:r/>
            <w:r>
              <w:rPr>
                <w:b w:val="0"/>
                <w:sz w:val="18"/>
              </w:rPr>
              <w:t>Why are Model Cards indispensable for AI asset governance, and what core elements must they contain?</w:t>
            </w:r>
          </w:p>
        </w:tc>
        <w:tc>
          <w:tcPr>
            <w:tcW w:type="dxa" w:w="5669"/>
          </w:tcPr>
          <w:p>
            <w:r/>
            <w:r>
              <w:rPr>
                <w:b w:val="0"/>
                <w:sz w:val="18"/>
              </w:rPr>
              <w:t>①Model Card 对 AI 资产治理有什么作用？②Model Card 通常包含哪些核心要素？</w:t>
            </w:r>
          </w:p>
        </w:tc>
        <w:tc>
          <w:tcPr>
            <w:tcW w:type="dxa" w:w="2721"/>
          </w:tcPr>
          <w:p>
            <w:r/>
            <w:r>
              <w:rPr>
                <w:b w:val="0"/>
                <w:sz w:val="18"/>
              </w:rPr>
              <w:t>□ 同意拆分　□ 保留不拆　□ 修改：____</w:t>
            </w:r>
          </w:p>
        </w:tc>
      </w:tr>
      <w:tr>
        <w:tc>
          <w:tcPr>
            <w:tcW w:type="dxa" w:w="907"/>
          </w:tcPr>
          <w:p>
            <w:r/>
            <w:r>
              <w:rPr>
                <w:b w:val="0"/>
                <w:sz w:val="18"/>
              </w:rPr>
              <w:t>fc-13</w:t>
            </w:r>
          </w:p>
        </w:tc>
        <w:tc>
          <w:tcPr>
            <w:tcW w:type="dxa" w:w="5102"/>
          </w:tcPr>
          <w:p>
            <w:r/>
            <w:r>
              <w:rPr>
                <w:b w:val="0"/>
                <w:sz w:val="18"/>
              </w:rPr>
              <w:t>What is Proxy Discrimination in AI training datasets, and why is it difficult to detect?</w:t>
            </w:r>
          </w:p>
        </w:tc>
        <w:tc>
          <w:tcPr>
            <w:tcW w:type="dxa" w:w="5669"/>
          </w:tcPr>
          <w:p>
            <w:r/>
            <w:r>
              <w:rPr>
                <w:b w:val="0"/>
                <w:sz w:val="18"/>
              </w:rPr>
              <w:t>①什么是代理歧视？②为什么难以检测、如何检测？（②需要补内容，见 J11）</w:t>
            </w:r>
          </w:p>
        </w:tc>
        <w:tc>
          <w:tcPr>
            <w:tcW w:type="dxa" w:w="2721"/>
          </w:tcPr>
          <w:p>
            <w:r/>
            <w:r>
              <w:rPr>
                <w:b w:val="0"/>
                <w:sz w:val="18"/>
              </w:rPr>
              <w:t>□ 同意拆分　□ 保留不拆　□ 修改：____</w:t>
            </w:r>
          </w:p>
        </w:tc>
      </w:tr>
      <w:tr>
        <w:tc>
          <w:tcPr>
            <w:tcW w:type="dxa" w:w="907"/>
          </w:tcPr>
          <w:p>
            <w:r/>
            <w:r>
              <w:rPr>
                <w:b w:val="0"/>
                <w:sz w:val="18"/>
              </w:rPr>
              <w:t>fc-16</w:t>
            </w:r>
          </w:p>
        </w:tc>
        <w:tc>
          <w:tcPr>
            <w:tcW w:type="dxa" w:w="5102"/>
          </w:tcPr>
          <w:p>
            <w:r/>
            <w:r>
              <w:rPr>
                <w:b w:val="0"/>
                <w:sz w:val="18"/>
              </w:rPr>
              <w:t>What is a "Datasheet for Datasets" and how does it support AI compliance?</w:t>
            </w:r>
          </w:p>
        </w:tc>
        <w:tc>
          <w:tcPr>
            <w:tcW w:type="dxa" w:w="5669"/>
          </w:tcPr>
          <w:p>
            <w:r/>
            <w:r>
              <w:rPr>
                <w:b w:val="0"/>
                <w:sz w:val="18"/>
              </w:rPr>
              <w:t>①什么是 Datasheet for Datasets，它记录哪七个方面？②它能支持什么、不能替代什么？</w:t>
            </w:r>
          </w:p>
        </w:tc>
        <w:tc>
          <w:tcPr>
            <w:tcW w:type="dxa" w:w="2721"/>
          </w:tcPr>
          <w:p>
            <w:r/>
            <w:r>
              <w:rPr>
                <w:b w:val="0"/>
                <w:sz w:val="18"/>
              </w:rPr>
              <w:t>□ 同意拆分　□ 保留不拆　□ 修改：____</w:t>
            </w:r>
          </w:p>
        </w:tc>
      </w:tr>
      <w:tr>
        <w:tc>
          <w:tcPr>
            <w:tcW w:type="dxa" w:w="907"/>
          </w:tcPr>
          <w:p>
            <w:r/>
            <w:r>
              <w:rPr>
                <w:b w:val="0"/>
                <w:sz w:val="18"/>
              </w:rPr>
              <w:t>fc-17</w:t>
            </w:r>
          </w:p>
        </w:tc>
        <w:tc>
          <w:tcPr>
            <w:tcW w:type="dxa" w:w="5102"/>
          </w:tcPr>
          <w:p>
            <w:r/>
            <w:r>
              <w:rPr>
                <w:b w:val="0"/>
                <w:sz w:val="18"/>
              </w:rPr>
              <w:t>What is Differential Privacy (DP), and how does it protect training data from extraction?</w:t>
            </w:r>
          </w:p>
        </w:tc>
        <w:tc>
          <w:tcPr>
            <w:tcW w:type="dxa" w:w="5669"/>
          </w:tcPr>
          <w:p>
            <w:r/>
            <w:r>
              <w:rPr>
                <w:b w:val="0"/>
                <w:sz w:val="18"/>
              </w:rPr>
              <w:t>①什么是差分隐私？②它保证什么、不保证什么（epsilon、delta、组合）？</w:t>
            </w:r>
          </w:p>
        </w:tc>
        <w:tc>
          <w:tcPr>
            <w:tcW w:type="dxa" w:w="2721"/>
          </w:tcPr>
          <w:p>
            <w:r/>
            <w:r>
              <w:rPr>
                <w:b w:val="0"/>
                <w:sz w:val="18"/>
              </w:rPr>
              <w:t>□ 同意拆分　□ 保留不拆　□ 修改：____</w:t>
            </w:r>
          </w:p>
        </w:tc>
      </w:tr>
      <w:tr>
        <w:tc>
          <w:tcPr>
            <w:tcW w:type="dxa" w:w="907"/>
          </w:tcPr>
          <w:p>
            <w:r/>
            <w:r>
              <w:rPr>
                <w:b w:val="0"/>
                <w:sz w:val="18"/>
              </w:rPr>
              <w:t>fc-24</w:t>
            </w:r>
          </w:p>
        </w:tc>
        <w:tc>
          <w:tcPr>
            <w:tcW w:type="dxa" w:w="5102"/>
          </w:tcPr>
          <w:p>
            <w:r/>
            <w:r>
              <w:rPr>
                <w:b w:val="0"/>
                <w:sz w:val="18"/>
              </w:rPr>
              <w:t>What is an AI "Circuit Breaker" or "Kill Switch", and who should hold the decision rights to trigger it?</w:t>
            </w:r>
          </w:p>
        </w:tc>
        <w:tc>
          <w:tcPr>
            <w:tcW w:type="dxa" w:w="5669"/>
          </w:tcPr>
          <w:p>
            <w:r/>
            <w:r>
              <w:rPr>
                <w:b w:val="0"/>
                <w:sz w:val="18"/>
              </w:rPr>
              <w:t>①什么是熔断/紧急停用？②谁应当拥有触发它的决策权？</w:t>
            </w:r>
          </w:p>
        </w:tc>
        <w:tc>
          <w:tcPr>
            <w:tcW w:type="dxa" w:w="2721"/>
          </w:tcPr>
          <w:p>
            <w:r/>
            <w:r>
              <w:rPr>
                <w:b w:val="0"/>
                <w:sz w:val="18"/>
              </w:rPr>
              <w:t>□ 同意拆分　□ 保留不拆　□ 修改：____</w:t>
            </w:r>
          </w:p>
        </w:tc>
      </w:tr>
      <w:tr>
        <w:tc>
          <w:tcPr>
            <w:tcW w:type="dxa" w:w="907"/>
          </w:tcPr>
          <w:p>
            <w:r/>
            <w:r>
              <w:rPr>
                <w:b w:val="0"/>
                <w:sz w:val="18"/>
              </w:rPr>
              <w:t>fc-26</w:t>
            </w:r>
          </w:p>
        </w:tc>
        <w:tc>
          <w:tcPr>
            <w:tcW w:type="dxa" w:w="5102"/>
          </w:tcPr>
          <w:p>
            <w:r/>
            <w:r>
              <w:rPr>
                <w:b w:val="0"/>
                <w:sz w:val="18"/>
              </w:rPr>
              <w:t>What is Automation Bias, and how must governance frameworks mitigate it in human reviewers?</w:t>
            </w:r>
          </w:p>
        </w:tc>
        <w:tc>
          <w:tcPr>
            <w:tcW w:type="dxa" w:w="5669"/>
          </w:tcPr>
          <w:p>
            <w:r/>
            <w:r>
              <w:rPr>
                <w:b w:val="0"/>
                <w:sz w:val="18"/>
              </w:rPr>
              <w:t>①什么是自动化偏见？②AI Act 第 14、26(2) 条对监督人员有哪些要求？</w:t>
            </w:r>
          </w:p>
        </w:tc>
        <w:tc>
          <w:tcPr>
            <w:tcW w:type="dxa" w:w="2721"/>
          </w:tcPr>
          <w:p>
            <w:r/>
            <w:r>
              <w:rPr>
                <w:b w:val="0"/>
                <w:sz w:val="18"/>
              </w:rPr>
              <w:t>□ 同意拆分　□ 保留不拆　□ 修改：____</w:t>
            </w:r>
          </w:p>
        </w:tc>
      </w:tr>
      <w:tr>
        <w:tc>
          <w:tcPr>
            <w:tcW w:type="dxa" w:w="907"/>
          </w:tcPr>
          <w:p>
            <w:r/>
            <w:r>
              <w:rPr>
                <w:b w:val="0"/>
                <w:sz w:val="18"/>
              </w:rPr>
              <w:t>fc-32</w:t>
            </w:r>
          </w:p>
        </w:tc>
        <w:tc>
          <w:tcPr>
            <w:tcW w:type="dxa" w:w="5102"/>
          </w:tcPr>
          <w:p>
            <w:r/>
            <w:r>
              <w:rPr>
                <w:b w:val="0"/>
                <w:sz w:val="18"/>
              </w:rPr>
              <w:t>What is ISO/IEC 42001, and what is the function of the Statement of Applicability (SoA)?</w:t>
            </w:r>
          </w:p>
        </w:tc>
        <w:tc>
          <w:tcPr>
            <w:tcW w:type="dxa" w:w="5669"/>
          </w:tcPr>
          <w:p>
            <w:r/>
            <w:r>
              <w:rPr>
                <w:b w:val="0"/>
                <w:sz w:val="18"/>
              </w:rPr>
              <w:t>①ISO/IEC 42001 是什么？②SoA 的作用是什么？</w:t>
            </w:r>
          </w:p>
        </w:tc>
        <w:tc>
          <w:tcPr>
            <w:tcW w:type="dxa" w:w="2721"/>
          </w:tcPr>
          <w:p>
            <w:r/>
            <w:r>
              <w:rPr>
                <w:b w:val="0"/>
                <w:sz w:val="18"/>
              </w:rPr>
              <w:t>□ 同意拆分　□ 保留不拆　□ 修改：____</w:t>
            </w:r>
          </w:p>
        </w:tc>
      </w:tr>
      <w:tr>
        <w:tc>
          <w:tcPr>
            <w:tcW w:type="dxa" w:w="907"/>
          </w:tcPr>
          <w:p>
            <w:r/>
            <w:r>
              <w:rPr>
                <w:b w:val="0"/>
                <w:sz w:val="18"/>
              </w:rPr>
              <w:t>fc-33</w:t>
            </w:r>
          </w:p>
        </w:tc>
        <w:tc>
          <w:tcPr>
            <w:tcW w:type="dxa" w:w="5102"/>
          </w:tcPr>
          <w:p>
            <w:r/>
            <w:r>
              <w:rPr>
                <w:b w:val="0"/>
                <w:sz w:val="18"/>
              </w:rPr>
              <w:t>What are the four core functions of NIST AI RMF 1.0, and how do they interact?</w:t>
            </w:r>
          </w:p>
        </w:tc>
        <w:tc>
          <w:tcPr>
            <w:tcW w:type="dxa" w:w="5669"/>
          </w:tcPr>
          <w:p>
            <w:r/>
            <w:r>
              <w:rPr>
                <w:b w:val="0"/>
                <w:sz w:val="18"/>
              </w:rPr>
              <w:t>①四个功能各是什么（各一句）？②它们如何相互作用（GOVERN 贯穿，其余迭代）？</w:t>
            </w:r>
          </w:p>
        </w:tc>
        <w:tc>
          <w:tcPr>
            <w:tcW w:type="dxa" w:w="2721"/>
          </w:tcPr>
          <w:p>
            <w:r/>
            <w:r>
              <w:rPr>
                <w:b w:val="0"/>
                <w:sz w:val="18"/>
              </w:rPr>
              <w:t>□ 同意拆分　□ 保留不拆　□ 修改：____</w:t>
            </w:r>
          </w:p>
        </w:tc>
      </w:tr>
      <w:tr>
        <w:tc>
          <w:tcPr>
            <w:tcW w:type="dxa" w:w="907"/>
          </w:tcPr>
          <w:p>
            <w:r/>
            <w:r>
              <w:rPr>
                <w:b w:val="0"/>
                <w:sz w:val="18"/>
              </w:rPr>
              <w:t>fc-37</w:t>
            </w:r>
          </w:p>
        </w:tc>
        <w:tc>
          <w:tcPr>
            <w:tcW w:type="dxa" w:w="5102"/>
          </w:tcPr>
          <w:p>
            <w:r/>
            <w:r>
              <w:rPr>
                <w:b w:val="0"/>
                <w:sz w:val="18"/>
              </w:rPr>
              <w:t>What is ISO/IEC 23894 and how does it relate to ISO 31000?</w:t>
            </w:r>
          </w:p>
        </w:tc>
        <w:tc>
          <w:tcPr>
            <w:tcW w:type="dxa" w:w="5669"/>
          </w:tcPr>
          <w:p>
            <w:r/>
            <w:r>
              <w:rPr>
                <w:b w:val="0"/>
                <w:sz w:val="18"/>
              </w:rPr>
              <w:t>两件事联系紧密，可保留一张。若拆：①23894 是什么？②它与 ISO 31000 的关系？</w:t>
            </w:r>
          </w:p>
        </w:tc>
        <w:tc>
          <w:tcPr>
            <w:tcW w:type="dxa" w:w="2721"/>
          </w:tcPr>
          <w:p>
            <w:r/>
            <w:r>
              <w:rPr>
                <w:b w:val="0"/>
                <w:sz w:val="18"/>
              </w:rPr>
              <w:t>□ 同意拆分　□ 保留不拆　□ 修改：____</w:t>
            </w:r>
          </w:p>
        </w:tc>
      </w:tr>
      <w:tr>
        <w:tc>
          <w:tcPr>
            <w:tcW w:type="dxa" w:w="907"/>
          </w:tcPr>
          <w:p>
            <w:r/>
            <w:r>
              <w:rPr>
                <w:b w:val="0"/>
                <w:sz w:val="18"/>
              </w:rPr>
              <w:t>fc-39</w:t>
            </w:r>
          </w:p>
        </w:tc>
        <w:tc>
          <w:tcPr>
            <w:tcW w:type="dxa" w:w="5102"/>
          </w:tcPr>
          <w:p>
            <w:r/>
            <w:r>
              <w:rPr>
                <w:b w:val="0"/>
                <w:sz w:val="18"/>
              </w:rPr>
              <w:t>What is an AI Conformity Assessment under the EU AI Act, and what are the two main pathways?</w:t>
            </w:r>
          </w:p>
        </w:tc>
        <w:tc>
          <w:tcPr>
            <w:tcW w:type="dxa" w:w="5669"/>
          </w:tcPr>
          <w:p>
            <w:r/>
            <w:r>
              <w:rPr>
                <w:b w:val="0"/>
                <w:sz w:val="18"/>
              </w:rPr>
              <w:t>①什么是符合性评估？②按系统类别有哪些评估路径？（见 J13）</w:t>
            </w:r>
          </w:p>
        </w:tc>
        <w:tc>
          <w:tcPr>
            <w:tcW w:type="dxa" w:w="2721"/>
          </w:tcPr>
          <w:p>
            <w:r/>
            <w:r>
              <w:rPr>
                <w:b w:val="0"/>
                <w:sz w:val="18"/>
              </w:rPr>
              <w:t>□ 同意拆分　□ 保留不拆　□ 修改：____</w:t>
            </w:r>
          </w:p>
        </w:tc>
      </w:tr>
      <w:tr>
        <w:tc>
          <w:tcPr>
            <w:tcW w:type="dxa" w:w="907"/>
          </w:tcPr>
          <w:p>
            <w:r/>
            <w:r>
              <w:rPr>
                <w:b w:val="0"/>
                <w:sz w:val="18"/>
              </w:rPr>
              <w:t>fc-40</w:t>
            </w:r>
          </w:p>
        </w:tc>
        <w:tc>
          <w:tcPr>
            <w:tcW w:type="dxa" w:w="5102"/>
          </w:tcPr>
          <w:p>
            <w:r/>
            <w:r>
              <w:rPr>
                <w:b w:val="0"/>
                <w:sz w:val="18"/>
              </w:rPr>
              <w:t>What is AI Red Teaming, and what key adversarial attack vectors should governance frameworks evaluate...</w:t>
            </w:r>
          </w:p>
        </w:tc>
        <w:tc>
          <w:tcPr>
            <w:tcW w:type="dxa" w:w="5669"/>
          </w:tcPr>
          <w:p>
            <w:r/>
            <w:r>
              <w:rPr>
                <w:b w:val="0"/>
                <w:sz w:val="18"/>
              </w:rPr>
              <w:t>①什么是 AI red teaming？②需要评估哪几类攻击向量？</w:t>
            </w:r>
          </w:p>
        </w:tc>
        <w:tc>
          <w:tcPr>
            <w:tcW w:type="dxa" w:w="2721"/>
          </w:tcPr>
          <w:p>
            <w:r/>
            <w:r>
              <w:rPr>
                <w:b w:val="0"/>
                <w:sz w:val="18"/>
              </w:rPr>
              <w:t>□ 同意拆分　□ 保留不拆　□ 修改：____</w:t>
            </w:r>
          </w:p>
        </w:tc>
      </w:tr>
    </w:tbl>
    <w:p>
      <w:pPr>
        <w:pStyle w:val="Heading2"/>
      </w:pPr>
      <w:r>
        <w:t>3.3　22 张过长卡片（背面超过 600 字）：建议的拆分方案</w:t>
      </w:r>
    </w:p>
    <w:p>
      <w:pPr>
        <w:spacing w:after="60"/>
      </w:pPr>
      <w:r>
        <w:rPr>
          <w:b w:val="0"/>
          <w:sz w:val="18"/>
        </w:rPr>
        <w:t>字数是背面的字符数。拆卡时，原卡片 ID 保留给拆分后的第一张，所以已存的"掌握度"记录不会丢。你选定 J1 的字数上限后，请逐张决定。</w:t>
      </w:r>
    </w:p>
    <w:tbl>
      <w:tblPr>
        <w:tblStyle w:val="TableGrid"/>
        <w:tblW w:type="auto" w:w="0"/>
        <w:tblLayout w:type="fixed"/>
        <w:tblLook w:firstColumn="1" w:firstRow="1" w:lastColumn="0" w:lastRow="0" w:noHBand="0" w:noVBand="1" w:val="04A0"/>
      </w:tblPr>
      <w:tblGrid>
        <w:gridCol w:w="794"/>
        <w:gridCol w:w="2381"/>
        <w:gridCol w:w="907"/>
        <w:gridCol w:w="794"/>
        <w:gridCol w:w="6236"/>
        <w:gridCol w:w="3288"/>
      </w:tblGrid>
      <w:tr>
        <w:tc>
          <w:tcPr>
            <w:tcW w:type="dxa" w:w="794"/>
            <w:shd w:val="clear" w:color="auto" w:fill="D9E2F3"/>
          </w:tcPr>
          <w:p>
            <w:r/>
            <w:r>
              <w:rPr>
                <w:b/>
                <w:sz w:val="17"/>
              </w:rPr>
              <w:t>卡片</w:t>
            </w:r>
          </w:p>
        </w:tc>
        <w:tc>
          <w:tcPr>
            <w:tcW w:type="dxa" w:w="2381"/>
            <w:shd w:val="clear" w:color="auto" w:fill="D9E2F3"/>
          </w:tcPr>
          <w:p>
            <w:r/>
            <w:r>
              <w:rPr>
                <w:b/>
                <w:sz w:val="17"/>
              </w:rPr>
              <w:t>主题</w:t>
            </w:r>
          </w:p>
        </w:tc>
        <w:tc>
          <w:tcPr>
            <w:tcW w:type="dxa" w:w="907"/>
            <w:shd w:val="clear" w:color="auto" w:fill="D9E2F3"/>
          </w:tcPr>
          <w:p>
            <w:r/>
            <w:r>
              <w:rPr>
                <w:b/>
                <w:sz w:val="17"/>
              </w:rPr>
              <w:t>背面字数</w:t>
            </w:r>
          </w:p>
        </w:tc>
        <w:tc>
          <w:tcPr>
            <w:tcW w:type="dxa" w:w="794"/>
            <w:shd w:val="clear" w:color="auto" w:fill="D9E2F3"/>
          </w:tcPr>
          <w:p>
            <w:r/>
            <w:r>
              <w:rPr>
                <w:b/>
                <w:sz w:val="17"/>
              </w:rPr>
              <w:t>建议拆成</w:t>
            </w:r>
          </w:p>
        </w:tc>
        <w:tc>
          <w:tcPr>
            <w:tcW w:type="dxa" w:w="6236"/>
            <w:shd w:val="clear" w:color="auto" w:fill="D9E2F3"/>
          </w:tcPr>
          <w:p>
            <w:r/>
            <w:r>
              <w:rPr>
                <w:b/>
                <w:sz w:val="17"/>
              </w:rPr>
              <w:t>拆分方案</w:t>
            </w:r>
          </w:p>
        </w:tc>
        <w:tc>
          <w:tcPr>
            <w:tcW w:type="dxa" w:w="3288"/>
            <w:shd w:val="clear" w:color="auto" w:fill="D9E2F3"/>
          </w:tcPr>
          <w:p>
            <w:r/>
            <w:r>
              <w:rPr>
                <w:b/>
                <w:sz w:val="17"/>
              </w:rPr>
              <w:t>你的决定</w:t>
            </w:r>
          </w:p>
        </w:tc>
      </w:tr>
      <w:tr>
        <w:tc>
          <w:tcPr>
            <w:tcW w:type="dxa" w:w="794"/>
          </w:tcPr>
          <w:p>
            <w:r/>
            <w:r>
              <w:rPr>
                <w:b w:val="0"/>
                <w:sz w:val="17"/>
              </w:rPr>
              <w:t>fc-31</w:t>
            </w:r>
          </w:p>
        </w:tc>
        <w:tc>
          <w:tcPr>
            <w:tcW w:type="dxa" w:w="2381"/>
          </w:tcPr>
          <w:p>
            <w:r/>
            <w:r>
              <w:rPr>
                <w:b w:val="0"/>
                <w:sz w:val="17"/>
              </w:rPr>
              <w:t>EU AI Act 风险分级</w:t>
            </w:r>
          </w:p>
        </w:tc>
        <w:tc>
          <w:tcPr>
            <w:tcW w:type="dxa" w:w="907"/>
          </w:tcPr>
          <w:p>
            <w:r/>
            <w:r>
              <w:rPr>
                <w:b w:val="0"/>
                <w:sz w:val="17"/>
              </w:rPr>
              <w:t>1321</w:t>
            </w:r>
          </w:p>
        </w:tc>
        <w:tc>
          <w:tcPr>
            <w:tcW w:type="dxa" w:w="794"/>
          </w:tcPr>
          <w:p>
            <w:r/>
            <w:r>
              <w:rPr>
                <w:b w:val="0"/>
                <w:sz w:val="17"/>
              </w:rPr>
              <w:t>4</w:t>
            </w:r>
          </w:p>
        </w:tc>
        <w:tc>
          <w:tcPr>
            <w:tcW w:type="dxa" w:w="6236"/>
          </w:tcPr>
          <w:p>
            <w:r/>
            <w:r>
              <w:rPr>
                <w:b w:val="0"/>
                <w:sz w:val="17"/>
              </w:rPr>
              <w:t>①禁止的做法（第 5 条）②高风险系统（第 6 条、附件 I/III；第 27 条 FRIA 适用范围）③透明义务（第 50 条）④其他系统与第 4 条素养义务</w:t>
            </w:r>
          </w:p>
        </w:tc>
        <w:tc>
          <w:tcPr>
            <w:tcW w:type="dxa" w:w="3288"/>
          </w:tcPr>
          <w:p>
            <w:r/>
            <w:r>
              <w:rPr>
                <w:b w:val="0"/>
                <w:sz w:val="17"/>
              </w:rPr>
              <w:t>□ 同意　□ 不拆　□ 修改：____</w:t>
            </w:r>
          </w:p>
        </w:tc>
      </w:tr>
      <w:tr>
        <w:tc>
          <w:tcPr>
            <w:tcW w:type="dxa" w:w="794"/>
          </w:tcPr>
          <w:p>
            <w:r/>
            <w:r>
              <w:rPr>
                <w:b w:val="0"/>
                <w:sz w:val="17"/>
              </w:rPr>
              <w:t>fc-34</w:t>
            </w:r>
          </w:p>
        </w:tc>
        <w:tc>
          <w:tcPr>
            <w:tcW w:type="dxa" w:w="2381"/>
          </w:tcPr>
          <w:p>
            <w:r/>
            <w:r>
              <w:rPr>
                <w:b w:val="0"/>
                <w:sz w:val="17"/>
              </w:rPr>
              <w:t>GPAI 义务</w:t>
            </w:r>
          </w:p>
        </w:tc>
        <w:tc>
          <w:tcPr>
            <w:tcW w:type="dxa" w:w="907"/>
          </w:tcPr>
          <w:p>
            <w:r/>
            <w:r>
              <w:rPr>
                <w:b w:val="0"/>
                <w:sz w:val="17"/>
              </w:rPr>
              <w:t>1142</w:t>
            </w:r>
          </w:p>
        </w:tc>
        <w:tc>
          <w:tcPr>
            <w:tcW w:type="dxa" w:w="794"/>
          </w:tcPr>
          <w:p>
            <w:r/>
            <w:r>
              <w:rPr>
                <w:b w:val="0"/>
                <w:sz w:val="17"/>
              </w:rPr>
              <w:t>2</w:t>
            </w:r>
          </w:p>
        </w:tc>
        <w:tc>
          <w:tcPr>
            <w:tcW w:type="dxa" w:w="6236"/>
          </w:tcPr>
          <w:p>
            <w:r/>
            <w:r>
              <w:rPr>
                <w:b w:val="0"/>
                <w:sz w:val="17"/>
              </w:rPr>
              <w:t>①所有 GPAI 模型提供者的基础义务（第 53 条）②系统性风险 GPAI 的额外义务（第 51、55 条；10^25 FLOPs）</w:t>
            </w:r>
          </w:p>
        </w:tc>
        <w:tc>
          <w:tcPr>
            <w:tcW w:type="dxa" w:w="3288"/>
          </w:tcPr>
          <w:p>
            <w:r/>
            <w:r>
              <w:rPr>
                <w:b w:val="0"/>
                <w:sz w:val="17"/>
              </w:rPr>
              <w:t>□ 同意　□ 不拆　□ 修改：____</w:t>
            </w:r>
          </w:p>
        </w:tc>
      </w:tr>
      <w:tr>
        <w:tc>
          <w:tcPr>
            <w:tcW w:type="dxa" w:w="794"/>
          </w:tcPr>
          <w:p>
            <w:r/>
            <w:r>
              <w:rPr>
                <w:b w:val="0"/>
                <w:sz w:val="17"/>
              </w:rPr>
              <w:t>fc-21</w:t>
            </w:r>
          </w:p>
        </w:tc>
        <w:tc>
          <w:tcPr>
            <w:tcW w:type="dxa" w:w="2381"/>
          </w:tcPr>
          <w:p>
            <w:r/>
            <w:r>
              <w:rPr>
                <w:b w:val="0"/>
                <w:sz w:val="17"/>
              </w:rPr>
              <w:t>自建与外购</w:t>
            </w:r>
          </w:p>
        </w:tc>
        <w:tc>
          <w:tcPr>
            <w:tcW w:type="dxa" w:w="907"/>
          </w:tcPr>
          <w:p>
            <w:r/>
            <w:r>
              <w:rPr>
                <w:b w:val="0"/>
                <w:sz w:val="17"/>
              </w:rPr>
              <w:t>1075</w:t>
            </w:r>
          </w:p>
        </w:tc>
        <w:tc>
          <w:tcPr>
            <w:tcW w:type="dxa" w:w="794"/>
          </w:tcPr>
          <w:p>
            <w:r/>
            <w:r>
              <w:rPr>
                <w:b w:val="0"/>
                <w:sz w:val="17"/>
              </w:rPr>
              <w:t>3</w:t>
            </w:r>
          </w:p>
        </w:tc>
        <w:tc>
          <w:tcPr>
            <w:tcW w:type="dxa" w:w="6236"/>
          </w:tcPr>
          <w:p>
            <w:r/>
            <w:r>
              <w:rPr>
                <w:b w:val="0"/>
                <w:sz w:val="17"/>
              </w:rPr>
              <w:t>①数据权利与保密 ②透明度、保证与提供者/部署者角色（含第 25(1) 条触发）③供应商集中度、退出与 TCO</w:t>
            </w:r>
          </w:p>
        </w:tc>
        <w:tc>
          <w:tcPr>
            <w:tcW w:type="dxa" w:w="3288"/>
          </w:tcPr>
          <w:p>
            <w:r/>
            <w:r>
              <w:rPr>
                <w:b w:val="0"/>
                <w:sz w:val="17"/>
              </w:rPr>
              <w:t>□ 同意　□ 不拆　□ 修改：____</w:t>
            </w:r>
          </w:p>
        </w:tc>
      </w:tr>
      <w:tr>
        <w:tc>
          <w:tcPr>
            <w:tcW w:type="dxa" w:w="794"/>
          </w:tcPr>
          <w:p>
            <w:r/>
            <w:r>
              <w:rPr>
                <w:b w:val="0"/>
                <w:sz w:val="17"/>
              </w:rPr>
              <w:t>fc-36</w:t>
            </w:r>
          </w:p>
        </w:tc>
        <w:tc>
          <w:tcPr>
            <w:tcW w:type="dxa" w:w="2381"/>
          </w:tcPr>
          <w:p>
            <w:r/>
            <w:r>
              <w:rPr>
                <w:b w:val="0"/>
                <w:sz w:val="17"/>
              </w:rPr>
              <w:t>FRIA</w:t>
            </w:r>
          </w:p>
        </w:tc>
        <w:tc>
          <w:tcPr>
            <w:tcW w:type="dxa" w:w="907"/>
          </w:tcPr>
          <w:p>
            <w:r/>
            <w:r>
              <w:rPr>
                <w:b w:val="0"/>
                <w:sz w:val="17"/>
              </w:rPr>
              <w:t>940</w:t>
            </w:r>
          </w:p>
        </w:tc>
        <w:tc>
          <w:tcPr>
            <w:tcW w:type="dxa" w:w="794"/>
          </w:tcPr>
          <w:p>
            <w:r/>
            <w:r>
              <w:rPr>
                <w:b w:val="0"/>
                <w:sz w:val="17"/>
              </w:rPr>
              <w:t>2</w:t>
            </w:r>
          </w:p>
        </w:tc>
        <w:tc>
          <w:tcPr>
            <w:tcW w:type="dxa" w:w="6236"/>
          </w:tcPr>
          <w:p>
            <w:r/>
            <w:r>
              <w:rPr>
                <w:b w:val="0"/>
                <w:sz w:val="17"/>
              </w:rPr>
              <w:t>①谁必须做 FRIA ②FRIA 要评估哪些内容</w:t>
            </w:r>
          </w:p>
        </w:tc>
        <w:tc>
          <w:tcPr>
            <w:tcW w:type="dxa" w:w="3288"/>
          </w:tcPr>
          <w:p>
            <w:r/>
            <w:r>
              <w:rPr>
                <w:b w:val="0"/>
                <w:sz w:val="17"/>
              </w:rPr>
              <w:t>□ 同意　□ 不拆　□ 修改：____</w:t>
            </w:r>
          </w:p>
        </w:tc>
      </w:tr>
      <w:tr>
        <w:tc>
          <w:tcPr>
            <w:tcW w:type="dxa" w:w="794"/>
          </w:tcPr>
          <w:p>
            <w:r/>
            <w:r>
              <w:rPr>
                <w:b w:val="0"/>
                <w:sz w:val="17"/>
              </w:rPr>
              <w:t>fc-01</w:t>
            </w:r>
          </w:p>
        </w:tc>
        <w:tc>
          <w:tcPr>
            <w:tcW w:type="dxa" w:w="2381"/>
          </w:tcPr>
          <w:p>
            <w:r/>
            <w:r>
              <w:rPr>
                <w:b w:val="0"/>
                <w:sz w:val="17"/>
              </w:rPr>
              <w:t>三道防线</w:t>
            </w:r>
          </w:p>
        </w:tc>
        <w:tc>
          <w:tcPr>
            <w:tcW w:type="dxa" w:w="907"/>
          </w:tcPr>
          <w:p>
            <w:r/>
            <w:r>
              <w:rPr>
                <w:b w:val="0"/>
                <w:sz w:val="17"/>
              </w:rPr>
              <w:t>869</w:t>
            </w:r>
          </w:p>
        </w:tc>
        <w:tc>
          <w:tcPr>
            <w:tcW w:type="dxa" w:w="794"/>
          </w:tcPr>
          <w:p>
            <w:r/>
            <w:r>
              <w:rPr>
                <w:b w:val="0"/>
                <w:sz w:val="17"/>
              </w:rPr>
              <w:t>3</w:t>
            </w:r>
          </w:p>
        </w:tc>
        <w:tc>
          <w:tcPr>
            <w:tcW w:type="dxa" w:w="6236"/>
          </w:tcPr>
          <w:p>
            <w:r/>
            <w:r>
              <w:rPr>
                <w:b w:val="0"/>
                <w:sz w:val="17"/>
              </w:rPr>
              <w:t>①第一线 ②第二线 ③第三线（各一张，或"总览一张 + 各线一张"）</w:t>
            </w:r>
          </w:p>
        </w:tc>
        <w:tc>
          <w:tcPr>
            <w:tcW w:type="dxa" w:w="3288"/>
          </w:tcPr>
          <w:p>
            <w:r/>
            <w:r>
              <w:rPr>
                <w:b w:val="0"/>
                <w:sz w:val="17"/>
              </w:rPr>
              <w:t>□ 同意　□ 不拆　□ 修改：____</w:t>
            </w:r>
          </w:p>
        </w:tc>
      </w:tr>
      <w:tr>
        <w:tc>
          <w:tcPr>
            <w:tcW w:type="dxa" w:w="794"/>
          </w:tcPr>
          <w:p>
            <w:r/>
            <w:r>
              <w:rPr>
                <w:b w:val="0"/>
                <w:sz w:val="17"/>
              </w:rPr>
              <w:t>fc-22</w:t>
            </w:r>
          </w:p>
        </w:tc>
        <w:tc>
          <w:tcPr>
            <w:tcW w:type="dxa" w:w="2381"/>
          </w:tcPr>
          <w:p>
            <w:r/>
            <w:r>
              <w:rPr>
                <w:b w:val="0"/>
                <w:sz w:val="17"/>
              </w:rPr>
              <w:t>可解释性与可申诉</w:t>
            </w:r>
          </w:p>
        </w:tc>
        <w:tc>
          <w:tcPr>
            <w:tcW w:type="dxa" w:w="907"/>
          </w:tcPr>
          <w:p>
            <w:r/>
            <w:r>
              <w:rPr>
                <w:b w:val="0"/>
                <w:sz w:val="17"/>
              </w:rPr>
              <w:t>801</w:t>
            </w:r>
          </w:p>
        </w:tc>
        <w:tc>
          <w:tcPr>
            <w:tcW w:type="dxa" w:w="794"/>
          </w:tcPr>
          <w:p>
            <w:r/>
            <w:r>
              <w:rPr>
                <w:b w:val="0"/>
                <w:sz w:val="17"/>
              </w:rPr>
              <w:t>3</w:t>
            </w:r>
          </w:p>
        </w:tc>
        <w:tc>
          <w:tcPr>
            <w:tcW w:type="dxa" w:w="6236"/>
          </w:tcPr>
          <w:p>
            <w:r/>
            <w:r>
              <w:rPr>
                <w:b w:val="0"/>
                <w:sz w:val="17"/>
              </w:rPr>
              <w:t>①个人获得解释与申诉（第 86 条）②风险评估（MEASURE 2.8/2.9）③有效的人工监督（第 13 条）</w:t>
            </w:r>
          </w:p>
        </w:tc>
        <w:tc>
          <w:tcPr>
            <w:tcW w:type="dxa" w:w="3288"/>
          </w:tcPr>
          <w:p>
            <w:r/>
            <w:r>
              <w:rPr>
                <w:b w:val="0"/>
                <w:sz w:val="17"/>
              </w:rPr>
              <w:t>□ 同意　□ 不拆　□ 修改：____</w:t>
            </w:r>
          </w:p>
        </w:tc>
      </w:tr>
      <w:tr>
        <w:tc>
          <w:tcPr>
            <w:tcW w:type="dxa" w:w="794"/>
          </w:tcPr>
          <w:p>
            <w:r/>
            <w:r>
              <w:rPr>
                <w:b w:val="0"/>
                <w:sz w:val="17"/>
              </w:rPr>
              <w:t>fc-20</w:t>
            </w:r>
          </w:p>
        </w:tc>
        <w:tc>
          <w:tcPr>
            <w:tcW w:type="dxa" w:w="2381"/>
          </w:tcPr>
          <w:p>
            <w:r/>
            <w:r>
              <w:rPr>
                <w:b w:val="0"/>
                <w:sz w:val="17"/>
              </w:rPr>
              <w:t>生成式 AI 的数据最小化</w:t>
            </w:r>
          </w:p>
        </w:tc>
        <w:tc>
          <w:tcPr>
            <w:tcW w:type="dxa" w:w="907"/>
          </w:tcPr>
          <w:p>
            <w:r/>
            <w:r>
              <w:rPr>
                <w:b w:val="0"/>
                <w:sz w:val="17"/>
              </w:rPr>
              <w:t>789</w:t>
            </w:r>
          </w:p>
        </w:tc>
        <w:tc>
          <w:tcPr>
            <w:tcW w:type="dxa" w:w="794"/>
          </w:tcPr>
          <w:p>
            <w:r/>
            <w:r>
              <w:rPr>
                <w:b w:val="0"/>
                <w:sz w:val="17"/>
              </w:rPr>
              <w:t>3</w:t>
            </w:r>
          </w:p>
        </w:tc>
        <w:tc>
          <w:tcPr>
            <w:tcW w:type="dxa" w:w="6236"/>
          </w:tcPr>
          <w:p>
            <w:r/>
            <w:r>
              <w:rPr>
                <w:b w:val="0"/>
                <w:sz w:val="17"/>
              </w:rPr>
              <w:t>①输入脱敏 ②RAG 范围控制 ③保留期与供应商控制</w:t>
            </w:r>
          </w:p>
        </w:tc>
        <w:tc>
          <w:tcPr>
            <w:tcW w:type="dxa" w:w="3288"/>
          </w:tcPr>
          <w:p>
            <w:r/>
            <w:r>
              <w:rPr>
                <w:b w:val="0"/>
                <w:sz w:val="17"/>
              </w:rPr>
              <w:t>□ 同意　□ 不拆　□ 修改：____</w:t>
            </w:r>
          </w:p>
        </w:tc>
      </w:tr>
      <w:tr>
        <w:tc>
          <w:tcPr>
            <w:tcW w:type="dxa" w:w="794"/>
          </w:tcPr>
          <w:p>
            <w:r/>
            <w:r>
              <w:rPr>
                <w:b w:val="0"/>
                <w:sz w:val="17"/>
              </w:rPr>
              <w:t>fc-30</w:t>
            </w:r>
          </w:p>
        </w:tc>
        <w:tc>
          <w:tcPr>
            <w:tcW w:type="dxa" w:w="2381"/>
          </w:tcPr>
          <w:p>
            <w:r/>
            <w:r>
              <w:rPr>
                <w:b w:val="0"/>
                <w:sz w:val="17"/>
              </w:rPr>
              <w:t>上市后监测</w:t>
            </w:r>
          </w:p>
        </w:tc>
        <w:tc>
          <w:tcPr>
            <w:tcW w:type="dxa" w:w="907"/>
          </w:tcPr>
          <w:p>
            <w:r/>
            <w:r>
              <w:rPr>
                <w:b w:val="0"/>
                <w:sz w:val="17"/>
              </w:rPr>
              <w:t>784</w:t>
            </w:r>
          </w:p>
        </w:tc>
        <w:tc>
          <w:tcPr>
            <w:tcW w:type="dxa" w:w="794"/>
          </w:tcPr>
          <w:p>
            <w:r/>
            <w:r>
              <w:rPr>
                <w:b w:val="0"/>
                <w:sz w:val="17"/>
              </w:rPr>
              <w:t>3</w:t>
            </w:r>
          </w:p>
        </w:tc>
        <w:tc>
          <w:tcPr>
            <w:tcW w:type="dxa" w:w="6236"/>
          </w:tcPr>
          <w:p>
            <w:r/>
            <w:r>
              <w:rPr>
                <w:b w:val="0"/>
                <w:sz w:val="17"/>
              </w:rPr>
              <w:t>①提供者的第 72 条 ②部署者的第 26(5) 条 ③ISO/IEC 42001 内部监测（与法定义务区别）</w:t>
            </w:r>
          </w:p>
        </w:tc>
        <w:tc>
          <w:tcPr>
            <w:tcW w:type="dxa" w:w="3288"/>
          </w:tcPr>
          <w:p>
            <w:r/>
            <w:r>
              <w:rPr>
                <w:b w:val="0"/>
                <w:sz w:val="17"/>
              </w:rPr>
              <w:t>□ 同意　□ 不拆　□ 修改：____</w:t>
            </w:r>
          </w:p>
        </w:tc>
      </w:tr>
      <w:tr>
        <w:tc>
          <w:tcPr>
            <w:tcW w:type="dxa" w:w="794"/>
          </w:tcPr>
          <w:p>
            <w:r/>
            <w:r>
              <w:rPr>
                <w:b w:val="0"/>
                <w:sz w:val="17"/>
              </w:rPr>
              <w:t>fc-26</w:t>
            </w:r>
          </w:p>
        </w:tc>
        <w:tc>
          <w:tcPr>
            <w:tcW w:type="dxa" w:w="2381"/>
          </w:tcPr>
          <w:p>
            <w:r/>
            <w:r>
              <w:rPr>
                <w:b w:val="0"/>
                <w:sz w:val="17"/>
              </w:rPr>
              <w:t>自动化偏见</w:t>
            </w:r>
          </w:p>
        </w:tc>
        <w:tc>
          <w:tcPr>
            <w:tcW w:type="dxa" w:w="907"/>
          </w:tcPr>
          <w:p>
            <w:r/>
            <w:r>
              <w:rPr>
                <w:b w:val="0"/>
                <w:sz w:val="17"/>
              </w:rPr>
              <w:t>768</w:t>
            </w:r>
          </w:p>
        </w:tc>
        <w:tc>
          <w:tcPr>
            <w:tcW w:type="dxa" w:w="794"/>
          </w:tcPr>
          <w:p>
            <w:r/>
            <w:r>
              <w:rPr>
                <w:b w:val="0"/>
                <w:sz w:val="17"/>
              </w:rPr>
              <w:t>2</w:t>
            </w:r>
          </w:p>
        </w:tc>
        <w:tc>
          <w:tcPr>
            <w:tcW w:type="dxa" w:w="6236"/>
          </w:tcPr>
          <w:p>
            <w:r/>
            <w:r>
              <w:rPr>
                <w:b w:val="0"/>
                <w:sz w:val="17"/>
              </w:rPr>
              <w:t>①是什么 ②AI Act 要求（见 3.2）</w:t>
            </w:r>
          </w:p>
        </w:tc>
        <w:tc>
          <w:tcPr>
            <w:tcW w:type="dxa" w:w="3288"/>
          </w:tcPr>
          <w:p>
            <w:r/>
            <w:r>
              <w:rPr>
                <w:b w:val="0"/>
                <w:sz w:val="17"/>
              </w:rPr>
              <w:t>□ 同意　□ 不拆　□ 修改：____</w:t>
            </w:r>
          </w:p>
        </w:tc>
      </w:tr>
      <w:tr>
        <w:tc>
          <w:tcPr>
            <w:tcW w:type="dxa" w:w="794"/>
          </w:tcPr>
          <w:p>
            <w:r/>
            <w:r>
              <w:rPr>
                <w:b w:val="0"/>
                <w:sz w:val="17"/>
              </w:rPr>
              <w:t>fc-23</w:t>
            </w:r>
          </w:p>
        </w:tc>
        <w:tc>
          <w:tcPr>
            <w:tcW w:type="dxa" w:w="2381"/>
          </w:tcPr>
          <w:p>
            <w:r/>
            <w:r>
              <w:rPr>
                <w:b w:val="0"/>
                <w:sz w:val="17"/>
              </w:rPr>
              <w:t>再训练与变更管理</w:t>
            </w:r>
          </w:p>
        </w:tc>
        <w:tc>
          <w:tcPr>
            <w:tcW w:type="dxa" w:w="907"/>
          </w:tcPr>
          <w:p>
            <w:r/>
            <w:r>
              <w:rPr>
                <w:b w:val="0"/>
                <w:sz w:val="17"/>
              </w:rPr>
              <w:t>757</w:t>
            </w:r>
          </w:p>
        </w:tc>
        <w:tc>
          <w:tcPr>
            <w:tcW w:type="dxa" w:w="794"/>
          </w:tcPr>
          <w:p>
            <w:r/>
            <w:r>
              <w:rPr>
                <w:b w:val="0"/>
                <w:sz w:val="17"/>
              </w:rPr>
              <w:t>2</w:t>
            </w:r>
          </w:p>
        </w:tc>
        <w:tc>
          <w:tcPr>
            <w:tcW w:type="dxa" w:w="6236"/>
          </w:tcPr>
          <w:p>
            <w:r/>
            <w:r>
              <w:rPr>
                <w:b w:val="0"/>
                <w:sz w:val="17"/>
              </w:rPr>
              <w:t>①触发与验证（含是否构成实质性修改）②审批与部署保障</w:t>
            </w:r>
          </w:p>
        </w:tc>
        <w:tc>
          <w:tcPr>
            <w:tcW w:type="dxa" w:w="3288"/>
          </w:tcPr>
          <w:p>
            <w:r/>
            <w:r>
              <w:rPr>
                <w:b w:val="0"/>
                <w:sz w:val="17"/>
              </w:rPr>
              <w:t>□ 同意　□ 不拆　□ 修改：____</w:t>
            </w:r>
          </w:p>
        </w:tc>
      </w:tr>
      <w:tr>
        <w:tc>
          <w:tcPr>
            <w:tcW w:type="dxa" w:w="794"/>
          </w:tcPr>
          <w:p>
            <w:r/>
            <w:r>
              <w:rPr>
                <w:b w:val="0"/>
                <w:sz w:val="17"/>
              </w:rPr>
              <w:t>fc-35</w:t>
            </w:r>
          </w:p>
        </w:tc>
        <w:tc>
          <w:tcPr>
            <w:tcW w:type="dxa" w:w="2381"/>
          </w:tcPr>
          <w:p>
            <w:r/>
            <w:r>
              <w:rPr>
                <w:b w:val="0"/>
                <w:sz w:val="17"/>
              </w:rPr>
              <w:t>第三方 AI 供应链尽调</w:t>
            </w:r>
          </w:p>
        </w:tc>
        <w:tc>
          <w:tcPr>
            <w:tcW w:type="dxa" w:w="907"/>
          </w:tcPr>
          <w:p>
            <w:r/>
            <w:r>
              <w:rPr>
                <w:b w:val="0"/>
                <w:sz w:val="17"/>
              </w:rPr>
              <w:t>726</w:t>
            </w:r>
          </w:p>
        </w:tc>
        <w:tc>
          <w:tcPr>
            <w:tcW w:type="dxa" w:w="794"/>
          </w:tcPr>
          <w:p>
            <w:r/>
            <w:r>
              <w:rPr>
                <w:b w:val="0"/>
                <w:sz w:val="17"/>
              </w:rPr>
              <w:t>3</w:t>
            </w:r>
          </w:p>
        </w:tc>
        <w:tc>
          <w:tcPr>
            <w:tcW w:type="dxa" w:w="6236"/>
          </w:tcPr>
          <w:p>
            <w:r/>
            <w:r>
              <w:rPr>
                <w:b w:val="0"/>
                <w:sz w:val="17"/>
              </w:rPr>
              <w:t>①保证与风险评估 ②合同与数据治理 ③运营与供应链韧性</w:t>
            </w:r>
          </w:p>
        </w:tc>
        <w:tc>
          <w:tcPr>
            <w:tcW w:type="dxa" w:w="3288"/>
          </w:tcPr>
          <w:p>
            <w:r/>
            <w:r>
              <w:rPr>
                <w:b w:val="0"/>
                <w:sz w:val="17"/>
              </w:rPr>
              <w:t>□ 同意　□ 不拆　□ 修改：____</w:t>
            </w:r>
          </w:p>
        </w:tc>
      </w:tr>
      <w:tr>
        <w:tc>
          <w:tcPr>
            <w:tcW w:type="dxa" w:w="794"/>
          </w:tcPr>
          <w:p>
            <w:r/>
            <w:r>
              <w:rPr>
                <w:b w:val="0"/>
                <w:sz w:val="17"/>
              </w:rPr>
              <w:t>fc-33</w:t>
            </w:r>
          </w:p>
        </w:tc>
        <w:tc>
          <w:tcPr>
            <w:tcW w:type="dxa" w:w="2381"/>
          </w:tcPr>
          <w:p>
            <w:r/>
            <w:r>
              <w:rPr>
                <w:b w:val="0"/>
                <w:sz w:val="17"/>
              </w:rPr>
              <w:t>NIST AI RMF 四功能</w:t>
            </w:r>
          </w:p>
        </w:tc>
        <w:tc>
          <w:tcPr>
            <w:tcW w:type="dxa" w:w="907"/>
          </w:tcPr>
          <w:p>
            <w:r/>
            <w:r>
              <w:rPr>
                <w:b w:val="0"/>
                <w:sz w:val="17"/>
              </w:rPr>
              <w:t>702</w:t>
            </w:r>
          </w:p>
        </w:tc>
        <w:tc>
          <w:tcPr>
            <w:tcW w:type="dxa" w:w="794"/>
          </w:tcPr>
          <w:p>
            <w:r/>
            <w:r>
              <w:rPr>
                <w:b w:val="0"/>
                <w:sz w:val="17"/>
              </w:rPr>
              <w:t>2</w:t>
            </w:r>
          </w:p>
        </w:tc>
        <w:tc>
          <w:tcPr>
            <w:tcW w:type="dxa" w:w="6236"/>
          </w:tcPr>
          <w:p>
            <w:r/>
            <w:r>
              <w:rPr>
                <w:b w:val="0"/>
                <w:sz w:val="17"/>
              </w:rPr>
              <w:t>①四个功能各一句 ②功能之间的关系（见 3.2）</w:t>
            </w:r>
          </w:p>
        </w:tc>
        <w:tc>
          <w:tcPr>
            <w:tcW w:type="dxa" w:w="3288"/>
          </w:tcPr>
          <w:p>
            <w:r/>
            <w:r>
              <w:rPr>
                <w:b w:val="0"/>
                <w:sz w:val="17"/>
              </w:rPr>
              <w:t>□ 同意　□ 不拆　□ 修改：____</w:t>
            </w:r>
          </w:p>
        </w:tc>
      </w:tr>
      <w:tr>
        <w:tc>
          <w:tcPr>
            <w:tcW w:type="dxa" w:w="794"/>
          </w:tcPr>
          <w:p>
            <w:r/>
            <w:r>
              <w:rPr>
                <w:b w:val="0"/>
                <w:sz w:val="17"/>
              </w:rPr>
              <w:t>fc-08</w:t>
            </w:r>
          </w:p>
        </w:tc>
        <w:tc>
          <w:tcPr>
            <w:tcW w:type="dxa" w:w="2381"/>
          </w:tcPr>
          <w:p>
            <w:r/>
            <w:r>
              <w:rPr>
                <w:b w:val="0"/>
                <w:sz w:val="17"/>
              </w:rPr>
              <w:t>伦理咨询委员会 vs 指导委员会</w:t>
            </w:r>
          </w:p>
        </w:tc>
        <w:tc>
          <w:tcPr>
            <w:tcW w:type="dxa" w:w="907"/>
          </w:tcPr>
          <w:p>
            <w:r/>
            <w:r>
              <w:rPr>
                <w:b w:val="0"/>
                <w:sz w:val="17"/>
              </w:rPr>
              <w:t>696</w:t>
            </w:r>
          </w:p>
        </w:tc>
        <w:tc>
          <w:tcPr>
            <w:tcW w:type="dxa" w:w="794"/>
          </w:tcPr>
          <w:p>
            <w:r/>
            <w:r>
              <w:rPr>
                <w:b w:val="0"/>
                <w:sz w:val="17"/>
              </w:rPr>
              <w:t>2</w:t>
            </w:r>
          </w:p>
        </w:tc>
        <w:tc>
          <w:tcPr>
            <w:tcW w:type="dxa" w:w="6236"/>
          </w:tcPr>
          <w:p>
            <w:r/>
            <w:r>
              <w:rPr>
                <w:b w:val="0"/>
                <w:sz w:val="17"/>
              </w:rPr>
              <w:t>①指导委员会 ②伦理咨询委员会（再加一张两者对比）</w:t>
            </w:r>
          </w:p>
        </w:tc>
        <w:tc>
          <w:tcPr>
            <w:tcW w:type="dxa" w:w="3288"/>
          </w:tcPr>
          <w:p>
            <w:r/>
            <w:r>
              <w:rPr>
                <w:b w:val="0"/>
                <w:sz w:val="17"/>
              </w:rPr>
              <w:t>□ 同意　□ 不拆　□ 修改：____</w:t>
            </w:r>
          </w:p>
        </w:tc>
      </w:tr>
      <w:tr>
        <w:tc>
          <w:tcPr>
            <w:tcW w:type="dxa" w:w="794"/>
          </w:tcPr>
          <w:p>
            <w:r/>
            <w:r>
              <w:rPr>
                <w:b w:val="0"/>
                <w:sz w:val="17"/>
              </w:rPr>
              <w:t>fc-40</w:t>
            </w:r>
          </w:p>
        </w:tc>
        <w:tc>
          <w:tcPr>
            <w:tcW w:type="dxa" w:w="2381"/>
          </w:tcPr>
          <w:p>
            <w:r/>
            <w:r>
              <w:rPr>
                <w:b w:val="0"/>
                <w:sz w:val="17"/>
              </w:rPr>
              <w:t>AI Red Teaming</w:t>
            </w:r>
          </w:p>
        </w:tc>
        <w:tc>
          <w:tcPr>
            <w:tcW w:type="dxa" w:w="907"/>
          </w:tcPr>
          <w:p>
            <w:r/>
            <w:r>
              <w:rPr>
                <w:b w:val="0"/>
                <w:sz w:val="17"/>
              </w:rPr>
              <w:t>685</w:t>
            </w:r>
          </w:p>
        </w:tc>
        <w:tc>
          <w:tcPr>
            <w:tcW w:type="dxa" w:w="794"/>
          </w:tcPr>
          <w:p>
            <w:r/>
            <w:r>
              <w:rPr>
                <w:b w:val="0"/>
                <w:sz w:val="17"/>
              </w:rPr>
              <w:t>2</w:t>
            </w:r>
          </w:p>
        </w:tc>
        <w:tc>
          <w:tcPr>
            <w:tcW w:type="dxa" w:w="6236"/>
          </w:tcPr>
          <w:p>
            <w:r/>
            <w:r>
              <w:rPr>
                <w:b w:val="0"/>
                <w:sz w:val="17"/>
              </w:rPr>
              <w:t>①定义 ②五类攻击向量</w:t>
            </w:r>
          </w:p>
        </w:tc>
        <w:tc>
          <w:tcPr>
            <w:tcW w:type="dxa" w:w="3288"/>
          </w:tcPr>
          <w:p>
            <w:r/>
            <w:r>
              <w:rPr>
                <w:b w:val="0"/>
                <w:sz w:val="17"/>
              </w:rPr>
              <w:t>□ 同意　□ 不拆　□ 修改：____</w:t>
            </w:r>
          </w:p>
        </w:tc>
      </w:tr>
      <w:tr>
        <w:tc>
          <w:tcPr>
            <w:tcW w:type="dxa" w:w="794"/>
          </w:tcPr>
          <w:p>
            <w:r/>
            <w:r>
              <w:rPr>
                <w:b w:val="0"/>
                <w:sz w:val="17"/>
              </w:rPr>
              <w:t>fc-03</w:t>
            </w:r>
          </w:p>
        </w:tc>
        <w:tc>
          <w:tcPr>
            <w:tcW w:type="dxa" w:w="2381"/>
          </w:tcPr>
          <w:p>
            <w:r/>
            <w:r>
              <w:rPr>
                <w:b w:val="0"/>
                <w:sz w:val="17"/>
              </w:rPr>
              <w:t>可接受使用政策</w:t>
            </w:r>
          </w:p>
        </w:tc>
        <w:tc>
          <w:tcPr>
            <w:tcW w:type="dxa" w:w="907"/>
          </w:tcPr>
          <w:p>
            <w:r/>
            <w:r>
              <w:rPr>
                <w:b w:val="0"/>
                <w:sz w:val="17"/>
              </w:rPr>
              <w:t>673</w:t>
            </w:r>
          </w:p>
        </w:tc>
        <w:tc>
          <w:tcPr>
            <w:tcW w:type="dxa" w:w="794"/>
          </w:tcPr>
          <w:p>
            <w:r/>
            <w:r>
              <w:rPr>
                <w:b w:val="0"/>
                <w:sz w:val="17"/>
              </w:rPr>
              <w:t>2</w:t>
            </w:r>
          </w:p>
        </w:tc>
        <w:tc>
          <w:tcPr>
            <w:tcW w:type="dxa" w:w="6236"/>
          </w:tcPr>
          <w:p>
            <w:r/>
            <w:r>
              <w:rPr>
                <w:b w:val="0"/>
                <w:sz w:val="17"/>
              </w:rPr>
              <w:t>①工具与数据规则 ②监督与事件上报</w:t>
            </w:r>
          </w:p>
        </w:tc>
        <w:tc>
          <w:tcPr>
            <w:tcW w:type="dxa" w:w="3288"/>
          </w:tcPr>
          <w:p>
            <w:r/>
            <w:r>
              <w:rPr>
                <w:b w:val="0"/>
                <w:sz w:val="17"/>
              </w:rPr>
              <w:t>□ 同意　□ 不拆　□ 修改：____</w:t>
            </w:r>
          </w:p>
        </w:tc>
      </w:tr>
      <w:tr>
        <w:tc>
          <w:tcPr>
            <w:tcW w:type="dxa" w:w="794"/>
          </w:tcPr>
          <w:p>
            <w:r/>
            <w:r>
              <w:rPr>
                <w:b w:val="0"/>
                <w:sz w:val="17"/>
              </w:rPr>
              <w:t>fc-18</w:t>
            </w:r>
          </w:p>
        </w:tc>
        <w:tc>
          <w:tcPr>
            <w:tcW w:type="dxa" w:w="2381"/>
          </w:tcPr>
          <w:p>
            <w:r/>
            <w:r>
              <w:rPr>
                <w:b w:val="0"/>
                <w:sz w:val="17"/>
              </w:rPr>
              <w:t>向量数据库控制</w:t>
            </w:r>
          </w:p>
        </w:tc>
        <w:tc>
          <w:tcPr>
            <w:tcW w:type="dxa" w:w="907"/>
          </w:tcPr>
          <w:p>
            <w:r/>
            <w:r>
              <w:rPr>
                <w:b w:val="0"/>
                <w:sz w:val="17"/>
              </w:rPr>
              <w:t>672</w:t>
            </w:r>
          </w:p>
        </w:tc>
        <w:tc>
          <w:tcPr>
            <w:tcW w:type="dxa" w:w="794"/>
          </w:tcPr>
          <w:p>
            <w:r/>
            <w:r>
              <w:rPr>
                <w:b w:val="0"/>
                <w:sz w:val="17"/>
              </w:rPr>
              <w:t>3</w:t>
            </w:r>
          </w:p>
        </w:tc>
        <w:tc>
          <w:tcPr>
            <w:tcW w:type="dxa" w:w="6236"/>
          </w:tcPr>
          <w:p>
            <w:r/>
            <w:r>
              <w:rPr>
                <w:b w:val="0"/>
                <w:sz w:val="17"/>
              </w:rPr>
              <w:t>①授权感知检索 ②数据与向量保护 ③保留与删除同步</w:t>
            </w:r>
          </w:p>
        </w:tc>
        <w:tc>
          <w:tcPr>
            <w:tcW w:type="dxa" w:w="3288"/>
          </w:tcPr>
          <w:p>
            <w:r/>
            <w:r>
              <w:rPr>
                <w:b w:val="0"/>
                <w:sz w:val="17"/>
              </w:rPr>
              <w:t>□ 同意　□ 不拆　□ 修改：____</w:t>
            </w:r>
          </w:p>
        </w:tc>
      </w:tr>
      <w:tr>
        <w:tc>
          <w:tcPr>
            <w:tcW w:type="dxa" w:w="794"/>
          </w:tcPr>
          <w:p>
            <w:r/>
            <w:r>
              <w:rPr>
                <w:b w:val="0"/>
                <w:sz w:val="17"/>
              </w:rPr>
              <w:t>fc-38</w:t>
            </w:r>
          </w:p>
        </w:tc>
        <w:tc>
          <w:tcPr>
            <w:tcW w:type="dxa" w:w="2381"/>
          </w:tcPr>
          <w:p>
            <w:r/>
            <w:r>
              <w:rPr>
                <w:b w:val="0"/>
                <w:sz w:val="17"/>
              </w:rPr>
              <w:t>AI 事件报告期限</w:t>
            </w:r>
          </w:p>
        </w:tc>
        <w:tc>
          <w:tcPr>
            <w:tcW w:type="dxa" w:w="907"/>
          </w:tcPr>
          <w:p>
            <w:r/>
            <w:r>
              <w:rPr>
                <w:b w:val="0"/>
                <w:sz w:val="17"/>
              </w:rPr>
              <w:t>642</w:t>
            </w:r>
          </w:p>
        </w:tc>
        <w:tc>
          <w:tcPr>
            <w:tcW w:type="dxa" w:w="794"/>
          </w:tcPr>
          <w:p>
            <w:r/>
            <w:r>
              <w:rPr>
                <w:b w:val="0"/>
                <w:sz w:val="17"/>
              </w:rPr>
              <w:t>1</w:t>
            </w:r>
          </w:p>
        </w:tc>
        <w:tc>
          <w:tcPr>
            <w:tcW w:type="dxa" w:w="6236"/>
          </w:tcPr>
          <w:p>
            <w:r/>
            <w:r>
              <w:rPr>
                <w:b w:val="0"/>
                <w:sz w:val="17"/>
              </w:rPr>
              <w:t>不拆，缩短：三种期限各用一句话说明适用情形</w:t>
            </w:r>
          </w:p>
        </w:tc>
        <w:tc>
          <w:tcPr>
            <w:tcW w:type="dxa" w:w="3288"/>
          </w:tcPr>
          <w:p>
            <w:r/>
            <w:r>
              <w:rPr>
                <w:b w:val="0"/>
                <w:sz w:val="17"/>
              </w:rPr>
              <w:t>□ 同意　□ 不拆　□ 修改：____</w:t>
            </w:r>
          </w:p>
        </w:tc>
      </w:tr>
      <w:tr>
        <w:tc>
          <w:tcPr>
            <w:tcW w:type="dxa" w:w="794"/>
          </w:tcPr>
          <w:p>
            <w:r/>
            <w:r>
              <w:rPr>
                <w:b w:val="0"/>
                <w:sz w:val="17"/>
              </w:rPr>
              <w:t>fc-25</w:t>
            </w:r>
          </w:p>
        </w:tc>
        <w:tc>
          <w:tcPr>
            <w:tcW w:type="dxa" w:w="2381"/>
          </w:tcPr>
          <w:p>
            <w:r/>
            <w:r>
              <w:rPr>
                <w:b w:val="0"/>
                <w:sz w:val="17"/>
              </w:rPr>
              <w:t>HITL / HOTL / HIC</w:t>
            </w:r>
          </w:p>
        </w:tc>
        <w:tc>
          <w:tcPr>
            <w:tcW w:type="dxa" w:w="907"/>
          </w:tcPr>
          <w:p>
            <w:r/>
            <w:r>
              <w:rPr>
                <w:b w:val="0"/>
                <w:sz w:val="17"/>
              </w:rPr>
              <w:t>638</w:t>
            </w:r>
          </w:p>
        </w:tc>
        <w:tc>
          <w:tcPr>
            <w:tcW w:type="dxa" w:w="794"/>
          </w:tcPr>
          <w:p>
            <w:r/>
            <w:r>
              <w:rPr>
                <w:b w:val="0"/>
                <w:sz w:val="17"/>
              </w:rPr>
              <w:t>3</w:t>
            </w:r>
          </w:p>
        </w:tc>
        <w:tc>
          <w:tcPr>
            <w:tcW w:type="dxa" w:w="6236"/>
          </w:tcPr>
          <w:p>
            <w:r/>
            <w:r>
              <w:rPr>
                <w:b w:val="0"/>
                <w:sz w:val="17"/>
              </w:rPr>
              <w:t>①HITL ②HOTL ③HIC；或保留一张并缩短</w:t>
            </w:r>
          </w:p>
        </w:tc>
        <w:tc>
          <w:tcPr>
            <w:tcW w:type="dxa" w:w="3288"/>
          </w:tcPr>
          <w:p>
            <w:r/>
            <w:r>
              <w:rPr>
                <w:b w:val="0"/>
                <w:sz w:val="17"/>
              </w:rPr>
              <w:t>□ 同意　□ 不拆　□ 修改：____</w:t>
            </w:r>
          </w:p>
        </w:tc>
      </w:tr>
      <w:tr>
        <w:tc>
          <w:tcPr>
            <w:tcW w:type="dxa" w:w="794"/>
          </w:tcPr>
          <w:p>
            <w:r/>
            <w:r>
              <w:rPr>
                <w:b w:val="0"/>
                <w:sz w:val="17"/>
              </w:rPr>
              <w:t>fc-07</w:t>
            </w:r>
          </w:p>
        </w:tc>
        <w:tc>
          <w:tcPr>
            <w:tcW w:type="dxa" w:w="2381"/>
          </w:tcPr>
          <w:p>
            <w:r/>
            <w:r>
              <w:rPr>
                <w:b w:val="0"/>
                <w:sz w:val="17"/>
              </w:rPr>
              <w:t>董事会监督</w:t>
            </w:r>
          </w:p>
        </w:tc>
        <w:tc>
          <w:tcPr>
            <w:tcW w:type="dxa" w:w="907"/>
          </w:tcPr>
          <w:p>
            <w:r/>
            <w:r>
              <w:rPr>
                <w:b w:val="0"/>
                <w:sz w:val="17"/>
              </w:rPr>
              <w:t>629</w:t>
            </w:r>
          </w:p>
        </w:tc>
        <w:tc>
          <w:tcPr>
            <w:tcW w:type="dxa" w:w="794"/>
          </w:tcPr>
          <w:p>
            <w:r/>
            <w:r>
              <w:rPr>
                <w:b w:val="0"/>
                <w:sz w:val="17"/>
              </w:rPr>
              <w:t>2</w:t>
            </w:r>
          </w:p>
        </w:tc>
        <w:tc>
          <w:tcPr>
            <w:tcW w:type="dxa" w:w="6236"/>
          </w:tcPr>
          <w:p>
            <w:r/>
            <w:r>
              <w:rPr>
                <w:b w:val="0"/>
                <w:sz w:val="17"/>
              </w:rPr>
              <w:t>①一般职责 ②Caremark（美国特定，见 J15）</w:t>
            </w:r>
          </w:p>
        </w:tc>
        <w:tc>
          <w:tcPr>
            <w:tcW w:type="dxa" w:w="3288"/>
          </w:tcPr>
          <w:p>
            <w:r/>
            <w:r>
              <w:rPr>
                <w:b w:val="0"/>
                <w:sz w:val="17"/>
              </w:rPr>
              <w:t>□ 同意　□ 不拆　□ 修改：____</w:t>
            </w:r>
          </w:p>
        </w:tc>
      </w:tr>
      <w:tr>
        <w:tc>
          <w:tcPr>
            <w:tcW w:type="dxa" w:w="794"/>
          </w:tcPr>
          <w:p>
            <w:r/>
            <w:r>
              <w:rPr>
                <w:b w:val="0"/>
                <w:sz w:val="17"/>
              </w:rPr>
              <w:t>fc-29</w:t>
            </w:r>
          </w:p>
        </w:tc>
        <w:tc>
          <w:tcPr>
            <w:tcW w:type="dxa" w:w="2381"/>
          </w:tcPr>
          <w:p>
            <w:r/>
            <w:r>
              <w:rPr>
                <w:b w:val="0"/>
                <w:sz w:val="17"/>
              </w:rPr>
              <w:t>幻觉缓解</w:t>
            </w:r>
          </w:p>
        </w:tc>
        <w:tc>
          <w:tcPr>
            <w:tcW w:type="dxa" w:w="907"/>
          </w:tcPr>
          <w:p>
            <w:r/>
            <w:r>
              <w:rPr>
                <w:b w:val="0"/>
                <w:sz w:val="17"/>
              </w:rPr>
              <w:t>622</w:t>
            </w:r>
          </w:p>
        </w:tc>
        <w:tc>
          <w:tcPr>
            <w:tcW w:type="dxa" w:w="794"/>
          </w:tcPr>
          <w:p>
            <w:r/>
            <w:r>
              <w:rPr>
                <w:b w:val="0"/>
                <w:sz w:val="17"/>
              </w:rPr>
              <w:t>2</w:t>
            </w:r>
          </w:p>
        </w:tc>
        <w:tc>
          <w:tcPr>
            <w:tcW w:type="dxa" w:w="6236"/>
          </w:tcPr>
          <w:p>
            <w:r/>
            <w:r>
              <w:rPr>
                <w:b w:val="0"/>
                <w:sz w:val="17"/>
              </w:rPr>
              <w:t>①技术措施（RAG、解码约束）②治理措施（护栏评估器、人工审查）</w:t>
            </w:r>
          </w:p>
        </w:tc>
        <w:tc>
          <w:tcPr>
            <w:tcW w:type="dxa" w:w="3288"/>
          </w:tcPr>
          <w:p>
            <w:r/>
            <w:r>
              <w:rPr>
                <w:b w:val="0"/>
                <w:sz w:val="17"/>
              </w:rPr>
              <w:t>□ 同意　□ 不拆　□ 修改：____</w:t>
            </w:r>
          </w:p>
        </w:tc>
      </w:tr>
      <w:tr>
        <w:tc>
          <w:tcPr>
            <w:tcW w:type="dxa" w:w="794"/>
          </w:tcPr>
          <w:p>
            <w:r/>
            <w:r>
              <w:rPr>
                <w:b w:val="0"/>
                <w:sz w:val="17"/>
              </w:rPr>
              <w:t>fc-15</w:t>
            </w:r>
          </w:p>
        </w:tc>
        <w:tc>
          <w:tcPr>
            <w:tcW w:type="dxa" w:w="2381"/>
          </w:tcPr>
          <w:p>
            <w:r/>
            <w:r>
              <w:rPr>
                <w:b w:val="0"/>
                <w:sz w:val="17"/>
              </w:rPr>
              <w:t>合成数据治理</w:t>
            </w:r>
          </w:p>
        </w:tc>
        <w:tc>
          <w:tcPr>
            <w:tcW w:type="dxa" w:w="907"/>
          </w:tcPr>
          <w:p>
            <w:r/>
            <w:r>
              <w:rPr>
                <w:b w:val="0"/>
                <w:sz w:val="17"/>
              </w:rPr>
              <w:t>610</w:t>
            </w:r>
          </w:p>
        </w:tc>
        <w:tc>
          <w:tcPr>
            <w:tcW w:type="dxa" w:w="794"/>
          </w:tcPr>
          <w:p>
            <w:r/>
            <w:r>
              <w:rPr>
                <w:b w:val="0"/>
                <w:sz w:val="17"/>
              </w:rPr>
              <w:t>1</w:t>
            </w:r>
          </w:p>
        </w:tc>
        <w:tc>
          <w:tcPr>
            <w:tcW w:type="dxa" w:w="6236"/>
          </w:tcPr>
          <w:p>
            <w:r/>
            <w:r>
              <w:rPr>
                <w:b w:val="0"/>
                <w:sz w:val="17"/>
              </w:rPr>
              <w:t>不拆，缩短；或每个风险一张（模型崩溃、偏见放大、隐私泄露）</w:t>
            </w:r>
          </w:p>
        </w:tc>
        <w:tc>
          <w:tcPr>
            <w:tcW w:type="dxa" w:w="3288"/>
          </w:tcPr>
          <w:p>
            <w:r/>
            <w:r>
              <w:rPr>
                <w:b w:val="0"/>
                <w:sz w:val="17"/>
              </w:rPr>
              <w:t>□ 同意　□ 不拆　□ 修改：____</w:t>
            </w:r>
          </w:p>
        </w:tc>
      </w:tr>
      <w:tr>
        <w:tc>
          <w:tcPr>
            <w:tcW w:type="dxa" w:w="794"/>
          </w:tcPr>
          <w:p>
            <w:r/>
            <w:r>
              <w:rPr>
                <w:b w:val="0"/>
                <w:sz w:val="17"/>
              </w:rPr>
              <w:t>fc-06</w:t>
            </w:r>
          </w:p>
        </w:tc>
        <w:tc>
          <w:tcPr>
            <w:tcW w:type="dxa" w:w="2381"/>
          </w:tcPr>
          <w:p>
            <w:r/>
            <w:r>
              <w:rPr>
                <w:b w:val="0"/>
                <w:sz w:val="17"/>
              </w:rPr>
              <w:t>Shadow AI</w:t>
            </w:r>
          </w:p>
        </w:tc>
        <w:tc>
          <w:tcPr>
            <w:tcW w:type="dxa" w:w="907"/>
          </w:tcPr>
          <w:p>
            <w:r/>
            <w:r>
              <w:rPr>
                <w:b w:val="0"/>
                <w:sz w:val="17"/>
              </w:rPr>
              <w:t>609</w:t>
            </w:r>
          </w:p>
        </w:tc>
        <w:tc>
          <w:tcPr>
            <w:tcW w:type="dxa" w:w="794"/>
          </w:tcPr>
          <w:p>
            <w:r/>
            <w:r>
              <w:rPr>
                <w:b w:val="0"/>
                <w:sz w:val="17"/>
              </w:rPr>
              <w:t>2</w:t>
            </w:r>
          </w:p>
        </w:tc>
        <w:tc>
          <w:tcPr>
            <w:tcW w:type="dxa" w:w="6236"/>
          </w:tcPr>
          <w:p>
            <w:r/>
            <w:r>
              <w:rPr>
                <w:b w:val="0"/>
                <w:sz w:val="17"/>
              </w:rPr>
              <w:t>①定义 ②治理措施（见 3.2）</w:t>
            </w:r>
          </w:p>
        </w:tc>
        <w:tc>
          <w:tcPr>
            <w:tcW w:type="dxa" w:w="3288"/>
          </w:tcPr>
          <w:p>
            <w:r/>
            <w:r>
              <w:rPr>
                <w:b w:val="0"/>
                <w:sz w:val="17"/>
              </w:rPr>
              <w:t>□ 同意　□ 不拆　□ 修改：____</w:t>
            </w:r>
          </w:p>
        </w:tc>
      </w:tr>
    </w:tbl>
    <w:p>
      <w:pPr>
        <w:pStyle w:val="Heading2"/>
      </w:pPr>
      <w:r>
        <w:t>3.4　拟新增的 12 张卡（覆盖空白主题）</w:t>
      </w:r>
    </w:p>
    <w:p>
      <w:pPr>
        <w:spacing w:after="60"/>
      </w:pPr>
      <w:r>
        <w:rPr>
          <w:b w:val="0"/>
          <w:sz w:val="18"/>
        </w:rPr>
        <w:t>下面的"答案要点"是我凭记忆写的，没有核对原文；"来源（待核验）"也只是我认为可能的出处。你决定要不要之后，我才会写成正式卡片。</w:t>
      </w:r>
    </w:p>
    <w:tbl>
      <w:tblPr>
        <w:tblStyle w:val="TableGrid"/>
        <w:tblW w:type="auto" w:w="0"/>
        <w:tblLayout w:type="fixed"/>
        <w:tblLook w:firstColumn="1" w:firstRow="1" w:lastColumn="0" w:lastRow="0" w:noHBand="0" w:noVBand="1" w:val="04A0"/>
      </w:tblPr>
      <w:tblGrid>
        <w:gridCol w:w="1361"/>
        <w:gridCol w:w="3402"/>
        <w:gridCol w:w="5102"/>
        <w:gridCol w:w="2608"/>
        <w:gridCol w:w="1928"/>
      </w:tblGrid>
      <w:tr>
        <w:tc>
          <w:tcPr>
            <w:tcW w:type="dxa" w:w="1361"/>
            <w:shd w:val="clear" w:color="auto" w:fill="D9E2F3"/>
          </w:tcPr>
          <w:p>
            <w:r/>
            <w:r>
              <w:rPr>
                <w:b/>
                <w:sz w:val="17"/>
              </w:rPr>
              <w:t>子题</w:t>
            </w:r>
          </w:p>
        </w:tc>
        <w:tc>
          <w:tcPr>
            <w:tcW w:type="dxa" w:w="3402"/>
            <w:shd w:val="clear" w:color="auto" w:fill="D9E2F3"/>
          </w:tcPr>
          <w:p>
            <w:r/>
            <w:r>
              <w:rPr>
                <w:b/>
                <w:sz w:val="17"/>
              </w:rPr>
              <w:t>拟新增卡的正面</w:t>
            </w:r>
          </w:p>
        </w:tc>
        <w:tc>
          <w:tcPr>
            <w:tcW w:type="dxa" w:w="5102"/>
            <w:shd w:val="clear" w:color="auto" w:fill="D9E2F3"/>
          </w:tcPr>
          <w:p>
            <w:r/>
            <w:r>
              <w:rPr>
                <w:b/>
                <w:sz w:val="17"/>
              </w:rPr>
              <w:t>答案要点（凭记忆，待核）</w:t>
            </w:r>
          </w:p>
        </w:tc>
        <w:tc>
          <w:tcPr>
            <w:tcW w:type="dxa" w:w="2608"/>
            <w:shd w:val="clear" w:color="auto" w:fill="D9E2F3"/>
          </w:tcPr>
          <w:p>
            <w:r/>
            <w:r>
              <w:rPr>
                <w:b/>
                <w:sz w:val="17"/>
              </w:rPr>
              <w:t>来源（待核验）</w:t>
            </w:r>
          </w:p>
        </w:tc>
        <w:tc>
          <w:tcPr>
            <w:tcW w:type="dxa" w:w="1928"/>
            <w:shd w:val="clear" w:color="auto" w:fill="D9E2F3"/>
          </w:tcPr>
          <w:p>
            <w:r/>
            <w:r>
              <w:rPr>
                <w:b/>
                <w:sz w:val="17"/>
              </w:rPr>
              <w:t>你的决定</w:t>
            </w:r>
          </w:p>
        </w:tc>
      </w:tr>
      <w:tr>
        <w:tc>
          <w:tcPr>
            <w:tcW w:type="dxa" w:w="1361"/>
          </w:tcPr>
          <w:p>
            <w:r/>
            <w:r>
              <w:rPr>
                <w:b w:val="0"/>
                <w:sz w:val="17"/>
              </w:rPr>
              <w:t>D1.2 战略对齐</w:t>
            </w:r>
          </w:p>
        </w:tc>
        <w:tc>
          <w:tcPr>
            <w:tcW w:type="dxa" w:w="3402"/>
          </w:tcPr>
          <w:p>
            <w:r/>
            <w:r>
              <w:rPr>
                <w:b w:val="0"/>
                <w:sz w:val="17"/>
              </w:rPr>
              <w:t>怎样证明一个 AI 项目与组织战略对齐？</w:t>
            </w:r>
          </w:p>
        </w:tc>
        <w:tc>
          <w:tcPr>
            <w:tcW w:type="dxa" w:w="5102"/>
          </w:tcPr>
          <w:p>
            <w:r/>
            <w:r>
              <w:rPr>
                <w:b w:val="0"/>
                <w:sz w:val="17"/>
              </w:rPr>
              <w:t>每个项目关联一个战略目标、可衡量的结果和一位负责的发起人；定期按战略复核项目组合，偏离战略的项目要停止或调整。</w:t>
            </w:r>
          </w:p>
        </w:tc>
        <w:tc>
          <w:tcPr>
            <w:tcW w:type="dxa" w:w="2608"/>
          </w:tcPr>
          <w:p>
            <w:r/>
            <w:r>
              <w:rPr>
                <w:b w:val="0"/>
                <w:sz w:val="17"/>
              </w:rPr>
              <w:t>COBIT 2019 EDM02；NIST AI RMF GOVERN 1.3</w:t>
            </w:r>
          </w:p>
        </w:tc>
        <w:tc>
          <w:tcPr>
            <w:tcW w:type="dxa" w:w="1928"/>
          </w:tcPr>
          <w:p>
            <w:r/>
            <w:r>
              <w:rPr>
                <w:b w:val="0"/>
                <w:sz w:val="17"/>
              </w:rPr>
              <w:t>□ 要　□ 不要　□ 修改：____</w:t>
            </w:r>
          </w:p>
        </w:tc>
      </w:tr>
      <w:tr>
        <w:tc>
          <w:tcPr>
            <w:tcW w:type="dxa" w:w="1361"/>
          </w:tcPr>
          <w:p>
            <w:r/>
            <w:r>
              <w:rPr>
                <w:b w:val="0"/>
                <w:sz w:val="17"/>
              </w:rPr>
              <w:t>D1.2 战略对齐</w:t>
            </w:r>
          </w:p>
        </w:tc>
        <w:tc>
          <w:tcPr>
            <w:tcW w:type="dxa" w:w="3402"/>
          </w:tcPr>
          <w:p>
            <w:r/>
            <w:r>
              <w:rPr>
                <w:b w:val="0"/>
                <w:sz w:val="17"/>
              </w:rPr>
              <w:t>有多个竞争的 AI 项目时，应按什么标准选择？</w:t>
            </w:r>
          </w:p>
        </w:tc>
        <w:tc>
          <w:tcPr>
            <w:tcW w:type="dxa" w:w="5102"/>
          </w:tcPr>
          <w:p>
            <w:r/>
            <w:r>
              <w:rPr>
                <w:b w:val="0"/>
                <w:sz w:val="17"/>
              </w:rPr>
              <w:t>用统一标准评分：战略契合度、预期价值、风险、交付能力；不以发起人热情、最低成本或技术新颖度作为依据。</w:t>
            </w:r>
          </w:p>
        </w:tc>
        <w:tc>
          <w:tcPr>
            <w:tcW w:type="dxa" w:w="2608"/>
          </w:tcPr>
          <w:p>
            <w:r/>
            <w:r>
              <w:rPr>
                <w:b w:val="0"/>
                <w:sz w:val="17"/>
              </w:rPr>
              <w:t>COBIT 2019 EDM02、APO05</w:t>
            </w:r>
          </w:p>
        </w:tc>
        <w:tc>
          <w:tcPr>
            <w:tcW w:type="dxa" w:w="1928"/>
          </w:tcPr>
          <w:p>
            <w:r/>
            <w:r>
              <w:rPr>
                <w:b w:val="0"/>
                <w:sz w:val="17"/>
              </w:rPr>
              <w:t>□ 要　□ 不要　□ 修改：____</w:t>
            </w:r>
          </w:p>
        </w:tc>
      </w:tr>
      <w:tr>
        <w:tc>
          <w:tcPr>
            <w:tcW w:type="dxa" w:w="1361"/>
          </w:tcPr>
          <w:p>
            <w:r/>
            <w:r>
              <w:rPr>
                <w:b w:val="0"/>
                <w:sz w:val="17"/>
              </w:rPr>
              <w:t>D2.1 数据质量</w:t>
            </w:r>
          </w:p>
        </w:tc>
        <w:tc>
          <w:tcPr>
            <w:tcW w:type="dxa" w:w="3402"/>
          </w:tcPr>
          <w:p>
            <w:r/>
            <w:r>
              <w:rPr>
                <w:b w:val="0"/>
                <w:sz w:val="17"/>
              </w:rPr>
              <w:t>AI 训练数据的主要质量维度有哪些？</w:t>
            </w:r>
          </w:p>
        </w:tc>
        <w:tc>
          <w:tcPr>
            <w:tcW w:type="dxa" w:w="5102"/>
          </w:tcPr>
          <w:p>
            <w:r/>
            <w:r>
              <w:rPr>
                <w:b w:val="0"/>
                <w:sz w:val="17"/>
              </w:rPr>
              <w:t>完整性、准确性、一致性、及时性、有效性、唯一性，以及与用途的相关性和代表性；质量要按预期用途判断。</w:t>
            </w:r>
          </w:p>
        </w:tc>
        <w:tc>
          <w:tcPr>
            <w:tcW w:type="dxa" w:w="2608"/>
          </w:tcPr>
          <w:p>
            <w:r/>
            <w:r>
              <w:rPr>
                <w:b w:val="0"/>
                <w:sz w:val="17"/>
              </w:rPr>
              <w:t>EU AI Act 第 10 条；NIST AI RMF MAP 2.3</w:t>
            </w:r>
          </w:p>
        </w:tc>
        <w:tc>
          <w:tcPr>
            <w:tcW w:type="dxa" w:w="1928"/>
          </w:tcPr>
          <w:p>
            <w:r/>
            <w:r>
              <w:rPr>
                <w:b w:val="0"/>
                <w:sz w:val="17"/>
              </w:rPr>
              <w:t>□ 要　□ 不要　□ 修改：____</w:t>
            </w:r>
          </w:p>
        </w:tc>
      </w:tr>
      <w:tr>
        <w:tc>
          <w:tcPr>
            <w:tcW w:type="dxa" w:w="1361"/>
          </w:tcPr>
          <w:p>
            <w:r/>
            <w:r>
              <w:rPr>
                <w:b w:val="0"/>
                <w:sz w:val="17"/>
              </w:rPr>
              <w:t>D2.1 数据质量</w:t>
            </w:r>
          </w:p>
        </w:tc>
        <w:tc>
          <w:tcPr>
            <w:tcW w:type="dxa" w:w="3402"/>
          </w:tcPr>
          <w:p>
            <w:r/>
            <w:r>
              <w:rPr>
                <w:b w:val="0"/>
                <w:sz w:val="17"/>
              </w:rPr>
              <w:t>AI 用数据的质量应由谁负责？</w:t>
            </w:r>
          </w:p>
        </w:tc>
        <w:tc>
          <w:tcPr>
            <w:tcW w:type="dxa" w:w="5102"/>
          </w:tcPr>
          <w:p>
            <w:r/>
            <w:r>
              <w:rPr>
                <w:b w:val="0"/>
                <w:sz w:val="17"/>
              </w:rPr>
              <w:t>产生并使用该数据的业务职能负责数据质量，由数据治理提供标准和支持；不应只由使用数据训练模型的团队或提供基础设施的团队负责。</w:t>
            </w:r>
          </w:p>
        </w:tc>
        <w:tc>
          <w:tcPr>
            <w:tcW w:type="dxa" w:w="2608"/>
          </w:tcPr>
          <w:p>
            <w:r/>
            <w:r>
              <w:rPr>
                <w:b w:val="0"/>
                <w:sz w:val="17"/>
              </w:rPr>
              <w:t>COBIT 2019 APO14；NIST AI RMF GOVERN 2.1</w:t>
            </w:r>
          </w:p>
        </w:tc>
        <w:tc>
          <w:tcPr>
            <w:tcW w:type="dxa" w:w="1928"/>
          </w:tcPr>
          <w:p>
            <w:r/>
            <w:r>
              <w:rPr>
                <w:b w:val="0"/>
                <w:sz w:val="17"/>
              </w:rPr>
              <w:t>□ 要　□ 不要　□ 修改：____</w:t>
            </w:r>
          </w:p>
        </w:tc>
      </w:tr>
      <w:tr>
        <w:tc>
          <w:tcPr>
            <w:tcW w:type="dxa" w:w="1361"/>
          </w:tcPr>
          <w:p>
            <w:r/>
            <w:r>
              <w:rPr>
                <w:b w:val="0"/>
                <w:sz w:val="17"/>
              </w:rPr>
              <w:t>D2.1 数据质量</w:t>
            </w:r>
          </w:p>
        </w:tc>
        <w:tc>
          <w:tcPr>
            <w:tcW w:type="dxa" w:w="3402"/>
          </w:tcPr>
          <w:p>
            <w:r/>
            <w:r>
              <w:rPr>
                <w:b w:val="0"/>
                <w:sz w:val="17"/>
              </w:rPr>
              <w:t>什么是数据契约，它如何帮助 AI？</w:t>
            </w:r>
          </w:p>
        </w:tc>
        <w:tc>
          <w:tcPr>
            <w:tcW w:type="dxa" w:w="5102"/>
          </w:tcPr>
          <w:p>
            <w:r/>
            <w:r>
              <w:rPr>
                <w:b w:val="0"/>
                <w:sz w:val="17"/>
              </w:rPr>
              <w:t>约定数据来源的结构、单位、取值范围和含义，并在数据进入时自动校验，防止格式或单位变化悄悄传到模型。</w:t>
            </w:r>
          </w:p>
        </w:tc>
        <w:tc>
          <w:tcPr>
            <w:tcW w:type="dxa" w:w="2608"/>
          </w:tcPr>
          <w:p>
            <w:r/>
            <w:r>
              <w:rPr>
                <w:b w:val="0"/>
                <w:sz w:val="17"/>
              </w:rPr>
              <w:t>NIST AI RMF MAP 2.3、MANAGE 4.1</w:t>
            </w:r>
          </w:p>
        </w:tc>
        <w:tc>
          <w:tcPr>
            <w:tcW w:type="dxa" w:w="1928"/>
          </w:tcPr>
          <w:p>
            <w:r/>
            <w:r>
              <w:rPr>
                <w:b w:val="0"/>
                <w:sz w:val="17"/>
              </w:rPr>
              <w:t>□ 要　□ 不要　□ 修改：____</w:t>
            </w:r>
          </w:p>
        </w:tc>
      </w:tr>
      <w:tr>
        <w:tc>
          <w:tcPr>
            <w:tcW w:type="dxa" w:w="1361"/>
          </w:tcPr>
          <w:p>
            <w:r/>
            <w:r>
              <w:rPr>
                <w:b w:val="0"/>
                <w:sz w:val="17"/>
              </w:rPr>
              <w:t>D3.5 审计与日志</w:t>
            </w:r>
          </w:p>
        </w:tc>
        <w:tc>
          <w:tcPr>
            <w:tcW w:type="dxa" w:w="3402"/>
          </w:tcPr>
          <w:p>
            <w:r/>
            <w:r>
              <w:rPr>
                <w:b w:val="0"/>
                <w:sz w:val="17"/>
              </w:rPr>
              <w:t>为了能调查 AI 的错误输出，日志应记录什么？</w:t>
            </w:r>
          </w:p>
        </w:tc>
        <w:tc>
          <w:tcPr>
            <w:tcW w:type="dxa" w:w="5102"/>
          </w:tcPr>
          <w:p>
            <w:r/>
            <w:r>
              <w:rPr>
                <w:b w:val="0"/>
                <w:sz w:val="17"/>
              </w:rPr>
              <w:t>输入、输出、模型版本、检索到的来源（如适用）和人工干预；记录要能把一次具体输出追溯到原因。</w:t>
            </w:r>
          </w:p>
        </w:tc>
        <w:tc>
          <w:tcPr>
            <w:tcW w:type="dxa" w:w="2608"/>
          </w:tcPr>
          <w:p>
            <w:r/>
            <w:r>
              <w:rPr>
                <w:b w:val="0"/>
                <w:sz w:val="17"/>
              </w:rPr>
              <w:t>EU AI Act 第 12 条；NIST AI RMF MEASURE 2.8</w:t>
            </w:r>
          </w:p>
        </w:tc>
        <w:tc>
          <w:tcPr>
            <w:tcW w:type="dxa" w:w="1928"/>
          </w:tcPr>
          <w:p>
            <w:r/>
            <w:r>
              <w:rPr>
                <w:b w:val="0"/>
                <w:sz w:val="17"/>
              </w:rPr>
              <w:t>□ 要　□ 不要　□ 修改：____</w:t>
            </w:r>
          </w:p>
        </w:tc>
      </w:tr>
      <w:tr>
        <w:tc>
          <w:tcPr>
            <w:tcW w:type="dxa" w:w="1361"/>
          </w:tcPr>
          <w:p>
            <w:r/>
            <w:r>
              <w:rPr>
                <w:b w:val="0"/>
                <w:sz w:val="17"/>
              </w:rPr>
              <w:t>D3.5 审计与日志</w:t>
            </w:r>
          </w:p>
        </w:tc>
        <w:tc>
          <w:tcPr>
            <w:tcW w:type="dxa" w:w="3402"/>
          </w:tcPr>
          <w:p>
            <w:r/>
            <w:r>
              <w:rPr>
                <w:b w:val="0"/>
                <w:sz w:val="17"/>
              </w:rPr>
              <w:t>AI 日志应保留多久？</w:t>
            </w:r>
          </w:p>
        </w:tc>
        <w:tc>
          <w:tcPr>
            <w:tcW w:type="dxa" w:w="5102"/>
          </w:tcPr>
          <w:p>
            <w:r/>
            <w:r>
              <w:rPr>
                <w:b w:val="0"/>
                <w:sz w:val="17"/>
              </w:rPr>
              <w:t>按风险和法律要求设定期限，不能只按存储成本决定；我记得 AI Act 第 26(6) 条要求部署者对高风险系统日志至少保留六个月，需核实。</w:t>
            </w:r>
          </w:p>
        </w:tc>
        <w:tc>
          <w:tcPr>
            <w:tcW w:type="dxa" w:w="2608"/>
          </w:tcPr>
          <w:p>
            <w:r/>
            <w:r>
              <w:rPr>
                <w:b w:val="0"/>
                <w:sz w:val="17"/>
              </w:rPr>
              <w:t>EU AI Act 第 12、19、26(6) 条（待核验）</w:t>
            </w:r>
          </w:p>
        </w:tc>
        <w:tc>
          <w:tcPr>
            <w:tcW w:type="dxa" w:w="1928"/>
          </w:tcPr>
          <w:p>
            <w:r/>
            <w:r>
              <w:rPr>
                <w:b w:val="0"/>
                <w:sz w:val="17"/>
              </w:rPr>
              <w:t>□ 要　□ 不要　□ 修改：____</w:t>
            </w:r>
          </w:p>
        </w:tc>
      </w:tr>
      <w:tr>
        <w:tc>
          <w:tcPr>
            <w:tcW w:type="dxa" w:w="1361"/>
          </w:tcPr>
          <w:p>
            <w:r/>
            <w:r>
              <w:rPr>
                <w:b w:val="0"/>
                <w:sz w:val="17"/>
              </w:rPr>
              <w:t>D3.5 审计与日志</w:t>
            </w:r>
          </w:p>
        </w:tc>
        <w:tc>
          <w:tcPr>
            <w:tcW w:type="dxa" w:w="3402"/>
          </w:tcPr>
          <w:p>
            <w:r/>
            <w:r>
              <w:rPr>
                <w:b w:val="0"/>
                <w:sz w:val="17"/>
              </w:rPr>
              <w:t>什么是 AI 的持续保证（continuous assurance）？</w:t>
            </w:r>
          </w:p>
        </w:tc>
        <w:tc>
          <w:tcPr>
            <w:tcW w:type="dxa" w:w="5102"/>
          </w:tcPr>
          <w:p>
            <w:r/>
            <w:r>
              <w:rPr>
                <w:b w:val="0"/>
                <w:sz w:val="17"/>
              </w:rPr>
              <w:t>自动化监测加上定期独立复核：自动检查按阈值告警，第二线独立复核，第三线抽样测试；不能只依靠项目团队自评。</w:t>
            </w:r>
          </w:p>
        </w:tc>
        <w:tc>
          <w:tcPr>
            <w:tcW w:type="dxa" w:w="2608"/>
          </w:tcPr>
          <w:p>
            <w:r/>
            <w:r>
              <w:rPr>
                <w:b w:val="0"/>
                <w:sz w:val="17"/>
              </w:rPr>
              <w:t>IIA Three Lines Model；NIST AI RMF MANAGE 4.1</w:t>
            </w:r>
          </w:p>
        </w:tc>
        <w:tc>
          <w:tcPr>
            <w:tcW w:type="dxa" w:w="1928"/>
          </w:tcPr>
          <w:p>
            <w:r/>
            <w:r>
              <w:rPr>
                <w:b w:val="0"/>
                <w:sz w:val="17"/>
              </w:rPr>
              <w:t>□ 要　□ 不要　□ 修改：____</w:t>
            </w:r>
          </w:p>
        </w:tc>
      </w:tr>
      <w:tr>
        <w:tc>
          <w:tcPr>
            <w:tcW w:type="dxa" w:w="1361"/>
          </w:tcPr>
          <w:p>
            <w:r/>
            <w:r>
              <w:rPr>
                <w:b w:val="0"/>
                <w:sz w:val="17"/>
              </w:rPr>
              <w:t>D3.2 商业论证</w:t>
            </w:r>
          </w:p>
        </w:tc>
        <w:tc>
          <w:tcPr>
            <w:tcW w:type="dxa" w:w="3402"/>
          </w:tcPr>
          <w:p>
            <w:r/>
            <w:r>
              <w:rPr>
                <w:b w:val="0"/>
                <w:sz w:val="17"/>
              </w:rPr>
              <w:t>上线后怎样跟踪 AI 的价值实现？</w:t>
            </w:r>
          </w:p>
        </w:tc>
        <w:tc>
          <w:tcPr>
            <w:tcW w:type="dxa" w:w="5102"/>
          </w:tcPr>
          <w:p>
            <w:r/>
            <w:r>
              <w:rPr>
                <w:b w:val="0"/>
                <w:sz w:val="17"/>
              </w:rPr>
              <w:t>在固定检查点将结果与上线前基线比较；指定负责收益的人；低于阈值时停止或调整。</w:t>
            </w:r>
          </w:p>
        </w:tc>
        <w:tc>
          <w:tcPr>
            <w:tcW w:type="dxa" w:w="2608"/>
          </w:tcPr>
          <w:p>
            <w:r/>
            <w:r>
              <w:rPr>
                <w:b w:val="0"/>
                <w:sz w:val="17"/>
              </w:rPr>
              <w:t>COBIT 2019 EDM02；NIST AI RMF MAP 3.1</w:t>
            </w:r>
          </w:p>
        </w:tc>
        <w:tc>
          <w:tcPr>
            <w:tcW w:type="dxa" w:w="1928"/>
          </w:tcPr>
          <w:p>
            <w:r/>
            <w:r>
              <w:rPr>
                <w:b w:val="0"/>
                <w:sz w:val="17"/>
              </w:rPr>
              <w:t>□ 要　□ 不要　□ 修改：____</w:t>
            </w:r>
          </w:p>
        </w:tc>
      </w:tr>
      <w:tr>
        <w:tc>
          <w:tcPr>
            <w:tcW w:type="dxa" w:w="1361"/>
          </w:tcPr>
          <w:p>
            <w:r/>
            <w:r>
              <w:rPr>
                <w:b w:val="0"/>
                <w:sz w:val="17"/>
              </w:rPr>
              <w:t>D3.2 商业论证</w:t>
            </w:r>
          </w:p>
        </w:tc>
        <w:tc>
          <w:tcPr>
            <w:tcW w:type="dxa" w:w="3402"/>
          </w:tcPr>
          <w:p>
            <w:r/>
            <w:r>
              <w:rPr>
                <w:b w:val="0"/>
                <w:sz w:val="17"/>
              </w:rPr>
              <w:t>为什么要在上线前确定基线？</w:t>
            </w:r>
          </w:p>
        </w:tc>
        <w:tc>
          <w:tcPr>
            <w:tcW w:type="dxa" w:w="5102"/>
          </w:tcPr>
          <w:p>
            <w:r/>
            <w:r>
              <w:rPr>
                <w:b w:val="0"/>
                <w:sz w:val="17"/>
              </w:rPr>
              <w:t>没有基线就无法证明价值：之后无法比较前后差异，也无法验证项目是否达到商业论证中的承诺。</w:t>
            </w:r>
          </w:p>
        </w:tc>
        <w:tc>
          <w:tcPr>
            <w:tcW w:type="dxa" w:w="2608"/>
          </w:tcPr>
          <w:p>
            <w:r/>
            <w:r>
              <w:rPr>
                <w:b w:val="0"/>
                <w:sz w:val="17"/>
              </w:rPr>
              <w:t>COBIT 2019 EDM02</w:t>
            </w:r>
          </w:p>
        </w:tc>
        <w:tc>
          <w:tcPr>
            <w:tcW w:type="dxa" w:w="1928"/>
          </w:tcPr>
          <w:p>
            <w:r/>
            <w:r>
              <w:rPr>
                <w:b w:val="0"/>
                <w:sz w:val="17"/>
              </w:rPr>
              <w:t>□ 要　□ 不要　□ 修改：____</w:t>
            </w:r>
          </w:p>
        </w:tc>
      </w:tr>
      <w:tr>
        <w:tc>
          <w:tcPr>
            <w:tcW w:type="dxa" w:w="1361"/>
          </w:tcPr>
          <w:p>
            <w:r/>
            <w:r>
              <w:rPr>
                <w:b w:val="0"/>
                <w:sz w:val="17"/>
              </w:rPr>
              <w:t>D1.9 风险偏好</w:t>
            </w:r>
          </w:p>
        </w:tc>
        <w:tc>
          <w:tcPr>
            <w:tcW w:type="dxa" w:w="3402"/>
          </w:tcPr>
          <w:p>
            <w:r/>
            <w:r>
              <w:rPr>
                <w:b w:val="0"/>
                <w:sz w:val="17"/>
              </w:rPr>
              <w:t>AI 系统突破风险容忍度时应怎么做？</w:t>
            </w:r>
          </w:p>
        </w:tc>
        <w:tc>
          <w:tcPr>
            <w:tcW w:type="dxa" w:w="5102"/>
          </w:tcPr>
          <w:p>
            <w:r/>
            <w:r>
              <w:rPr>
                <w:b w:val="0"/>
                <w:sz w:val="17"/>
              </w:rPr>
              <w:t>按既定路径升级报告，启用预先约定的回退措施，同时调查原因；不得在突破后临时放宽阈值，也不由一线自行调整。</w:t>
            </w:r>
          </w:p>
        </w:tc>
        <w:tc>
          <w:tcPr>
            <w:tcW w:type="dxa" w:w="2608"/>
          </w:tcPr>
          <w:p>
            <w:r/>
            <w:r>
              <w:rPr>
                <w:b w:val="0"/>
                <w:sz w:val="17"/>
              </w:rPr>
              <w:t>NIST AI RMF GOVERN 1.3、MANAGE 2.4；COBIT 2019 EDM03</w:t>
            </w:r>
          </w:p>
        </w:tc>
        <w:tc>
          <w:tcPr>
            <w:tcW w:type="dxa" w:w="1928"/>
          </w:tcPr>
          <w:p>
            <w:r/>
            <w:r>
              <w:rPr>
                <w:b w:val="0"/>
                <w:sz w:val="17"/>
              </w:rPr>
              <w:t>□ 要　□ 不要　□ 修改：____</w:t>
            </w:r>
          </w:p>
        </w:tc>
      </w:tr>
      <w:tr>
        <w:tc>
          <w:tcPr>
            <w:tcW w:type="dxa" w:w="1361"/>
          </w:tcPr>
          <w:p>
            <w:r/>
            <w:r>
              <w:rPr>
                <w:b w:val="0"/>
                <w:sz w:val="17"/>
              </w:rPr>
              <w:t>D1.9 风险偏好</w:t>
            </w:r>
          </w:p>
        </w:tc>
        <w:tc>
          <w:tcPr>
            <w:tcW w:type="dxa" w:w="3402"/>
          </w:tcPr>
          <w:p>
            <w:r/>
            <w:r>
              <w:rPr>
                <w:b w:val="0"/>
                <w:sz w:val="17"/>
              </w:rPr>
              <w:t>谁设定、谁可以更改 AI 的风险偏好和容忍度？</w:t>
            </w:r>
          </w:p>
        </w:tc>
        <w:tc>
          <w:tcPr>
            <w:tcW w:type="dxa" w:w="5102"/>
          </w:tcPr>
          <w:p>
            <w:r/>
            <w:r>
              <w:rPr>
                <w:b w:val="0"/>
                <w:sz w:val="17"/>
              </w:rPr>
              <w:t>由治理机构和最高管理层设定，变更需经批准并留痕；一线不能单方面更改。</w:t>
            </w:r>
          </w:p>
        </w:tc>
        <w:tc>
          <w:tcPr>
            <w:tcW w:type="dxa" w:w="2608"/>
          </w:tcPr>
          <w:p>
            <w:r/>
            <w:r>
              <w:rPr>
                <w:b w:val="0"/>
                <w:sz w:val="17"/>
              </w:rPr>
              <w:t>COBIT 2019 EDM03；IIA Three Lines Model</w:t>
            </w:r>
          </w:p>
        </w:tc>
        <w:tc>
          <w:tcPr>
            <w:tcW w:type="dxa" w:w="1928"/>
          </w:tcPr>
          <w:p>
            <w:r/>
            <w:r>
              <w:rPr>
                <w:b w:val="0"/>
                <w:sz w:val="17"/>
              </w:rPr>
              <w:t>□ 要　□ 不要　□ 修改：____</w:t>
            </w:r>
          </w:p>
        </w:tc>
      </w:tr>
    </w:tbl>
    <w:p>
      <w:r>
        <w:br w:type="page"/>
      </w:r>
    </w:p>
    <w:p>
      <w:pPr>
        <w:pStyle w:val="Heading1"/>
      </w:pPr>
      <w:r>
        <w:t>第四部分　40 张卡逐张复核</w:t>
      </w:r>
    </w:p>
    <w:p>
      <w:pPr>
        <w:spacing w:after="60"/>
      </w:pPr>
      <w:r>
        <w:rPr>
          <w:b w:val="0"/>
          <w:sz w:val="18"/>
        </w:rPr>
        <w:t>每张卡一页：原文完整内容、我标出的机器检查结果、C1–C7 勾选、决定。红字是需要你特别关注的。</w:t>
      </w:r>
    </w:p>
    <w:p>
      <w:r>
        <w:br w:type="page"/>
      </w:r>
    </w:p>
    <w:p>
      <w:pPr>
        <w:pStyle w:val="Heading1"/>
      </w:pPr>
      <w:r>
        <w:t>1. fc-01 · Three Lines Model in AI Governance</w:t>
      </w:r>
    </w:p>
    <w:p>
      <w:pPr>
        <w:spacing w:after="60"/>
      </w:pPr>
      <w:r>
        <w:rPr>
          <w:b w:val="0"/>
          <w:color w:val="5A5A5A"/>
          <w:sz w:val="18"/>
        </w:rPr>
        <w:t>归类：D1 AI Enterprise Governance　　状态：未复核</w:t>
      </w:r>
    </w:p>
    <w:p>
      <w:pPr>
        <w:spacing w:after="60"/>
      </w:pPr>
      <w:r>
        <w:rPr>
          <w:b w:val="0"/>
          <w:color w:val="BE2828"/>
          <w:sz w:val="18"/>
        </w:rPr>
        <w:t>机器检查：背面 869 字（超过 600）；来源标注"verify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are the distinct responsibilities of the IIA Three Lines Model in Enterprise AI Governance?</w:t>
            </w:r>
          </w:p>
        </w:tc>
      </w:tr>
      <w:tr>
        <w:tc>
          <w:tcPr>
            <w:tcW w:type="dxa" w:w="1020"/>
            <w:shd w:val="clear" w:color="auto" w:fill="D9E2F3"/>
          </w:tcPr>
          <w:p>
            <w:r/>
            <w:r>
              <w:rPr>
                <w:b/>
              </w:rPr>
              <w:t>背面</w:t>
            </w:r>
          </w:p>
        </w:tc>
        <w:tc>
          <w:tcPr>
            <w:tcW w:type="dxa" w:w="13380"/>
          </w:tcPr>
          <w:p>
            <w:r/>
            <w:r>
              <w:rPr>
                <w:b w:val="0"/>
              </w:rPr>
              <w:t>Under the IIA Three Lines Model (2020) applied to AI governance (overseen by the Governing Body / Board, which sets strategic direction and risk appetite): 1. First Line Roles (Operational Management &amp; AI Delivery Teams): Directly own, assess, and manage operational AI risks, executing day-to-day testing, validation, and controls; 2. Second Line Roles (Enterprise Risk Management &amp; AI Compliance — also part of Management): Provide complementary expertise, establish risk frameworks, policies, and thresholds within delegated authority, monitor compliance, and provide objective, credible challenge to First Line decisions; 3. Third Line Roles (Internal Audit): Maintain independence from management and report to the Governing Body/Audit Committee, providing independent and objective assurance on the adequacy and effectiveness of AI governance and risk management.</w:t>
            </w:r>
          </w:p>
        </w:tc>
      </w:tr>
      <w:tr>
        <w:tc>
          <w:tcPr>
            <w:tcW w:type="dxa" w:w="1020"/>
            <w:shd w:val="clear" w:color="auto" w:fill="D9E2F3"/>
          </w:tcPr>
          <w:p>
            <w:r/>
            <w:r>
              <w:rPr>
                <w:b/>
              </w:rPr>
              <w:t>要点</w:t>
            </w:r>
          </w:p>
        </w:tc>
        <w:tc>
          <w:tcPr>
            <w:tcW w:type="dxa" w:w="13380"/>
          </w:tcPr>
          <w:p>
            <w:r/>
            <w:r>
              <w:rPr>
                <w:b w:val="0"/>
              </w:rPr>
              <w:t>Both First and Second Line roles belong to management: First Line owns operational AI risk, Second Line provides policy oversight and objective challenge within delegated authority, and Third Line (Internal Audit) provides independent assurance to the Governing Body.</w:t>
            </w:r>
          </w:p>
        </w:tc>
      </w:tr>
      <w:tr>
        <w:tc>
          <w:tcPr>
            <w:tcW w:type="dxa" w:w="1020"/>
            <w:shd w:val="clear" w:color="auto" w:fill="D9E2F3"/>
          </w:tcPr>
          <w:p>
            <w:r/>
            <w:r>
              <w:rPr>
                <w:b/>
              </w:rPr>
              <w:t>来源</w:t>
            </w:r>
          </w:p>
        </w:tc>
        <w:tc>
          <w:tcPr>
            <w:tcW w:type="dxa" w:w="13380"/>
          </w:tcPr>
          <w:p>
            <w:r/>
            <w:r>
              <w:rPr>
                <w:b w:val="0"/>
              </w:rPr>
              <w:t>The IIA's Three Lines Model (July 2020), Principles 1–5; NIST AI RMF 1.0 GOVERN 1.2 &amp; 1.3; COBIT 2019 (verify specific governance/management objectives against licensed text).</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 fc-02 · AI Governance Steering Committee Charter</w:t>
      </w:r>
    </w:p>
    <w:p>
      <w:pPr>
        <w:spacing w:after="60"/>
      </w:pPr>
      <w:r>
        <w:rPr>
          <w:b w:val="0"/>
          <w:color w:val="5A5A5A"/>
          <w:sz w:val="18"/>
        </w:rPr>
        <w:t>归类：D1 AI Enterprise Governance　　状态：未复核</w:t>
      </w:r>
    </w:p>
    <w:p>
      <w:pPr>
        <w:spacing w:after="60"/>
      </w:pPr>
      <w:r>
        <w:rPr>
          <w:b w:val="0"/>
          <w:color w:val="BE2828"/>
          <w:sz w:val="18"/>
        </w:rPr>
        <w:t>机器检查：来源标注"verify against licensed…"，未核对正版；无 sourceUrl</w:t>
      </w:r>
    </w:p>
    <w:p>
      <w:pPr>
        <w:spacing w:after="60"/>
      </w:pPr>
      <w:r>
        <w:rPr>
          <w:b/>
          <w:color w:val="BE2828"/>
          <w:sz w:val="20"/>
        </w:rPr>
        <w:t>⚑ 本卡有需要你专门拍板的事项：见第三部分 J12</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the PRIMARY mandate when establishing an enterprise AI Governance Steering Committee?</w:t>
            </w:r>
          </w:p>
        </w:tc>
      </w:tr>
      <w:tr>
        <w:tc>
          <w:tcPr>
            <w:tcW w:type="dxa" w:w="1020"/>
            <w:shd w:val="clear" w:color="auto" w:fill="D9E2F3"/>
          </w:tcPr>
          <w:p>
            <w:r/>
            <w:r>
              <w:rPr>
                <w:b/>
              </w:rPr>
              <w:t>背面</w:t>
            </w:r>
          </w:p>
        </w:tc>
        <w:tc>
          <w:tcPr>
            <w:tcW w:type="dxa" w:w="13380"/>
          </w:tcPr>
          <w:p>
            <w:r/>
            <w:r>
              <w:rPr>
                <w:b w:val="0"/>
              </w:rPr>
              <w:t>To operate under formally delegated authority from top management or the governing body through a cross-functional Governance Charter that defines decision rights and accountabilities (e.g., RACI), recommends or operationalizes approved AI risk appetite and tolerance thresholds, and aligns AI investments with corporate strategy, legal obligations, and ethical principles.</w:t>
            </w:r>
          </w:p>
        </w:tc>
      </w:tr>
      <w:tr>
        <w:tc>
          <w:tcPr>
            <w:tcW w:type="dxa" w:w="1020"/>
            <w:shd w:val="clear" w:color="auto" w:fill="D9E2F3"/>
          </w:tcPr>
          <w:p>
            <w:r/>
            <w:r>
              <w:rPr>
                <w:b/>
              </w:rPr>
              <w:t>要点</w:t>
            </w:r>
          </w:p>
        </w:tc>
        <w:tc>
          <w:tcPr>
            <w:tcW w:type="dxa" w:w="13380"/>
          </w:tcPr>
          <w:p>
            <w:r/>
            <w:r>
              <w:rPr>
                <w:b w:val="0"/>
              </w:rPr>
              <w:t>An AI Governance Steering Committee establishes authorized decision rights and risk guardrails across the portfolio while allowing urgent operational harms or exposures to be contained in parallel.</w:t>
            </w:r>
          </w:p>
        </w:tc>
      </w:tr>
      <w:tr>
        <w:tc>
          <w:tcPr>
            <w:tcW w:type="dxa" w:w="1020"/>
            <w:shd w:val="clear" w:color="auto" w:fill="D9E2F3"/>
          </w:tcPr>
          <w:p>
            <w:r/>
            <w:r>
              <w:rPr>
                <w:b/>
              </w:rPr>
              <w:t>来源</w:t>
            </w:r>
          </w:p>
        </w:tc>
        <w:tc>
          <w:tcPr>
            <w:tcW w:type="dxa" w:w="13380"/>
          </w:tcPr>
          <w:p>
            <w:r/>
            <w:r>
              <w:rPr>
                <w:b w:val="0"/>
              </w:rPr>
              <w:t>NIST AI RMF 1.0 GOVERN 1.2, 1.3 &amp; 2.1; IIA Three Lines Model (2020); ISO/IEC 42001:2023 Cl. 5 (verify exact subclause against licensed standard).</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 fc-03 · AI Acceptable Use Policy (AUP)</w:t>
      </w:r>
    </w:p>
    <w:p>
      <w:pPr>
        <w:spacing w:after="60"/>
      </w:pPr>
      <w:r>
        <w:rPr>
          <w:b w:val="0"/>
          <w:color w:val="5A5A5A"/>
          <w:sz w:val="18"/>
        </w:rPr>
        <w:t>归类：D1 AI Enterprise Governance　　状态：未复核</w:t>
      </w:r>
    </w:p>
    <w:p>
      <w:pPr>
        <w:spacing w:after="60"/>
      </w:pPr>
      <w:r>
        <w:rPr>
          <w:b w:val="0"/>
          <w:color w:val="BE2828"/>
          <w:sz w:val="18"/>
        </w:rPr>
        <w:t>机器检查：背面 673 字（超过 600）；来源标注"verify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core components must an enterprise AI Acceptable Use Policy (AUP) enforce?</w:t>
            </w:r>
          </w:p>
        </w:tc>
      </w:tr>
      <w:tr>
        <w:tc>
          <w:tcPr>
            <w:tcW w:type="dxa" w:w="1020"/>
            <w:shd w:val="clear" w:color="auto" w:fill="D9E2F3"/>
          </w:tcPr>
          <w:p>
            <w:r/>
            <w:r>
              <w:rPr>
                <w:b/>
              </w:rPr>
              <w:t>背面</w:t>
            </w:r>
          </w:p>
        </w:tc>
        <w:tc>
          <w:tcPr>
            <w:tcW w:type="dxa" w:w="13380"/>
          </w:tcPr>
          <w:p>
            <w:r/>
            <w:r>
              <w:rPr>
                <w:b w:val="0"/>
              </w:rPr>
              <w:t>1. Approved vs. Prohibited AI Tools and Use Cases: Clear criteria distinguishing sanctioned enterprise AI systems from unapproved consumer tools; 2. Data Classification and Handling Rules: Defining permitted vs. prohibited inputs (e.g., barring confidential, trade-secret, or regulated personal data from unvetted or public models, while specifying controls and legal bases for approved enterprise environments); 3. Risk-Proportionate Human Oversight: Specifying verification and review requirements calibrated to use-case impact; 4. Incident and Escalation Protocols: Clear channels for reporting suspected data leakage, security vulnerabilities, bias, or harmful outputs.</w:t>
            </w:r>
          </w:p>
        </w:tc>
      </w:tr>
      <w:tr>
        <w:tc>
          <w:tcPr>
            <w:tcW w:type="dxa" w:w="1020"/>
            <w:shd w:val="clear" w:color="auto" w:fill="D9E2F3"/>
          </w:tcPr>
          <w:p>
            <w:r/>
            <w:r>
              <w:rPr>
                <w:b/>
              </w:rPr>
              <w:t>要点</w:t>
            </w:r>
          </w:p>
        </w:tc>
        <w:tc>
          <w:tcPr>
            <w:tcW w:type="dxa" w:w="13380"/>
          </w:tcPr>
          <w:p>
            <w:r/>
            <w:r>
              <w:rPr>
                <w:b w:val="0"/>
              </w:rPr>
              <w:t>An effective AI Acceptable Use Policy defines enforceable boundaries for approved tools, data classification, risk-proportionate human oversight, and incident reporting.</w:t>
            </w:r>
          </w:p>
        </w:tc>
      </w:tr>
      <w:tr>
        <w:tc>
          <w:tcPr>
            <w:tcW w:type="dxa" w:w="1020"/>
            <w:shd w:val="clear" w:color="auto" w:fill="D9E2F3"/>
          </w:tcPr>
          <w:p>
            <w:r/>
            <w:r>
              <w:rPr>
                <w:b/>
              </w:rPr>
              <w:t>来源</w:t>
            </w:r>
          </w:p>
        </w:tc>
        <w:tc>
          <w:tcPr>
            <w:tcW w:type="dxa" w:w="13380"/>
          </w:tcPr>
          <w:p>
            <w:r/>
            <w:r>
              <w:rPr>
                <w:b w:val="0"/>
              </w:rPr>
              <w:t>GDPR Arts. 5 &amp; 6; NIST AI 600-1 GOVERN 1.2; ISO/IEC 42001:2023 (verify policy clauses against licensed standard).</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4. fc-04 · AI Risk Appetite vs. Risk Tolerance</w:t>
      </w:r>
    </w:p>
    <w:p>
      <w:pPr>
        <w:spacing w:after="60"/>
      </w:pPr>
      <w:r>
        <w:rPr>
          <w:b w:val="0"/>
          <w:color w:val="5A5A5A"/>
          <w:sz w:val="18"/>
        </w:rPr>
        <w:t>归类：D1 AI Enterprise Governance　　状态：未复核</w:t>
      </w:r>
    </w:p>
    <w:p>
      <w:pPr>
        <w:spacing w:after="60"/>
      </w:pPr>
      <w:r>
        <w:rPr>
          <w:b w:val="0"/>
          <w:color w:val="BE2828"/>
          <w:sz w:val="18"/>
        </w:rPr>
        <w:t>机器检查：2026-10-14 复核列为"待补证"；无 sourceUrl</w:t>
      </w:r>
    </w:p>
    <w:p>
      <w:pPr>
        <w:spacing w:after="60"/>
      </w:pPr>
      <w:r>
        <w:rPr>
          <w:b/>
          <w:color w:val="BE2828"/>
          <w:sz w:val="20"/>
        </w:rPr>
        <w:t>⚑ 本卡有需要你专门拍板的事项：见第三部分 J8</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How do Risk Appetite and Risk Tolerance differ in the context of enterprise AI governance?</w:t>
            </w:r>
          </w:p>
        </w:tc>
      </w:tr>
      <w:tr>
        <w:tc>
          <w:tcPr>
            <w:tcW w:type="dxa" w:w="1020"/>
            <w:shd w:val="clear" w:color="auto" w:fill="D9E2F3"/>
          </w:tcPr>
          <w:p>
            <w:r/>
            <w:r>
              <w:rPr>
                <w:b/>
              </w:rPr>
              <w:t>背面</w:t>
            </w:r>
          </w:p>
        </w:tc>
        <w:tc>
          <w:tcPr>
            <w:tcW w:type="dxa" w:w="13380"/>
          </w:tcPr>
          <w:p>
            <w:r/>
            <w:r>
              <w:rPr>
                <w:b w:val="0"/>
              </w:rPr>
              <w:t>1. Risk Appetite: The broad amount and type of risk an organization is intentionally willing to accept in pursuit of its strategic AI objectives (set by the Board).</w:t>
              <w:br/>
              <w:t>2. Risk Tolerance: The specific, measurable boundaries and acceptable variations around risk targets (e.g., maximum permissible error rates or drift thresholds before escalation).</w:t>
            </w:r>
          </w:p>
        </w:tc>
      </w:tr>
      <w:tr>
        <w:tc>
          <w:tcPr>
            <w:tcW w:type="dxa" w:w="1020"/>
            <w:shd w:val="clear" w:color="auto" w:fill="D9E2F3"/>
          </w:tcPr>
          <w:p>
            <w:r/>
            <w:r>
              <w:rPr>
                <w:b/>
              </w:rPr>
              <w:t>要点</w:t>
            </w:r>
          </w:p>
        </w:tc>
        <w:tc>
          <w:tcPr>
            <w:tcW w:type="dxa" w:w="13380"/>
          </w:tcPr>
          <w:p>
            <w:r/>
            <w:r>
              <w:rPr>
                <w:b w:val="0"/>
              </w:rPr>
              <w:t>Appetite sets the strategic posture; tolerance defines the quantitative operational thresholds.</w:t>
            </w:r>
          </w:p>
        </w:tc>
      </w:tr>
      <w:tr>
        <w:tc>
          <w:tcPr>
            <w:tcW w:type="dxa" w:w="1020"/>
            <w:shd w:val="clear" w:color="auto" w:fill="D9E2F3"/>
          </w:tcPr>
          <w:p>
            <w:r/>
            <w:r>
              <w:rPr>
                <w:b/>
              </w:rPr>
              <w:t>来源</w:t>
            </w:r>
          </w:p>
        </w:tc>
        <w:tc>
          <w:tcPr>
            <w:tcW w:type="dxa" w:w="13380"/>
          </w:tcPr>
          <w:p>
            <w:r/>
            <w:r>
              <w:rPr>
                <w:b w:val="0"/>
              </w:rPr>
              <w:t>COBIT 2019 EDM03</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5. fc-05 · OECD AI Principles</w:t>
      </w:r>
    </w:p>
    <w:p>
      <w:pPr>
        <w:spacing w:after="60"/>
      </w:pPr>
      <w:r>
        <w:rPr>
          <w:b w:val="0"/>
          <w:color w:val="5A5A5A"/>
          <w:sz w:val="18"/>
        </w:rPr>
        <w:t>归类：D1 AI Enterprise Governance　　状态：未复核</w:t>
      </w:r>
    </w:p>
    <w:p>
      <w:pPr>
        <w:spacing w:after="60"/>
      </w:pPr>
      <w:r>
        <w:rPr>
          <w:b w:val="0"/>
          <w:color w:val="5A5A5A"/>
          <w:sz w:val="18"/>
        </w:rPr>
        <w:t>机器检查：无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are the five core value-based OECD AI Principles for responsible stewardship of trustworthy AI?</w:t>
            </w:r>
          </w:p>
        </w:tc>
      </w:tr>
      <w:tr>
        <w:tc>
          <w:tcPr>
            <w:tcW w:type="dxa" w:w="1020"/>
            <w:shd w:val="clear" w:color="auto" w:fill="D9E2F3"/>
          </w:tcPr>
          <w:p>
            <w:r/>
            <w:r>
              <w:rPr>
                <w:b/>
              </w:rPr>
              <w:t>背面</w:t>
            </w:r>
          </w:p>
        </w:tc>
        <w:tc>
          <w:tcPr>
            <w:tcW w:type="dxa" w:w="13380"/>
          </w:tcPr>
          <w:p>
            <w:r/>
            <w:r>
              <w:rPr>
                <w:b w:val="0"/>
              </w:rPr>
              <w:t>Under the OECD Recommendation on AI (OECD/LEGAL/0449, updated in May 2024), the five complementary values-based principles are: 1. Inclusive growth, sustainable development, and well-being; 2. Human rights and democratic values, including fairness and privacy (upholding rule of law, human rights, democratic and human-centred values, privacy, data protection, and non-discrimination); 3. Transparency and explainability; 4. Robustness, security, and safety; 5. Accountability for AI actors across the AI system lifecycle.</w:t>
            </w:r>
          </w:p>
        </w:tc>
      </w:tr>
      <w:tr>
        <w:tc>
          <w:tcPr>
            <w:tcW w:type="dxa" w:w="1020"/>
            <w:shd w:val="clear" w:color="auto" w:fill="D9E2F3"/>
          </w:tcPr>
          <w:p>
            <w:r/>
            <w:r>
              <w:rPr>
                <w:b/>
              </w:rPr>
              <w:t>要点</w:t>
            </w:r>
          </w:p>
        </w:tc>
        <w:tc>
          <w:tcPr>
            <w:tcW w:type="dxa" w:w="13380"/>
          </w:tcPr>
          <w:p>
            <w:r/>
            <w:r>
              <w:rPr>
                <w:b w:val="0"/>
              </w:rPr>
              <w:t>Updated in 2024, the five OECD AI Principles serve as a foundational international reference point for trustworthy AI governance; organizations must still map specific legal obligations to each applicable jurisdiction and standard.</w:t>
            </w:r>
          </w:p>
        </w:tc>
      </w:tr>
      <w:tr>
        <w:tc>
          <w:tcPr>
            <w:tcW w:type="dxa" w:w="1020"/>
            <w:shd w:val="clear" w:color="auto" w:fill="D9E2F3"/>
          </w:tcPr>
          <w:p>
            <w:r/>
            <w:r>
              <w:rPr>
                <w:b/>
              </w:rPr>
              <w:t>来源</w:t>
            </w:r>
          </w:p>
        </w:tc>
        <w:tc>
          <w:tcPr>
            <w:tcW w:type="dxa" w:w="13380"/>
          </w:tcPr>
          <w:p>
            <w:r/>
            <w:r>
              <w:rPr>
                <w:b w:val="0"/>
              </w:rPr>
              <w:t>OECD Recommendation of the Council on Artificial Intelligence (OECD/LEGAL/0449, 2019 / amended 2024), Section 1.</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6. fc-06 · Shadow AI Governance &amp; Discovery</w:t>
      </w:r>
    </w:p>
    <w:p>
      <w:pPr>
        <w:spacing w:after="60"/>
      </w:pPr>
      <w:r>
        <w:rPr>
          <w:b w:val="0"/>
          <w:color w:val="5A5A5A"/>
          <w:sz w:val="18"/>
        </w:rPr>
        <w:t>归类：D1 AI Enterprise Governance　　状态：未复核</w:t>
      </w:r>
    </w:p>
    <w:p>
      <w:pPr>
        <w:spacing w:after="60"/>
      </w:pPr>
      <w:r>
        <w:rPr>
          <w:b w:val="0"/>
          <w:color w:val="BE2828"/>
          <w:sz w:val="18"/>
        </w:rPr>
        <w:t>机器检查：背面 609 字（超过 600）；正面一次问多件事；来源标注"verify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"Shadow AI", and what is the primary governance mechanism to manage it without stifling innovation?</w:t>
            </w:r>
          </w:p>
        </w:tc>
      </w:tr>
      <w:tr>
        <w:tc>
          <w:tcPr>
            <w:tcW w:type="dxa" w:w="1020"/>
            <w:shd w:val="clear" w:color="auto" w:fill="D9E2F3"/>
          </w:tcPr>
          <w:p>
            <w:r/>
            <w:r>
              <w:rPr>
                <w:b/>
              </w:rPr>
              <w:t>背面</w:t>
            </w:r>
          </w:p>
        </w:tc>
        <w:tc>
          <w:tcPr>
            <w:tcW w:type="dxa" w:w="13380"/>
          </w:tcPr>
          <w:p>
            <w:r/>
            <w:r>
              <w:rPr>
                <w:b w:val="0"/>
              </w:rPr>
              <w:t>'Shadow AI' refers to employees or business units using unsanctioned AI tools, models, or APIs (such as unapproved consumer generative AI accounts) outside formal governance controls. Effective governance combines: 1) Assessing unsanctioned AI usage and containing urgent data exposures using environment-appropriate discovery controls (e.g., software inventories, expense/procurement reviews, or CASB/SWG telemetry); 2) Providing vetted, secure enterprise AI alternatives with contractual data-privacy protections; and 3) Enforcing clear acceptable-use policies alongside role-appropriate workforce training.</w:t>
            </w:r>
          </w:p>
        </w:tc>
      </w:tr>
      <w:tr>
        <w:tc>
          <w:tcPr>
            <w:tcW w:type="dxa" w:w="1020"/>
            <w:shd w:val="clear" w:color="auto" w:fill="D9E2F3"/>
          </w:tcPr>
          <w:p>
            <w:r/>
            <w:r>
              <w:rPr>
                <w:b/>
              </w:rPr>
              <w:t>要点</w:t>
            </w:r>
          </w:p>
        </w:tc>
        <w:tc>
          <w:tcPr>
            <w:tcW w:type="dxa" w:w="13380"/>
          </w:tcPr>
          <w:p>
            <w:r/>
            <w:r>
              <w:rPr>
                <w:b w:val="0"/>
              </w:rPr>
              <w:t>Managing Shadow AI requires pairing clear acceptable-use boundaries and environment-appropriate discovery controls with approved, secure enterprise AI alternatives.</w:t>
            </w:r>
          </w:p>
        </w:tc>
      </w:tr>
      <w:tr>
        <w:tc>
          <w:tcPr>
            <w:tcW w:type="dxa" w:w="1020"/>
            <w:shd w:val="clear" w:color="auto" w:fill="D9E2F3"/>
          </w:tcPr>
          <w:p>
            <w:r/>
            <w:r>
              <w:rPr>
                <w:b/>
              </w:rPr>
              <w:t>来源</w:t>
            </w:r>
          </w:p>
        </w:tc>
        <w:tc>
          <w:tcPr>
            <w:tcW w:type="dxa" w:w="13380"/>
          </w:tcPr>
          <w:p>
            <w:r/>
            <w:r>
              <w:rPr>
                <w:b w:val="0"/>
              </w:rPr>
              <w:t>NIST AI 600-1 GOVERN 1.2 &amp; 1.6; ISO/IEC 42001:2023 (verify Annex A controls against licensed standard).</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7. fc-07 · Board Oversight &amp; Fiduciary Responsibility</w:t>
      </w:r>
    </w:p>
    <w:p>
      <w:pPr>
        <w:spacing w:after="60"/>
      </w:pPr>
      <w:r>
        <w:rPr>
          <w:b w:val="0"/>
          <w:color w:val="5A5A5A"/>
          <w:sz w:val="18"/>
        </w:rPr>
        <w:t>归类：D1 AI Enterprise Governance　　状态：未复核</w:t>
      </w:r>
    </w:p>
    <w:p>
      <w:pPr>
        <w:spacing w:after="60"/>
      </w:pPr>
      <w:r>
        <w:rPr>
          <w:b w:val="0"/>
          <w:color w:val="BE2828"/>
          <w:sz w:val="18"/>
        </w:rPr>
        <w:t>机器检查：背面 629 字（超过 600）；来源标注"verify against licensed…"，未核对正版；无 sourceUrl</w:t>
      </w:r>
    </w:p>
    <w:p>
      <w:pPr>
        <w:spacing w:after="60"/>
      </w:pPr>
      <w:r>
        <w:rPr>
          <w:b/>
          <w:color w:val="BE2828"/>
          <w:sz w:val="20"/>
        </w:rPr>
        <w:t>⚑ 本卡有需要你专门拍板的事项：见第三部分 J15</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the fiduciary duty of the Board of Directors regarding artificial intelligence systems?</w:t>
            </w:r>
          </w:p>
        </w:tc>
      </w:tr>
      <w:tr>
        <w:tc>
          <w:tcPr>
            <w:tcW w:type="dxa" w:w="1020"/>
            <w:shd w:val="clear" w:color="auto" w:fill="D9E2F3"/>
          </w:tcPr>
          <w:p>
            <w:r/>
            <w:r>
              <w:rPr>
                <w:b/>
              </w:rPr>
              <w:t>背面</w:t>
            </w:r>
          </w:p>
        </w:tc>
        <w:tc>
          <w:tcPr>
            <w:tcW w:type="dxa" w:w="13380"/>
          </w:tcPr>
          <w:p>
            <w:r/>
            <w:r>
              <w:rPr>
                <w:b w:val="0"/>
              </w:rPr>
              <w:t>Across corporate governance frameworks, the Governing Body (Board of Directors) is responsible for strategic oversight and accountability rather than day-to-day management. This includes approving organizational AI risk appetite, ensuring management establishes an effective AI governance and risk management system, and monitoring material legal, ethical, and operational exposures. Under US (Delaware) corporate law (the Caremark doctrine), directors must make a good-faith effort to ensure that a reasonable board-level information and reporting system exists and is monitored for mission-critical compliance and safety risks.</w:t>
            </w:r>
          </w:p>
        </w:tc>
      </w:tr>
      <w:tr>
        <w:tc>
          <w:tcPr>
            <w:tcW w:type="dxa" w:w="1020"/>
            <w:shd w:val="clear" w:color="auto" w:fill="D9E2F3"/>
          </w:tcPr>
          <w:p>
            <w:r/>
            <w:r>
              <w:rPr>
                <w:b/>
              </w:rPr>
              <w:t>要点</w:t>
            </w:r>
          </w:p>
        </w:tc>
        <w:tc>
          <w:tcPr>
            <w:tcW w:type="dxa" w:w="13380"/>
          </w:tcPr>
          <w:p>
            <w:r/>
            <w:r>
              <w:rPr>
                <w:b w:val="0"/>
              </w:rPr>
              <w:t>While management executes day-to-day AI controls, the Board retains oversight accountability for ensuring enterprise AI risk management and reporting systems exist and operate effectively (including Caremark oversight duties in applicable US jurisdictions).</w:t>
            </w:r>
          </w:p>
        </w:tc>
      </w:tr>
      <w:tr>
        <w:tc>
          <w:tcPr>
            <w:tcW w:type="dxa" w:w="1020"/>
            <w:shd w:val="clear" w:color="auto" w:fill="D9E2F3"/>
          </w:tcPr>
          <w:p>
            <w:r/>
            <w:r>
              <w:rPr>
                <w:b/>
              </w:rPr>
              <w:t>来源</w:t>
            </w:r>
          </w:p>
        </w:tc>
        <w:tc>
          <w:tcPr>
            <w:tcW w:type="dxa" w:w="13380"/>
          </w:tcPr>
          <w:p>
            <w:r/>
            <w:r>
              <w:rPr>
                <w:b w:val="0"/>
              </w:rPr>
              <w:t>IIA Three Lines Model (2020) Principle 2; NIST AI RMF 1.0 GOVERN 1.2; In re Caremark Int'l Inc. Deriv. Litig., 698 A.2d 959 (Del. Ch. 1996); COBIT 2019 EDM01 (verify against licensed text).</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8. fc-08 · AI Ethics Advisory Board vs. AI Steering Committee</w:t>
      </w:r>
    </w:p>
    <w:p>
      <w:pPr>
        <w:spacing w:after="60"/>
      </w:pPr>
      <w:r>
        <w:rPr>
          <w:b w:val="0"/>
          <w:color w:val="5A5A5A"/>
          <w:sz w:val="18"/>
        </w:rPr>
        <w:t>归类：D1 AI Enterprise Governance　　状态：未复核</w:t>
      </w:r>
    </w:p>
    <w:p>
      <w:pPr>
        <w:spacing w:after="60"/>
      </w:pPr>
      <w:r>
        <w:rPr>
          <w:b w:val="0"/>
          <w:color w:val="BE2828"/>
          <w:sz w:val="18"/>
        </w:rPr>
        <w:t>机器检查：背面 696 字（超过 600）；无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How do an AI Ethics Advisory Board and an AI Steering Committee differ in mandate and authority?</w:t>
            </w:r>
          </w:p>
        </w:tc>
      </w:tr>
      <w:tr>
        <w:tc>
          <w:tcPr>
            <w:tcW w:type="dxa" w:w="1020"/>
            <w:shd w:val="clear" w:color="auto" w:fill="D9E2F3"/>
          </w:tcPr>
          <w:p>
            <w:r/>
            <w:r>
              <w:rPr>
                <w:b/>
              </w:rPr>
              <w:t>背面</w:t>
            </w:r>
          </w:p>
        </w:tc>
        <w:tc>
          <w:tcPr>
            <w:tcW w:type="dxa" w:w="13380"/>
          </w:tcPr>
          <w:p>
            <w:r/>
            <w:r>
              <w:rPr>
                <w:b w:val="0"/>
              </w:rPr>
              <w:t>While exact mandates depend on each organization's formal governance charter and delegated decision rights, enterprises commonly distinguish between: 1. AI Governance Steering Committee: An internal cross-functional executive body chartered with formal decision rights to approve AI policies, stage-gate releases, resource prioritization, and risk-tolerance alignment; and 2. AI Ethics Advisory Board / Panel: A consultative body (often incorporating multidisciplinary or external ethicists, domain experts, and stakeholder representatives) chartered to provide independent ethical evaluations, socio-technical impact reviews, and advisory recommendations to leadership or the Steering Committee.</w:t>
            </w:r>
          </w:p>
        </w:tc>
      </w:tr>
      <w:tr>
        <w:tc>
          <w:tcPr>
            <w:tcW w:type="dxa" w:w="1020"/>
            <w:shd w:val="clear" w:color="auto" w:fill="D9E2F3"/>
          </w:tcPr>
          <w:p>
            <w:r/>
            <w:r>
              <w:rPr>
                <w:b/>
              </w:rPr>
              <w:t>要点</w:t>
            </w:r>
          </w:p>
        </w:tc>
        <w:tc>
          <w:tcPr>
            <w:tcW w:type="dxa" w:w="13380"/>
          </w:tcPr>
          <w:p>
            <w:r/>
            <w:r>
              <w:rPr>
                <w:b w:val="0"/>
              </w:rPr>
              <w:t>Distinguish executive steering bodies (chartered with formal decision and enforcement rights) from consultative ethics advisory panels (chartered to provide multidisciplinary ethical review and guidance), verifying each body's actual authority in its organizational charter.</w:t>
            </w:r>
          </w:p>
        </w:tc>
      </w:tr>
      <w:tr>
        <w:tc>
          <w:tcPr>
            <w:tcW w:type="dxa" w:w="1020"/>
            <w:shd w:val="clear" w:color="auto" w:fill="D9E2F3"/>
          </w:tcPr>
          <w:p>
            <w:r/>
            <w:r>
              <w:rPr>
                <w:b/>
              </w:rPr>
              <w:t>来源</w:t>
            </w:r>
          </w:p>
        </w:tc>
        <w:tc>
          <w:tcPr>
            <w:tcW w:type="dxa" w:w="13380"/>
          </w:tcPr>
          <w:p>
            <w:r/>
            <w:r>
              <w:rPr>
                <w:b w:val="0"/>
              </w:rPr>
              <w:t>NIST AI RMF 1.0 GOVERN 1.2, 2.1 &amp; 3.1; IIA Three Lines Model (2020) Principles 2 &amp; 3.</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9. fc-09 · AI Literacy &amp; Workforce Competence</w:t>
      </w:r>
    </w:p>
    <w:p>
      <w:pPr>
        <w:spacing w:after="60"/>
      </w:pPr>
      <w:r>
        <w:rPr>
          <w:b w:val="0"/>
          <w:color w:val="5A5A5A"/>
          <w:sz w:val="18"/>
        </w:rPr>
        <w:t>归类：D1 AI Enterprise Governance　　状态：未复核</w:t>
      </w:r>
    </w:p>
    <w:p>
      <w:pPr>
        <w:spacing w:after="60"/>
      </w:pPr>
      <w:r>
        <w:rPr>
          <w:b w:val="0"/>
          <w:color w:val="BE2828"/>
          <w:sz w:val="18"/>
        </w:rPr>
        <w:t>机器检查：来源标注"verify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How do the EU AI Act and ISO/IEC 42001 address organizational AI literacy and workforce competence?</w:t>
            </w:r>
          </w:p>
        </w:tc>
      </w:tr>
      <w:tr>
        <w:tc>
          <w:tcPr>
            <w:tcW w:type="dxa" w:w="1020"/>
            <w:shd w:val="clear" w:color="auto" w:fill="D9E2F3"/>
          </w:tcPr>
          <w:p>
            <w:r/>
            <w:r>
              <w:rPr>
                <w:b/>
              </w:rPr>
              <w:t>背面</w:t>
            </w:r>
          </w:p>
        </w:tc>
        <w:tc>
          <w:tcPr>
            <w:tcW w:type="dxa" w:w="13380"/>
          </w:tcPr>
          <w:p>
            <w:r/>
            <w:r>
              <w:rPr>
                <w:b w:val="0"/>
              </w:rPr>
              <w:t>Under EU AI Act Article 4, providers and deployers must take measures to support AI literacy development among staff and other persons operating or using AI systems on their behalf, taking into account their technical knowledge, experience, education, training, deployment context, and affected persons or groups (without mandating a guaranteed literacy level for each individual). Separately, ISO/IEC 42001 establishes voluntary AI management system (AIMS) competence requirements for personnel affecting AI performance and governance.</w:t>
            </w:r>
          </w:p>
        </w:tc>
      </w:tr>
      <w:tr>
        <w:tc>
          <w:tcPr>
            <w:tcW w:type="dxa" w:w="1020"/>
            <w:shd w:val="clear" w:color="auto" w:fill="D9E2F3"/>
          </w:tcPr>
          <w:p>
            <w:r/>
            <w:r>
              <w:rPr>
                <w:b/>
              </w:rPr>
              <w:t>要点</w:t>
            </w:r>
          </w:p>
        </w:tc>
        <w:tc>
          <w:tcPr>
            <w:tcW w:type="dxa" w:w="13380"/>
          </w:tcPr>
          <w:p>
            <w:r/>
            <w:r>
              <w:rPr>
                <w:b w:val="0"/>
              </w:rPr>
              <w:t>EU AI Act Article 4 imposes a statutory duty on providers and deployers to take role- and context-appropriate AI literacy measures, whereas ISO/IEC 42001 provides a voluntary management-system framework for organizational competence.</w:t>
            </w:r>
          </w:p>
        </w:tc>
      </w:tr>
      <w:tr>
        <w:tc>
          <w:tcPr>
            <w:tcW w:type="dxa" w:w="1020"/>
            <w:shd w:val="clear" w:color="auto" w:fill="D9E2F3"/>
          </w:tcPr>
          <w:p>
            <w:r/>
            <w:r>
              <w:rPr>
                <w:b/>
              </w:rPr>
              <w:t>来源</w:t>
            </w:r>
          </w:p>
        </w:tc>
        <w:tc>
          <w:tcPr>
            <w:tcW w:type="dxa" w:w="13380"/>
          </w:tcPr>
          <w:p>
            <w:r/>
            <w:r>
              <w:rPr>
                <w:b w:val="0"/>
              </w:rPr>
              <w:t>Regulation (EU) 2024/1689 (EU AI Act) Art. 4; ISO/IEC 42001:2023 (verify competence clause against licensed standard).</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10. fc-10 · AI Whistleblowing &amp; Safe Harbor Channels</w:t>
      </w:r>
    </w:p>
    <w:p>
      <w:pPr>
        <w:spacing w:after="60"/>
      </w:pPr>
      <w:r>
        <w:rPr>
          <w:b w:val="0"/>
          <w:color w:val="5A5A5A"/>
          <w:sz w:val="18"/>
        </w:rPr>
        <w:t>归类：D1 AI Enterprise Governance　　状态：未复核</w:t>
      </w:r>
    </w:p>
    <w:p>
      <w:pPr>
        <w:spacing w:after="60"/>
      </w:pPr>
      <w:r>
        <w:rPr>
          <w:b w:val="0"/>
          <w:color w:val="5A5A5A"/>
          <w:sz w:val="18"/>
        </w:rPr>
        <w:t>机器检查：无 sourceUrl</w:t>
      </w:r>
    </w:p>
    <w:p>
      <w:pPr>
        <w:spacing w:after="60"/>
      </w:pPr>
      <w:r>
        <w:rPr>
          <w:b/>
          <w:color w:val="BE2828"/>
          <w:sz w:val="20"/>
        </w:rPr>
        <w:t>⚑ 本卡有需要你专门拍板的事项：见第三部分 J10</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Why should AI governance frameworks establish dedicated ethical reporting and safe harbor channels?</w:t>
            </w:r>
          </w:p>
        </w:tc>
      </w:tr>
      <w:tr>
        <w:tc>
          <w:tcPr>
            <w:tcW w:type="dxa" w:w="1020"/>
            <w:shd w:val="clear" w:color="auto" w:fill="D9E2F3"/>
          </w:tcPr>
          <w:p>
            <w:r/>
            <w:r>
              <w:rPr>
                <w:b/>
              </w:rPr>
              <w:t>背面</w:t>
            </w:r>
          </w:p>
        </w:tc>
        <w:tc>
          <w:tcPr>
            <w:tcW w:type="dxa" w:w="13380"/>
          </w:tcPr>
          <w:p>
            <w:r/>
            <w:r>
              <w:rPr>
                <w:b w:val="0"/>
              </w:rPr>
              <w:t>Dedicated reporting and anti-retaliation ('safe harbor') channels enable engineers, data scientists, and staff to escalate suspected algorithmic harms, safety flaws, bias, or control failures early without fear of retaliation. These internal escalation mechanisms support timely risk remediation while operating alongside—and never restricting—statutorily required regulatory notifications or legally protected external whistleblowing disclosures.</w:t>
            </w:r>
          </w:p>
        </w:tc>
      </w:tr>
      <w:tr>
        <w:tc>
          <w:tcPr>
            <w:tcW w:type="dxa" w:w="1020"/>
            <w:shd w:val="clear" w:color="auto" w:fill="D9E2F3"/>
          </w:tcPr>
          <w:p>
            <w:r/>
            <w:r>
              <w:rPr>
                <w:b/>
              </w:rPr>
              <w:t>要点</w:t>
            </w:r>
          </w:p>
        </w:tc>
        <w:tc>
          <w:tcPr>
            <w:tcW w:type="dxa" w:w="13380"/>
          </w:tcPr>
          <w:p>
            <w:r/>
            <w:r>
              <w:rPr>
                <w:b w:val="0"/>
              </w:rPr>
              <w:t>Accessible escalation channels and anti-retaliation protections strengthen organizational risk culture and early issue remediation while preserving legally protected external reporting rights.</w:t>
            </w:r>
          </w:p>
        </w:tc>
      </w:tr>
      <w:tr>
        <w:tc>
          <w:tcPr>
            <w:tcW w:type="dxa" w:w="1020"/>
            <w:shd w:val="clear" w:color="auto" w:fill="D9E2F3"/>
          </w:tcPr>
          <w:p>
            <w:r/>
            <w:r>
              <w:rPr>
                <w:b/>
              </w:rPr>
              <w:t>来源</w:t>
            </w:r>
          </w:p>
        </w:tc>
        <w:tc>
          <w:tcPr>
            <w:tcW w:type="dxa" w:w="13380"/>
          </w:tcPr>
          <w:p>
            <w:r/>
            <w:r>
              <w:rPr>
                <w:b w:val="0"/>
              </w:rPr>
              <w:t>NIST AI RMF 1.0 GOVERN 4.2 &amp; 4.3.</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11. fc-11 · Model Cards &amp; AI Asset Inventory</w:t>
      </w:r>
    </w:p>
    <w:p>
      <w:pPr>
        <w:spacing w:after="60"/>
      </w:pPr>
      <w:r>
        <w:rPr>
          <w:b w:val="0"/>
          <w:color w:val="5A5A5A"/>
          <w:sz w:val="18"/>
        </w:rPr>
        <w:t>归类：D2 Data and AI Architecture Principles　　状态：未复核</w:t>
      </w:r>
    </w:p>
    <w:p>
      <w:pPr>
        <w:spacing w:after="60"/>
      </w:pPr>
      <w:r>
        <w:rPr>
          <w:b w:val="0"/>
          <w:color w:val="BE2828"/>
          <w:sz w:val="18"/>
        </w:rPr>
        <w:t>机器检查：正面一次问多件事；来源标注"verify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Why are Model Cards indispensable for AI asset governance, and what core elements must they contain?</w:t>
            </w:r>
          </w:p>
        </w:tc>
      </w:tr>
      <w:tr>
        <w:tc>
          <w:tcPr>
            <w:tcW w:type="dxa" w:w="1020"/>
            <w:shd w:val="clear" w:color="auto" w:fill="D9E2F3"/>
          </w:tcPr>
          <w:p>
            <w:r/>
            <w:r>
              <w:rPr>
                <w:b/>
              </w:rPr>
              <w:t>背面</w:t>
            </w:r>
          </w:p>
        </w:tc>
        <w:tc>
          <w:tcPr>
            <w:tcW w:type="dxa" w:w="13380"/>
          </w:tcPr>
          <w:p>
            <w:r/>
            <w:r>
              <w:rPr>
                <w:b w:val="0"/>
              </w:rPr>
              <w:t>Proposed by Mitchell et al. (2019) and operationalized in enterprise AI registries, Model Cards provide standardized transparency and accountability metadata to supplement an AI asset inventory, typically documenting: 1. Model Details, Accountable Owner, Version History, and Risk Tier; 2. Intended Use Cases alongside explicit out-of-scope or prohibited uses; 3. Training and Evaluation Dataset Provenance, assumptions, and known limitations; 4. Disaggregated Performance Benchmarks, fairness/bias evaluations across relevant subgroups, and ethical/safety considerations.</w:t>
            </w:r>
          </w:p>
        </w:tc>
      </w:tr>
      <w:tr>
        <w:tc>
          <w:tcPr>
            <w:tcW w:type="dxa" w:w="1020"/>
            <w:shd w:val="clear" w:color="auto" w:fill="D9E2F3"/>
          </w:tcPr>
          <w:p>
            <w:r/>
            <w:r>
              <w:rPr>
                <w:b/>
              </w:rPr>
              <w:t>要点</w:t>
            </w:r>
          </w:p>
        </w:tc>
        <w:tc>
          <w:tcPr>
            <w:tcW w:type="dxa" w:w="13380"/>
          </w:tcPr>
          <w:p>
            <w:r/>
            <w:r>
              <w:rPr>
                <w:b w:val="0"/>
              </w:rPr>
              <w:t>A code repository is not an AI governance inventory: effective oversight requires a formal AI asset inventory (NIST AI RMF GOVERN 1.6) paired with standardized Model Cards documenting purpose, limitations, disaggregated evaluations, risk tier, and accountable ownership.</w:t>
            </w:r>
          </w:p>
        </w:tc>
      </w:tr>
      <w:tr>
        <w:tc>
          <w:tcPr>
            <w:tcW w:type="dxa" w:w="1020"/>
            <w:shd w:val="clear" w:color="auto" w:fill="D9E2F3"/>
          </w:tcPr>
          <w:p>
            <w:r/>
            <w:r>
              <w:rPr>
                <w:b/>
              </w:rPr>
              <w:t>来源</w:t>
            </w:r>
          </w:p>
        </w:tc>
        <w:tc>
          <w:tcPr>
            <w:tcW w:type="dxa" w:w="13380"/>
          </w:tcPr>
          <w:p>
            <w:r/>
            <w:r>
              <w:rPr>
                <w:b w:val="0"/>
              </w:rPr>
              <w:t>Mitchell et al., 'Model Cards for Model Reporting' (arXiv:1810.03993); NIST AI RMF 1.0 GOVERN 1.6, MAP 1.1 &amp; MEASURE 2.8; ISO/IEC 42001:2023 (verify inventory/documentation clauses against licensed standard).</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12. fc-12 · Data Drift vs. Concept Drift</w:t>
      </w:r>
    </w:p>
    <w:p>
      <w:pPr>
        <w:spacing w:after="60"/>
      </w:pPr>
      <w:r>
        <w:rPr>
          <w:b w:val="0"/>
          <w:color w:val="5A5A5A"/>
          <w:sz w:val="18"/>
        </w:rPr>
        <w:t>归类：D2 Data and AI Architecture Principles　　状态：未复核</w:t>
      </w:r>
    </w:p>
    <w:p>
      <w:pPr>
        <w:spacing w:after="60"/>
      </w:pPr>
      <w:r>
        <w:rPr>
          <w:b w:val="0"/>
          <w:color w:val="BE2828"/>
          <w:sz w:val="18"/>
        </w:rPr>
        <w:t>机器检查：2026-10-14 复核列为"待补证"；来源没有具体条款；无 sourceUrl</w:t>
      </w:r>
    </w:p>
    <w:p>
      <w:pPr>
        <w:spacing w:after="60"/>
      </w:pPr>
      <w:r>
        <w:rPr>
          <w:b/>
          <w:color w:val="BE2828"/>
          <w:sz w:val="20"/>
        </w:rPr>
        <w:t>⚑ 本卡有需要你专门拍板的事项：见第三部分 J7</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the fundamental difference between Data Drift and Concept Drift?</w:t>
            </w:r>
          </w:p>
        </w:tc>
      </w:tr>
      <w:tr>
        <w:tc>
          <w:tcPr>
            <w:tcW w:type="dxa" w:w="1020"/>
            <w:shd w:val="clear" w:color="auto" w:fill="D9E2F3"/>
          </w:tcPr>
          <w:p>
            <w:r/>
            <w:r>
              <w:rPr>
                <w:b/>
              </w:rPr>
              <w:t>背面</w:t>
            </w:r>
          </w:p>
        </w:tc>
        <w:tc>
          <w:tcPr>
            <w:tcW w:type="dxa" w:w="13380"/>
          </w:tcPr>
          <w:p>
            <w:r/>
            <w:r>
              <w:rPr>
                <w:b w:val="0"/>
              </w:rPr>
              <w:t>1. Data Drift (Covariate Shift): Changes in the statistical distribution of input features P(X), such as shifts in customer demographics or user prompt language patterns over time.</w:t>
              <w:br/>
              <w:t>2. Concept Drift: Changes in the underlying statistical relationship between input features and target labels P(Y|X), such as fraudsters altering tactics so previously benign transactions now represent fraud.</w:t>
            </w:r>
          </w:p>
        </w:tc>
      </w:tr>
      <w:tr>
        <w:tc>
          <w:tcPr>
            <w:tcW w:type="dxa" w:w="1020"/>
            <w:shd w:val="clear" w:color="auto" w:fill="D9E2F3"/>
          </w:tcPr>
          <w:p>
            <w:r/>
            <w:r>
              <w:rPr>
                <w:b/>
              </w:rPr>
              <w:t>要点</w:t>
            </w:r>
          </w:p>
        </w:tc>
        <w:tc>
          <w:tcPr>
            <w:tcW w:type="dxa" w:w="13380"/>
          </w:tcPr>
          <w:p>
            <w:r/>
            <w:r>
              <w:rPr>
                <w:b w:val="0"/>
              </w:rPr>
              <w:t>Continuous baseline telemetry: Data drift monitors the input distribution; concept drift monitors the fundamental prediction relationship.</w:t>
            </w:r>
          </w:p>
        </w:tc>
      </w:tr>
      <w:tr>
        <w:tc>
          <w:tcPr>
            <w:tcW w:type="dxa" w:w="1020"/>
            <w:shd w:val="clear" w:color="auto" w:fill="D9E2F3"/>
          </w:tcPr>
          <w:p>
            <w:r/>
            <w:r>
              <w:rPr>
                <w:b/>
              </w:rPr>
              <w:t>来源</w:t>
            </w:r>
          </w:p>
        </w:tc>
        <w:tc>
          <w:tcPr>
            <w:tcW w:type="dxa" w:w="13380"/>
          </w:tcPr>
          <w:p>
            <w:r/>
            <w:r>
              <w:rPr>
                <w:b w:val="0"/>
              </w:rPr>
              <w:t>ISO/IEC 23894</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13. fc-13 · Proxy Discrimination &amp; Algorithmic Fairness</w:t>
      </w:r>
    </w:p>
    <w:p>
      <w:pPr>
        <w:spacing w:after="60"/>
      </w:pPr>
      <w:r>
        <w:rPr>
          <w:b w:val="0"/>
          <w:color w:val="5A5A5A"/>
          <w:sz w:val="18"/>
        </w:rPr>
        <w:t>归类：D2 Data and AI Architecture Principles　　状态：未复核</w:t>
      </w:r>
    </w:p>
    <w:p>
      <w:pPr>
        <w:spacing w:after="60"/>
      </w:pPr>
      <w:r>
        <w:rPr>
          <w:b w:val="0"/>
          <w:color w:val="BE2828"/>
          <w:sz w:val="18"/>
        </w:rPr>
        <w:t>机器检查：正面一次问多件事；无 sourceUrl</w:t>
      </w:r>
    </w:p>
    <w:p>
      <w:pPr>
        <w:spacing w:after="60"/>
      </w:pPr>
      <w:r>
        <w:rPr>
          <w:b/>
          <w:color w:val="BE2828"/>
          <w:sz w:val="20"/>
        </w:rPr>
        <w:t>⚑ 本卡有需要你专门拍板的事项：见第三部分 J11</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Proxy Discrimination in AI training datasets, and why is it difficult to detect?</w:t>
            </w:r>
          </w:p>
        </w:tc>
      </w:tr>
      <w:tr>
        <w:tc>
          <w:tcPr>
            <w:tcW w:type="dxa" w:w="1020"/>
            <w:shd w:val="clear" w:color="auto" w:fill="D9E2F3"/>
          </w:tcPr>
          <w:p>
            <w:r/>
            <w:r>
              <w:rPr>
                <w:b/>
              </w:rPr>
              <w:t>背面</w:t>
            </w:r>
          </w:p>
        </w:tc>
        <w:tc>
          <w:tcPr>
            <w:tcW w:type="dxa" w:w="13380"/>
          </w:tcPr>
          <w:p>
            <w:r/>
            <w:r>
              <w:rPr>
                <w:b w:val="0"/>
              </w:rPr>
              <w:t>Proxy discrimination occurs when an AI system inadvertently learns to discriminate based on protected characteristics (e.g., race, gender, religion) through neutral correlated variables (e.g., zip code, alma mater, browsing patterns) even when protected attributes are explicitly excluded from training data.</w:t>
            </w:r>
          </w:p>
        </w:tc>
      </w:tr>
      <w:tr>
        <w:tc>
          <w:tcPr>
            <w:tcW w:type="dxa" w:w="1020"/>
            <w:shd w:val="clear" w:color="auto" w:fill="D9E2F3"/>
          </w:tcPr>
          <w:p>
            <w:r/>
            <w:r>
              <w:rPr>
                <w:b/>
              </w:rPr>
              <w:t>要点</w:t>
            </w:r>
          </w:p>
        </w:tc>
        <w:tc>
          <w:tcPr>
            <w:tcW w:type="dxa" w:w="13380"/>
          </w:tcPr>
          <w:p>
            <w:r/>
            <w:r>
              <w:rPr>
                <w:b w:val="0"/>
              </w:rPr>
              <w:t>Blinding a model to sensitive attributes is insufficient: Rigorous fairness testing and disparate impact analyses are required.</w:t>
            </w:r>
          </w:p>
        </w:tc>
      </w:tr>
      <w:tr>
        <w:tc>
          <w:tcPr>
            <w:tcW w:type="dxa" w:w="1020"/>
            <w:shd w:val="clear" w:color="auto" w:fill="D9E2F3"/>
          </w:tcPr>
          <w:p>
            <w:r/>
            <w:r>
              <w:rPr>
                <w:b/>
              </w:rPr>
              <w:t>来源</w:t>
            </w:r>
          </w:p>
        </w:tc>
        <w:tc>
          <w:tcPr>
            <w:tcW w:type="dxa" w:w="13380"/>
          </w:tcPr>
          <w:p>
            <w:r/>
            <w:r>
              <w:rPr>
                <w:b w:val="0"/>
              </w:rPr>
              <w:t>NIST AI RMF MEASURE 2.11</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14. fc-14 · Data Provenance &amp; Lineage Tracking</w:t>
      </w:r>
    </w:p>
    <w:p>
      <w:pPr>
        <w:spacing w:after="60"/>
      </w:pPr>
      <w:r>
        <w:rPr>
          <w:b w:val="0"/>
          <w:color w:val="5A5A5A"/>
          <w:sz w:val="18"/>
        </w:rPr>
        <w:t>归类：D2 Data and AI Architecture Principles　　状态：未复核</w:t>
      </w:r>
    </w:p>
    <w:p>
      <w:pPr>
        <w:spacing w:after="60"/>
      </w:pPr>
      <w:r>
        <w:rPr>
          <w:b w:val="0"/>
          <w:color w:val="BE2828"/>
          <w:sz w:val="18"/>
        </w:rPr>
        <w:t>机器检查：来源标注"verify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Why is trustworthy data provenance and lineage tracking critical for AI governance and regulatory audits?</w:t>
            </w:r>
          </w:p>
        </w:tc>
      </w:tr>
      <w:tr>
        <w:tc>
          <w:tcPr>
            <w:tcW w:type="dxa" w:w="1020"/>
            <w:shd w:val="clear" w:color="auto" w:fill="D9E2F3"/>
          </w:tcPr>
          <w:p>
            <w:r/>
            <w:r>
              <w:rPr>
                <w:b/>
              </w:rPr>
              <w:t>背面</w:t>
            </w:r>
          </w:p>
        </w:tc>
        <w:tc>
          <w:tcPr>
            <w:tcW w:type="dxa" w:w="13380"/>
          </w:tcPr>
          <w:p>
            <w:r/>
            <w:r>
              <w:rPr>
                <w:b w:val="0"/>
              </w:rPr>
              <w:t>Data provenance and lineage document the lifecycle chain of data—including origin, collection context, legal basis or licensing permissions, preprocessing transformations, and synthetic augmentations. Maintaining proportionate, verifiable lineage records supports auditability, copyright and data-governance compliance, poisoning investigations, and handling of statutory data-subject rights (such as GDPR Article 17 erasure requests), while aligning metadata retention with applicable privacy and deletion obligations.</w:t>
            </w:r>
          </w:p>
        </w:tc>
      </w:tr>
      <w:tr>
        <w:tc>
          <w:tcPr>
            <w:tcW w:type="dxa" w:w="1020"/>
            <w:shd w:val="clear" w:color="auto" w:fill="D9E2F3"/>
          </w:tcPr>
          <w:p>
            <w:r/>
            <w:r>
              <w:rPr>
                <w:b/>
              </w:rPr>
              <w:t>要点</w:t>
            </w:r>
          </w:p>
        </w:tc>
        <w:tc>
          <w:tcPr>
            <w:tcW w:type="dxa" w:w="13380"/>
          </w:tcPr>
          <w:p>
            <w:r/>
            <w:r>
              <w:rPr>
                <w:b w:val="0"/>
              </w:rPr>
              <w:t>Trustworthy, risk-proportionate data lineage enables organizations to verify data permissions, investigate data-integrity issues, and align AI lifecycle documentation with privacy and regulatory obligations.</w:t>
            </w:r>
          </w:p>
        </w:tc>
      </w:tr>
      <w:tr>
        <w:tc>
          <w:tcPr>
            <w:tcW w:type="dxa" w:w="1020"/>
            <w:shd w:val="clear" w:color="auto" w:fill="D9E2F3"/>
          </w:tcPr>
          <w:p>
            <w:r/>
            <w:r>
              <w:rPr>
                <w:b/>
              </w:rPr>
              <w:t>来源</w:t>
            </w:r>
          </w:p>
        </w:tc>
        <w:tc>
          <w:tcPr>
            <w:tcW w:type="dxa" w:w="13380"/>
          </w:tcPr>
          <w:p>
            <w:r/>
            <w:r>
              <w:rPr>
                <w:b w:val="0"/>
              </w:rPr>
              <w:t>GDPR Arts. 5(2) &amp; 17; NIST AI RMF 1.0 MAP 2.3; ISO/IEC 42001:2023 (verify data management clauses against licensed standard).</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15. fc-15 · Synthetic Data Governance</w:t>
      </w:r>
    </w:p>
    <w:p>
      <w:pPr>
        <w:spacing w:after="60"/>
      </w:pPr>
      <w:r>
        <w:rPr>
          <w:b w:val="0"/>
          <w:color w:val="5A5A5A"/>
          <w:sz w:val="18"/>
        </w:rPr>
        <w:t>归类：D2 Data and AI Architecture Principles　　状态：未复核</w:t>
      </w:r>
    </w:p>
    <w:p>
      <w:pPr>
        <w:spacing w:after="60"/>
      </w:pPr>
      <w:r>
        <w:rPr>
          <w:b w:val="0"/>
          <w:color w:val="BE2828"/>
          <w:sz w:val="18"/>
        </w:rPr>
        <w:t>机器检查：背面 610 字（超过 600）；来源标注"verify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key risks must be managed when utilizing synthetic data for AI model development?</w:t>
            </w:r>
          </w:p>
        </w:tc>
      </w:tr>
      <w:tr>
        <w:tc>
          <w:tcPr>
            <w:tcW w:type="dxa" w:w="1020"/>
            <w:shd w:val="clear" w:color="auto" w:fill="D9E2F3"/>
          </w:tcPr>
          <w:p>
            <w:r/>
            <w:r>
              <w:rPr>
                <w:b/>
              </w:rPr>
              <w:t>背面</w:t>
            </w:r>
          </w:p>
        </w:tc>
        <w:tc>
          <w:tcPr>
            <w:tcW w:type="dxa" w:w="13380"/>
          </w:tcPr>
          <w:p>
            <w:r/>
            <w:r>
              <w:rPr>
                <w:b w:val="0"/>
              </w:rPr>
              <w:t>Key risks in synthetic data governance include: 1. Model Collapse (Conditional Recursive Risk): Repeatedly training models on uncurated synthetic outputs across generations without sufficient real-world data anchoring can degrade output quality and erode tail distributions; 2. Bias and Artifact Amplification: Biases, distributional gaps, or confabulations in the generator model can propagate into downstream models; 3. Residual Privacy Leakage: Synthetic data is not automatically anonymous—poorly regularized generators can memorize and leak source PII or remain vulnerable to membership inference attacks.</w:t>
            </w:r>
          </w:p>
        </w:tc>
      </w:tr>
      <w:tr>
        <w:tc>
          <w:tcPr>
            <w:tcW w:type="dxa" w:w="1020"/>
            <w:shd w:val="clear" w:color="auto" w:fill="D9E2F3"/>
          </w:tcPr>
          <w:p>
            <w:r/>
            <w:r>
              <w:rPr>
                <w:b/>
              </w:rPr>
              <w:t>要点</w:t>
            </w:r>
          </w:p>
        </w:tc>
        <w:tc>
          <w:tcPr>
            <w:tcW w:type="dxa" w:w="13380"/>
          </w:tcPr>
          <w:p>
            <w:r/>
            <w:r>
              <w:rPr>
                <w:b w:val="0"/>
              </w:rPr>
              <w:t>Synthetic data governance requires validating distributional fidelity, representativeness, bias propagation, recursive-training effects, and empirical privacy leakage rather than assuming synthetic data is risk-free.</w:t>
            </w:r>
          </w:p>
        </w:tc>
      </w:tr>
      <w:tr>
        <w:tc>
          <w:tcPr>
            <w:tcW w:type="dxa" w:w="1020"/>
            <w:shd w:val="clear" w:color="auto" w:fill="D9E2F3"/>
          </w:tcPr>
          <w:p>
            <w:r/>
            <w:r>
              <w:rPr>
                <w:b/>
              </w:rPr>
              <w:t>来源</w:t>
            </w:r>
          </w:p>
        </w:tc>
        <w:tc>
          <w:tcPr>
            <w:tcW w:type="dxa" w:w="13380"/>
          </w:tcPr>
          <w:p>
            <w:r/>
            <w:r>
              <w:rPr>
                <w:b w:val="0"/>
              </w:rPr>
              <w:t>Shumailov et al. (arXiv:2305.17493); NIST AI 600-1; ISO/IEC 23894 (verify standard text).</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16. fc-16 · Datasheets for Datasets</w:t>
      </w:r>
    </w:p>
    <w:p>
      <w:pPr>
        <w:spacing w:after="60"/>
      </w:pPr>
      <w:r>
        <w:rPr>
          <w:b w:val="0"/>
          <w:color w:val="5A5A5A"/>
          <w:sz w:val="18"/>
        </w:rPr>
        <w:t>归类：D2 Data and AI Architecture Principles　　状态：未复核</w:t>
      </w:r>
    </w:p>
    <w:p>
      <w:pPr>
        <w:spacing w:after="60"/>
      </w:pPr>
      <w:r>
        <w:rPr>
          <w:b w:val="0"/>
          <w:color w:val="BE2828"/>
          <w:sz w:val="18"/>
        </w:rPr>
        <w:t>机器检查：正面一次问多件事；无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a "Datasheet for Datasets" and how does it support AI compliance?</w:t>
            </w:r>
          </w:p>
        </w:tc>
      </w:tr>
      <w:tr>
        <w:tc>
          <w:tcPr>
            <w:tcW w:type="dxa" w:w="1020"/>
            <w:shd w:val="clear" w:color="auto" w:fill="D9E2F3"/>
          </w:tcPr>
          <w:p>
            <w:r/>
            <w:r>
              <w:rPr>
                <w:b/>
              </w:rPr>
              <w:t>背面</w:t>
            </w:r>
          </w:p>
        </w:tc>
        <w:tc>
          <w:tcPr>
            <w:tcW w:type="dxa" w:w="13380"/>
          </w:tcPr>
          <w:p>
            <w:r/>
            <w:r>
              <w:rPr>
                <w:b w:val="0"/>
              </w:rPr>
              <w:t>Proposed by Gebru et al., a 'Datasheet for Datasets' is a standardized transparency artifact that documents seven lifecycle areas of a dataset: motivation, composition, collection process, preprocessing/cleaning/labeling, intended and non-intended uses, distribution, and maintenance. It helps practitioners, deployers, and auditors evaluate dataset representativeness, sampling limitations, and governance gaps, though separate legal and technical verification is still required to establish copyright compliance or satisfy statutory data-governance rules (such as EU AI Act Article 10).</w:t>
            </w:r>
          </w:p>
        </w:tc>
      </w:tr>
      <w:tr>
        <w:tc>
          <w:tcPr>
            <w:tcW w:type="dxa" w:w="1020"/>
            <w:shd w:val="clear" w:color="auto" w:fill="D9E2F3"/>
          </w:tcPr>
          <w:p>
            <w:r/>
            <w:r>
              <w:rPr>
                <w:b/>
              </w:rPr>
              <w:t>要点</w:t>
            </w:r>
          </w:p>
        </w:tc>
        <w:tc>
          <w:tcPr>
            <w:tcW w:type="dxa" w:w="13380"/>
          </w:tcPr>
          <w:p>
            <w:r/>
            <w:r>
              <w:rPr>
                <w:b w:val="0"/>
              </w:rPr>
              <w:t>Dataset datasheets standardize lifecycle transparency across motivation, composition, collection, processing, uses, distribution, and maintenance to support informed dataset selection and risk assessment.</w:t>
            </w:r>
          </w:p>
        </w:tc>
      </w:tr>
      <w:tr>
        <w:tc>
          <w:tcPr>
            <w:tcW w:type="dxa" w:w="1020"/>
            <w:shd w:val="clear" w:color="auto" w:fill="D9E2F3"/>
          </w:tcPr>
          <w:p>
            <w:r/>
            <w:r>
              <w:rPr>
                <w:b/>
              </w:rPr>
              <w:t>来源</w:t>
            </w:r>
          </w:p>
        </w:tc>
        <w:tc>
          <w:tcPr>
            <w:tcW w:type="dxa" w:w="13380"/>
          </w:tcPr>
          <w:p>
            <w:r/>
            <w:r>
              <w:rPr>
                <w:b w:val="0"/>
              </w:rPr>
              <w:t>Gebru et al., 'Datasheets for Datasets' (arXiv:1803.09010); NIST AI RMF 1.0 MAP 2.3.</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17. fc-17 · Differential Privacy in AI</w:t>
      </w:r>
    </w:p>
    <w:p>
      <w:pPr>
        <w:spacing w:after="60"/>
      </w:pPr>
      <w:r>
        <w:rPr>
          <w:b w:val="0"/>
          <w:color w:val="5A5A5A"/>
          <w:sz w:val="18"/>
        </w:rPr>
        <w:t>归类：D2 Data and AI Architecture Principles　　状态：未复核</w:t>
      </w:r>
    </w:p>
    <w:p>
      <w:pPr>
        <w:spacing w:after="60"/>
      </w:pPr>
      <w:r>
        <w:rPr>
          <w:b w:val="0"/>
          <w:color w:val="BE2828"/>
          <w:sz w:val="18"/>
        </w:rPr>
        <w:t>机器检查：正面一次问多件事；无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Differential Privacy (DP), and how does it protect training data from extraction?</w:t>
            </w:r>
          </w:p>
        </w:tc>
      </w:tr>
      <w:tr>
        <w:tc>
          <w:tcPr>
            <w:tcW w:type="dxa" w:w="1020"/>
            <w:shd w:val="clear" w:color="auto" w:fill="D9E2F3"/>
          </w:tcPr>
          <w:p>
            <w:r/>
            <w:r>
              <w:rPr>
                <w:b/>
              </w:rPr>
              <w:t>背面</w:t>
            </w:r>
          </w:p>
        </w:tc>
        <w:tc>
          <w:tcPr>
            <w:tcW w:type="dxa" w:w="13380"/>
          </w:tcPr>
          <w:p>
            <w:r/>
            <w:r>
              <w:rPr>
                <w:b w:val="0"/>
              </w:rPr>
              <w:t>Differential Privacy (DP) adds mathematically calibrated noise (e.g., Laplace or Gaussian mechanisms, or DP-SGD during training) to bound how much an algorithm's output distribution can change when any single individual's contribution is added, modified, or removed. Rather than guaranteeing zero disclosure or completely eliminating membership inference attacks, DP quantifies and bounds incremental privacy loss through privacy parameters (such as epsilon and delta) that must be evaluated alongside query composition, implementation fidelity, and residual inference risks.</w:t>
            </w:r>
          </w:p>
        </w:tc>
      </w:tr>
      <w:tr>
        <w:tc>
          <w:tcPr>
            <w:tcW w:type="dxa" w:w="1020"/>
            <w:shd w:val="clear" w:color="auto" w:fill="D9E2F3"/>
          </w:tcPr>
          <w:p>
            <w:r/>
            <w:r>
              <w:rPr>
                <w:b/>
              </w:rPr>
              <w:t>要点</w:t>
            </w:r>
          </w:p>
        </w:tc>
        <w:tc>
          <w:tcPr>
            <w:tcW w:type="dxa" w:w="13380"/>
          </w:tcPr>
          <w:p>
            <w:r/>
            <w:r>
              <w:rPr>
                <w:b w:val="0"/>
              </w:rPr>
              <w:t>Differential privacy mathematically bounds and quantifies incremental privacy loss from individual records, reducing—rather than guaranteeing zero—membership inference and data extraction risks depending on privacy parameters and composition.</w:t>
            </w:r>
          </w:p>
        </w:tc>
      </w:tr>
      <w:tr>
        <w:tc>
          <w:tcPr>
            <w:tcW w:type="dxa" w:w="1020"/>
            <w:shd w:val="clear" w:color="auto" w:fill="D9E2F3"/>
          </w:tcPr>
          <w:p>
            <w:r/>
            <w:r>
              <w:rPr>
                <w:b/>
              </w:rPr>
              <w:t>来源</w:t>
            </w:r>
          </w:p>
        </w:tc>
        <w:tc>
          <w:tcPr>
            <w:tcW w:type="dxa" w:w="13380"/>
          </w:tcPr>
          <w:p>
            <w:r/>
            <w:r>
              <w:rPr>
                <w:b w:val="0"/>
              </w:rPr>
              <w:t>NIST SP 800-226 (Guidelines for Evaluating Differential Privacy Guarantees); NIST AI RMF 1.0 MEASURE 2.10.</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18. fc-18 · Vector Database &amp; Embedding Governance</w:t>
      </w:r>
    </w:p>
    <w:p>
      <w:pPr>
        <w:spacing w:after="60"/>
      </w:pPr>
      <w:r>
        <w:rPr>
          <w:b w:val="0"/>
          <w:color w:val="5A5A5A"/>
          <w:sz w:val="18"/>
        </w:rPr>
        <w:t>归类：D2 Data and AI Architecture Principles　　状态：未复核</w:t>
      </w:r>
    </w:p>
    <w:p>
      <w:pPr>
        <w:spacing w:after="60"/>
      </w:pPr>
      <w:r>
        <w:rPr>
          <w:b w:val="0"/>
          <w:color w:val="BE2828"/>
          <w:sz w:val="18"/>
        </w:rPr>
        <w:t>机器检查：背面 672 字（超过 600）；无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key security and privacy controls should be implemented for vector databases in enterprise RAG architectures?</w:t>
            </w:r>
          </w:p>
        </w:tc>
      </w:tr>
      <w:tr>
        <w:tc>
          <w:tcPr>
            <w:tcW w:type="dxa" w:w="1020"/>
            <w:shd w:val="clear" w:color="auto" w:fill="D9E2F3"/>
          </w:tcPr>
          <w:p>
            <w:r/>
            <w:r>
              <w:rPr>
                <w:b/>
              </w:rPr>
              <w:t>背面</w:t>
            </w:r>
          </w:p>
        </w:tc>
        <w:tc>
          <w:tcPr>
            <w:tcW w:type="dxa" w:w="13380"/>
          </w:tcPr>
          <w:p>
            <w:r/>
            <w:r>
              <w:rPr>
                <w:b w:val="0"/>
              </w:rPr>
              <w:t>Recommended security and privacy controls for enterprise RAG vector stores include: 1. Authorization-Aware Retrieval: Enforcing source-system access-control lists (ACLs) or role/tenant filtering at query time so users only retrieve chunks they are authorized to view; 2. Data and Embedding Protection: Encrypting source text chunks and embedding vectors in transit and at rest, and restricting access to mitigate embedding-inversion risks; 3. Lifecycle Retention and Deletion Synchronization: Propagating data retention expirations, updates, and applicable statutory erasure requests (e.g., GDPR Article 17) across source repositories, vector indexes, caches, and backups.</w:t>
            </w:r>
          </w:p>
        </w:tc>
      </w:tr>
      <w:tr>
        <w:tc>
          <w:tcPr>
            <w:tcW w:type="dxa" w:w="1020"/>
            <w:shd w:val="clear" w:color="auto" w:fill="D9E2F3"/>
          </w:tcPr>
          <w:p>
            <w:r/>
            <w:r>
              <w:rPr>
                <w:b/>
              </w:rPr>
              <w:t>要点</w:t>
            </w:r>
          </w:p>
        </w:tc>
        <w:tc>
          <w:tcPr>
            <w:tcW w:type="dxa" w:w="13380"/>
          </w:tcPr>
          <w:p>
            <w:r/>
            <w:r>
              <w:rPr>
                <w:b w:val="0"/>
              </w:rPr>
              <w:t>Vector databases in RAG architectures require query-time authorization enforcement, storage/transit protection for chunks and embeddings, and synchronized lifecycle retention and deletion controls.</w:t>
            </w:r>
          </w:p>
        </w:tc>
      </w:tr>
      <w:tr>
        <w:tc>
          <w:tcPr>
            <w:tcW w:type="dxa" w:w="1020"/>
            <w:shd w:val="clear" w:color="auto" w:fill="D9E2F3"/>
          </w:tcPr>
          <w:p>
            <w:r/>
            <w:r>
              <w:rPr>
                <w:b/>
              </w:rPr>
              <w:t>来源</w:t>
            </w:r>
          </w:p>
        </w:tc>
        <w:tc>
          <w:tcPr>
            <w:tcW w:type="dxa" w:w="13380"/>
          </w:tcPr>
          <w:p>
            <w:r/>
            <w:r>
              <w:rPr>
                <w:b w:val="0"/>
              </w:rPr>
              <w:t>NIST SP 800-218 &amp; SP 800-218A; NIST AI 600-1; GDPR Arts. 5 &amp; 17 (where personal data is processed).</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19. fc-19 · Disparate Impact vs. Disparate Treatment</w:t>
      </w:r>
    </w:p>
    <w:p>
      <w:pPr>
        <w:spacing w:after="60"/>
      </w:pPr>
      <w:r>
        <w:rPr>
          <w:b w:val="0"/>
          <w:color w:val="5A5A5A"/>
          <w:sz w:val="18"/>
        </w:rPr>
        <w:t>归类：D2 Data and AI Architecture Principles　　状态：未复核</w:t>
      </w:r>
    </w:p>
    <w:p>
      <w:pPr>
        <w:spacing w:after="60"/>
      </w:pPr>
      <w:r>
        <w:rPr>
          <w:b w:val="0"/>
          <w:color w:val="5A5A5A"/>
          <w:sz w:val="18"/>
        </w:rPr>
        <w:t>机器检查：无 sourceUrl</w:t>
      </w:r>
    </w:p>
    <w:p>
      <w:pPr>
        <w:spacing w:after="60"/>
      </w:pPr>
      <w:r>
        <w:rPr>
          <w:b/>
          <w:color w:val="BE2828"/>
          <w:sz w:val="20"/>
        </w:rPr>
        <w:t>⚑ 本卡有需要你专门拍板的事项：见第三部分 J4</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How do "Disparate Treatment" and "Disparate Impact" differ in AI legal compliance?</w:t>
            </w:r>
          </w:p>
        </w:tc>
      </w:tr>
      <w:tr>
        <w:tc>
          <w:tcPr>
            <w:tcW w:type="dxa" w:w="1020"/>
            <w:shd w:val="clear" w:color="auto" w:fill="D9E2F3"/>
          </w:tcPr>
          <w:p>
            <w:r/>
            <w:r>
              <w:rPr>
                <w:b/>
              </w:rPr>
              <w:t>背面</w:t>
            </w:r>
          </w:p>
        </w:tc>
        <w:tc>
          <w:tcPr>
            <w:tcW w:type="dxa" w:w="13380"/>
          </w:tcPr>
          <w:p>
            <w:r/>
            <w:r>
              <w:rPr>
                <w:b w:val="0"/>
              </w:rPr>
              <w:t>1. Disparate Treatment: Intentional differential treatment based on protected status; explicit protected-class fields are not the only possible mechanism. 2. Disparate Impact: An ostensibly neutral practice disproportionately disadvantages a protected group, subject to the applicable legal test. The US employment Four-Fifths Rule (29 CFR § 1607.4(D)) is a practical screening rule of thumb, not a universal legal definition of discrimination or a guarantee of compliance.</w:t>
            </w:r>
          </w:p>
        </w:tc>
      </w:tr>
      <w:tr>
        <w:tc>
          <w:tcPr>
            <w:tcW w:type="dxa" w:w="1020"/>
            <w:shd w:val="clear" w:color="auto" w:fill="D9E2F3"/>
          </w:tcPr>
          <w:p>
            <w:r/>
            <w:r>
              <w:rPr>
                <w:b/>
              </w:rPr>
              <w:t>要点</w:t>
            </w:r>
          </w:p>
        </w:tc>
        <w:tc>
          <w:tcPr>
            <w:tcW w:type="dxa" w:w="13380"/>
          </w:tcPr>
          <w:p>
            <w:r/>
            <w:r>
              <w:rPr>
                <w:b w:val="0"/>
              </w:rPr>
              <w:t>While lack of discriminatory intent is not a defense to a prima facie disparate-impact (or EU indirect-discrimination) claim, a practice may be legally defended if proven job-related and consistent with business necessity without a less discriminatory alternative (under US Title VII) or objectively justified by a legitimate aim achieved through appropriate and necessary means (under EU non-discrimination law).</w:t>
            </w:r>
          </w:p>
        </w:tc>
      </w:tr>
      <w:tr>
        <w:tc>
          <w:tcPr>
            <w:tcW w:type="dxa" w:w="1020"/>
            <w:shd w:val="clear" w:color="auto" w:fill="D9E2F3"/>
          </w:tcPr>
          <w:p>
            <w:r/>
            <w:r>
              <w:rPr>
                <w:b/>
              </w:rPr>
              <w:t>来源</w:t>
            </w:r>
          </w:p>
        </w:tc>
        <w:tc>
          <w:tcPr>
            <w:tcW w:type="dxa" w:w="13380"/>
          </w:tcPr>
          <w:p>
            <w:r/>
            <w:r>
              <w:rPr>
                <w:b w:val="0"/>
              </w:rPr>
              <w:t>US Title VII (42 U.S.C. § 2000e-2(k)) &amp; 29 CFR § 1607.4(D); EU Non-Discrimination Directives &amp; EU AI Act Art. 10.</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20. fc-20 · Data Minimization for Generative AI</w:t>
      </w:r>
    </w:p>
    <w:p>
      <w:pPr>
        <w:spacing w:after="60"/>
      </w:pPr>
      <w:r>
        <w:rPr>
          <w:b w:val="0"/>
          <w:color w:val="5A5A5A"/>
          <w:sz w:val="18"/>
        </w:rPr>
        <w:t>归类：D2 Data and AI Architecture Principles　　状态：未复核</w:t>
      </w:r>
    </w:p>
    <w:p>
      <w:pPr>
        <w:spacing w:after="60"/>
      </w:pPr>
      <w:r>
        <w:rPr>
          <w:b w:val="0"/>
          <w:color w:val="BE2828"/>
          <w:sz w:val="18"/>
        </w:rPr>
        <w:t>机器检查：背面 789 字（超过 600）；来源标注"verify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How is the principle of Data Minimization applied to prompt engineering and retrieval-augmented generation (RAG)?</w:t>
            </w:r>
          </w:p>
        </w:tc>
      </w:tr>
      <w:tr>
        <w:tc>
          <w:tcPr>
            <w:tcW w:type="dxa" w:w="1020"/>
            <w:shd w:val="clear" w:color="auto" w:fill="D9E2F3"/>
          </w:tcPr>
          <w:p>
            <w:r/>
            <w:r>
              <w:rPr>
                <w:b/>
              </w:rPr>
              <w:t>背面</w:t>
            </w:r>
          </w:p>
        </w:tc>
        <w:tc>
          <w:tcPr>
            <w:tcW w:type="dxa" w:w="13380"/>
          </w:tcPr>
          <w:p>
            <w:r/>
            <w:r>
              <w:rPr>
                <w:b w:val="0"/>
              </w:rPr>
              <w:t>Under GDPR Article 5(1)(c), data minimization requires that personal data be adequate, relevant, and limited to what is necessary for the specified processing purpose. In prompt engineering and RAG workflows, practical implementation controls include: 1. Input Redaction or Pseudonymization: Stripping or masking unnecessary direct identifiers (e.g., SSNs, contact details) before model invocation when individual identity is not required for the task; 2. Scoped RAG Indexing and Retrieval: Indexing only authorized, purpose-relevant corpora and retrieving only context chunks necessary to answer the query; 3. Proportionate Retention and Vendor Controls: Restricting prompt/output logging retention and contractually prohibiting vendors from reusing enterprise prompts for model training.</w:t>
            </w:r>
          </w:p>
        </w:tc>
      </w:tr>
      <w:tr>
        <w:tc>
          <w:tcPr>
            <w:tcW w:type="dxa" w:w="1020"/>
            <w:shd w:val="clear" w:color="auto" w:fill="D9E2F3"/>
          </w:tcPr>
          <w:p>
            <w:r/>
            <w:r>
              <w:rPr>
                <w:b/>
              </w:rPr>
              <w:t>要点</w:t>
            </w:r>
          </w:p>
        </w:tc>
        <w:tc>
          <w:tcPr>
            <w:tcW w:type="dxa" w:w="13380"/>
          </w:tcPr>
          <w:p>
            <w:r/>
            <w:r>
              <w:rPr>
                <w:b w:val="0"/>
              </w:rPr>
              <w:t>Applying data minimization to generative AI means limiting personal data in corpora, retrieved context, prompts, and logs to what is strictly necessary for the lawful processing purpose.</w:t>
            </w:r>
          </w:p>
        </w:tc>
      </w:tr>
      <w:tr>
        <w:tc>
          <w:tcPr>
            <w:tcW w:type="dxa" w:w="1020"/>
            <w:shd w:val="clear" w:color="auto" w:fill="D9E2F3"/>
          </w:tcPr>
          <w:p>
            <w:r/>
            <w:r>
              <w:rPr>
                <w:b/>
              </w:rPr>
              <w:t>来源</w:t>
            </w:r>
          </w:p>
        </w:tc>
        <w:tc>
          <w:tcPr>
            <w:tcW w:type="dxa" w:w="13380"/>
          </w:tcPr>
          <w:p>
            <w:r/>
            <w:r>
              <w:rPr>
                <w:b w:val="0"/>
              </w:rPr>
              <w:t>GDPR Art. 5(1)(c) &amp; Art. 25; NIST AI 600-1; ISO/IEC 42001:2023 (verify Annex A data controls against licensed standard).</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21. fc-21 · Buy vs. Build AI Governance Criteria</w:t>
      </w:r>
    </w:p>
    <w:p>
      <w:pPr>
        <w:spacing w:after="60"/>
      </w:pPr>
      <w:r>
        <w:rPr>
          <w:b w:val="0"/>
          <w:color w:val="5A5A5A"/>
          <w:sz w:val="18"/>
        </w:rPr>
        <w:t>归类：D3 AI Enterprise Integration and Performance Monitoring　　状态：未复核</w:t>
      </w:r>
    </w:p>
    <w:p>
      <w:pPr>
        <w:spacing w:after="60"/>
      </w:pPr>
      <w:r>
        <w:rPr>
          <w:b w:val="0"/>
          <w:color w:val="BE2828"/>
          <w:sz w:val="18"/>
        </w:rPr>
        <w:t>机器检查：背面 1075 字（超过 600）；来源标注"verify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are the critical governance considerations when evaluating commercial third-party foundation models versus in-house development?</w:t>
            </w:r>
          </w:p>
        </w:tc>
      </w:tr>
      <w:tr>
        <w:tc>
          <w:tcPr>
            <w:tcW w:type="dxa" w:w="1020"/>
            <w:shd w:val="clear" w:color="auto" w:fill="D9E2F3"/>
          </w:tcPr>
          <w:p>
            <w:r/>
            <w:r>
              <w:rPr>
                <w:b/>
              </w:rPr>
              <w:t>背面</w:t>
            </w:r>
          </w:p>
        </w:tc>
        <w:tc>
          <w:tcPr>
            <w:tcW w:type="dxa" w:w="13380"/>
          </w:tcPr>
          <w:p>
            <w:r/>
            <w:r>
              <w:rPr>
                <w:b w:val="0"/>
              </w:rPr>
              <w:t>Critical governance considerations when evaluating commercial third-party models ('buy') versus in-house development ('build') include: 1. Data Rights, Privacy &amp; Confidentiality: Contractual prohibitions against retaining or reusing enterprise prompts/data for vendor model training, alongside data residency controls; 2. Transparency, Assurance &amp; Regulatory Role Allocation: Access to documentation, evaluation/red-team evidence, and clarity on provider vs. deployer obligations (including EU AI Act Article 25(1) triggers: putting one's name or trademark on an existing high-risk system, substantially modifying an existing high-risk system so that it remains high-risk, or changing the intended purpose of a non-high-risk system so that it becomes high-risk; the enterprise may assume provider obligations when an Article 25 trigger is met); 3. Vendor Concentration &amp; Exit Resilience: Portability of prompts, embeddings, and workflows to mitigate lock-in; and 4. Total Cost of Ownership (TCO): Full lifecycle licensing, compute, monitoring, assurance, and switching costs.</w:t>
            </w:r>
          </w:p>
        </w:tc>
      </w:tr>
      <w:tr>
        <w:tc>
          <w:tcPr>
            <w:tcW w:type="dxa" w:w="1020"/>
            <w:shd w:val="clear" w:color="auto" w:fill="D9E2F3"/>
          </w:tcPr>
          <w:p>
            <w:r/>
            <w:r>
              <w:rPr>
                <w:b/>
              </w:rPr>
              <w:t>要点</w:t>
            </w:r>
          </w:p>
        </w:tc>
        <w:tc>
          <w:tcPr>
            <w:tcW w:type="dxa" w:w="13380"/>
          </w:tcPr>
          <w:p>
            <w:r/>
            <w:r>
              <w:rPr>
                <w:b w:val="0"/>
              </w:rPr>
              <w:t>Outsourcing AI model development does not outsource governance accountability: the deploying enterprise retains applicable deployer obligations and may assume provider obligations when an Article 25 trigger is met, including rebranding an existing high-risk system, substantially modifying an existing high-risk system so that it remains high-risk, or changing a non-high-risk system's intended purpose so that it becomes high-risk.</w:t>
            </w:r>
          </w:p>
        </w:tc>
      </w:tr>
      <w:tr>
        <w:tc>
          <w:tcPr>
            <w:tcW w:type="dxa" w:w="1020"/>
            <w:shd w:val="clear" w:color="auto" w:fill="D9E2F3"/>
          </w:tcPr>
          <w:p>
            <w:r/>
            <w:r>
              <w:rPr>
                <w:b/>
              </w:rPr>
              <w:t>来源</w:t>
            </w:r>
          </w:p>
        </w:tc>
        <w:tc>
          <w:tcPr>
            <w:tcW w:type="dxa" w:w="13380"/>
          </w:tcPr>
          <w:p>
            <w:r/>
            <w:r>
              <w:rPr>
                <w:b w:val="0"/>
              </w:rPr>
              <w:t>NIST AI RMF 1.0 GOVERN 6.1, GOVERN 6.2 &amp; MAP 4.1; NIST AI 600-1; EU AI Act Arts. 25 &amp; 26; COBIT 2019 BAI03 (verify against licensed text).</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22. fc-22 · Explainability &amp; Contestability (XAI)</w:t>
      </w:r>
    </w:p>
    <w:p>
      <w:pPr>
        <w:spacing w:after="60"/>
      </w:pPr>
      <w:r>
        <w:rPr>
          <w:b w:val="0"/>
          <w:color w:val="5A5A5A"/>
          <w:sz w:val="18"/>
        </w:rPr>
        <w:t>归类：D3 AI Enterprise Integration and Performance Monitoring　　状态：未复核</w:t>
      </w:r>
    </w:p>
    <w:p>
      <w:pPr>
        <w:spacing w:after="60"/>
      </w:pPr>
      <w:r>
        <w:rPr>
          <w:b w:val="0"/>
          <w:color w:val="BE2828"/>
          <w:sz w:val="18"/>
        </w:rPr>
        <w:t>机器检查：背面 801 字（超过 600）；无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Why do high-impact AI decisions require appropriate transparency and explanations (e.g., credit underwriting, hiring)?</w:t>
            </w:r>
          </w:p>
        </w:tc>
      </w:tr>
      <w:tr>
        <w:tc>
          <w:tcPr>
            <w:tcW w:type="dxa" w:w="1020"/>
            <w:shd w:val="clear" w:color="auto" w:fill="D9E2F3"/>
          </w:tcPr>
          <w:p>
            <w:r/>
            <w:r>
              <w:rPr>
                <w:b/>
              </w:rPr>
              <w:t>背面</w:t>
            </w:r>
          </w:p>
        </w:tc>
        <w:tc>
          <w:tcPr>
            <w:tcW w:type="dxa" w:w="13380"/>
          </w:tcPr>
          <w:p>
            <w:r/>
            <w:r>
              <w:rPr>
                <w:b w:val="0"/>
              </w:rPr>
              <w:t>Insufficient transparency can impede: 1. Contestability and Individual Explanation: Providing affected individuals with clear, meaningful explanations or appeal avenues where applicable law requires them (e.g., EU AI Act Article 86 for specified Annex III high-risk decisions producing legal or similarly significant adverse effects). 2. Risk Evaluation: Investigating proxy discrimination, bias, model limitations, and decision behavior (NIST AI RMF MEASURE 2.8/2.9). 3. Effective Human Oversight: Enabling deployers and reviewers to interpret outputs and intervene appropriately (EU AI Act Article 13 transparency to deployers). Complex models are not automatically prohibited; organizations must verify that explanations, documentation, and controls match the specific use case and statutory scope.</w:t>
            </w:r>
          </w:p>
        </w:tc>
      </w:tr>
      <w:tr>
        <w:tc>
          <w:tcPr>
            <w:tcW w:type="dxa" w:w="1020"/>
            <w:shd w:val="clear" w:color="auto" w:fill="D9E2F3"/>
          </w:tcPr>
          <w:p>
            <w:r/>
            <w:r>
              <w:rPr>
                <w:b/>
              </w:rPr>
              <w:t>要点</w:t>
            </w:r>
          </w:p>
        </w:tc>
        <w:tc>
          <w:tcPr>
            <w:tcW w:type="dxa" w:w="13380"/>
          </w:tcPr>
          <w:p>
            <w:r/>
            <w:r>
              <w:rPr>
                <w:b w:val="0"/>
              </w:rPr>
              <w:t>Distinguish deployer-facing system transparency (EU AI Act Art. 13) from qualified individual rights to explanation (Art. 86), aligning explainability and contestability controls with the specific use case and applicable legal requirements.</w:t>
            </w:r>
          </w:p>
        </w:tc>
      </w:tr>
      <w:tr>
        <w:tc>
          <w:tcPr>
            <w:tcW w:type="dxa" w:w="1020"/>
            <w:shd w:val="clear" w:color="auto" w:fill="D9E2F3"/>
          </w:tcPr>
          <w:p>
            <w:r/>
            <w:r>
              <w:rPr>
                <w:b/>
              </w:rPr>
              <w:t>来源</w:t>
            </w:r>
          </w:p>
        </w:tc>
        <w:tc>
          <w:tcPr>
            <w:tcW w:type="dxa" w:w="13380"/>
          </w:tcPr>
          <w:p>
            <w:r/>
            <w:r>
              <w:rPr>
                <w:b w:val="0"/>
              </w:rPr>
              <w:t>Regulation (EU) 2024/1689 (EU AI Act) Art. 13 &amp; Art. 86; NIST AI RMF 1.0 MEASURE 2.8 &amp; 2.9.</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23. fc-23 · Model Retraining &amp; Controlled Change Management</w:t>
      </w:r>
    </w:p>
    <w:p>
      <w:pPr>
        <w:spacing w:after="60"/>
      </w:pPr>
      <w:r>
        <w:rPr>
          <w:b w:val="0"/>
          <w:color w:val="5A5A5A"/>
          <w:sz w:val="18"/>
        </w:rPr>
        <w:t>归类：D3 AI Enterprise Integration and Performance Monitoring　　状态：未复核</w:t>
      </w:r>
    </w:p>
    <w:p>
      <w:pPr>
        <w:spacing w:after="60"/>
      </w:pPr>
      <w:r>
        <w:rPr>
          <w:b w:val="0"/>
          <w:color w:val="BE2828"/>
          <w:sz w:val="18"/>
        </w:rPr>
        <w:t>机器检查：背面 757 字（超过 600）；来源标注"verify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governance approvals and controls must precede deploying a retrained production model?</w:t>
            </w:r>
          </w:p>
        </w:tc>
      </w:tr>
      <w:tr>
        <w:tc>
          <w:tcPr>
            <w:tcW w:type="dxa" w:w="1020"/>
            <w:shd w:val="clear" w:color="auto" w:fill="D9E2F3"/>
          </w:tcPr>
          <w:p>
            <w:r/>
            <w:r>
              <w:rPr>
                <w:b/>
              </w:rPr>
              <w:t>背面</w:t>
            </w:r>
          </w:p>
        </w:tc>
        <w:tc>
          <w:tcPr>
            <w:tcW w:type="dxa" w:w="13380"/>
          </w:tcPr>
          <w:p>
            <w:r/>
            <w:r>
              <w:rPr>
                <w:b w:val="0"/>
              </w:rPr>
              <w:t>Deploying a retrained production model should follow risk-proportionate change management controls: 1. Impact and Trigger Analysis: Evaluating drift causes, data lineage, and whether the update falls within predetermined change parameters or constitutes a 'substantial modification' (e.g., under EU AI Act Article 43(4) requiring a new conformity assessment); 2. Pre-Deployment Validation: Regression testing across performance, robustness, security, and fairness baselines; 3. Tiered Governance Sign-Off: Documented approval by the model owner and—where risk tier or material change thresholds require—second-line risk/compliance oversight under delegated authority; 4. Deployment Safeguards: Canary/shadow release telemetry and tested rollback procedures.</w:t>
            </w:r>
          </w:p>
        </w:tc>
      </w:tr>
      <w:tr>
        <w:tc>
          <w:tcPr>
            <w:tcW w:type="dxa" w:w="1020"/>
            <w:shd w:val="clear" w:color="auto" w:fill="D9E2F3"/>
          </w:tcPr>
          <w:p>
            <w:r/>
            <w:r>
              <w:rPr>
                <w:b/>
              </w:rPr>
              <w:t>要点</w:t>
            </w:r>
          </w:p>
        </w:tc>
        <w:tc>
          <w:tcPr>
            <w:tcW w:type="dxa" w:w="13380"/>
          </w:tcPr>
          <w:p>
            <w:r/>
            <w:r>
              <w:rPr>
                <w:b w:val="0"/>
              </w:rPr>
              <w:t>Apply risk-tiered change control to model retraining—validating data quality, regression baselines, rollback readiness, and whether the update triggers escalated risk sign-off or a new statutory conformity assessment.</w:t>
            </w:r>
          </w:p>
        </w:tc>
      </w:tr>
      <w:tr>
        <w:tc>
          <w:tcPr>
            <w:tcW w:type="dxa" w:w="1020"/>
            <w:shd w:val="clear" w:color="auto" w:fill="D9E2F3"/>
          </w:tcPr>
          <w:p>
            <w:r/>
            <w:r>
              <w:rPr>
                <w:b/>
              </w:rPr>
              <w:t>来源</w:t>
            </w:r>
          </w:p>
        </w:tc>
        <w:tc>
          <w:tcPr>
            <w:tcW w:type="dxa" w:w="13380"/>
          </w:tcPr>
          <w:p>
            <w:r/>
            <w:r>
              <w:rPr>
                <w:b w:val="0"/>
              </w:rPr>
              <w:t>Regulation (EU) 2024/1689 (EU AI Act) Art. 43(4); ISO/IEC 42001:2023 &amp; COBIT BAI06 (verify exact standard clauses against licensed texts).</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24. fc-24 · Circuit Breakers &amp; AI Kill Switches</w:t>
      </w:r>
    </w:p>
    <w:p>
      <w:pPr>
        <w:spacing w:after="60"/>
      </w:pPr>
      <w:r>
        <w:rPr>
          <w:b w:val="0"/>
          <w:color w:val="5A5A5A"/>
          <w:sz w:val="18"/>
        </w:rPr>
        <w:t>归类：D3 AI Enterprise Integration and Performance Monitoring　　状态：未复核</w:t>
      </w:r>
    </w:p>
    <w:p>
      <w:pPr>
        <w:spacing w:after="60"/>
      </w:pPr>
      <w:r>
        <w:rPr>
          <w:b w:val="0"/>
          <w:color w:val="BE2828"/>
          <w:sz w:val="18"/>
        </w:rPr>
        <w:t>机器检查：正面一次问多件事；无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an AI "Circuit Breaker" or "Kill Switch", and who should hold the decision rights to trigger it?</w:t>
            </w:r>
          </w:p>
        </w:tc>
      </w:tr>
      <w:tr>
        <w:tc>
          <w:tcPr>
            <w:tcW w:type="dxa" w:w="1020"/>
            <w:shd w:val="clear" w:color="auto" w:fill="D9E2F3"/>
          </w:tcPr>
          <w:p>
            <w:r/>
            <w:r>
              <w:rPr>
                <w:b/>
              </w:rPr>
              <w:t>背面</w:t>
            </w:r>
          </w:p>
        </w:tc>
        <w:tc>
          <w:tcPr>
            <w:tcW w:type="dxa" w:w="13380"/>
          </w:tcPr>
          <w:p>
            <w:r/>
            <w:r>
              <w:rPr>
                <w:b w:val="0"/>
              </w:rPr>
              <w:t>An automated or manual containment control that halts or throttles model inference, rerouting transactions to deterministic fallback rules or human reviewers when anomalies or harm occur.</w:t>
              <w:br/>
              <w:t>Decision rights must be predefined in the AI Incident Playbook, granting explicit authority to designated AI Governance / Incident Commanders to disable production models immediately.</w:t>
            </w:r>
          </w:p>
        </w:tc>
      </w:tr>
      <w:tr>
        <w:tc>
          <w:tcPr>
            <w:tcW w:type="dxa" w:w="1020"/>
            <w:shd w:val="clear" w:color="auto" w:fill="D9E2F3"/>
          </w:tcPr>
          <w:p>
            <w:r/>
            <w:r>
              <w:rPr>
                <w:b/>
              </w:rPr>
              <w:t>要点</w:t>
            </w:r>
          </w:p>
        </w:tc>
        <w:tc>
          <w:tcPr>
            <w:tcW w:type="dxa" w:w="13380"/>
          </w:tcPr>
          <w:p>
            <w:r/>
            <w:r>
              <w:rPr>
                <w:b w:val="0"/>
              </w:rPr>
              <w:t>Containment authority cannot be ambiguous during active harm: Decision rights to pull the plug must be pre-authorized.</w:t>
            </w:r>
          </w:p>
        </w:tc>
      </w:tr>
      <w:tr>
        <w:tc>
          <w:tcPr>
            <w:tcW w:type="dxa" w:w="1020"/>
            <w:shd w:val="clear" w:color="auto" w:fill="D9E2F3"/>
          </w:tcPr>
          <w:p>
            <w:r/>
            <w:r>
              <w:rPr>
                <w:b/>
              </w:rPr>
              <w:t>来源</w:t>
            </w:r>
          </w:p>
        </w:tc>
        <w:tc>
          <w:tcPr>
            <w:tcW w:type="dxa" w:w="13380"/>
          </w:tcPr>
          <w:p>
            <w:r/>
            <w:r>
              <w:rPr>
                <w:b w:val="0"/>
              </w:rPr>
              <w:t>NIST AI RMF MANAGE 2.4</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25. fc-25 · Human-in-the-Loop (HITL) vs. Human-on-the-Loop (HOTL)</w:t>
      </w:r>
    </w:p>
    <w:p>
      <w:pPr>
        <w:spacing w:after="60"/>
      </w:pPr>
      <w:r>
        <w:rPr>
          <w:b w:val="0"/>
          <w:color w:val="5A5A5A"/>
          <w:sz w:val="18"/>
        </w:rPr>
        <w:t>归类：D3 AI Enterprise Integration and Performance Monitoring　　状态：未复核</w:t>
      </w:r>
    </w:p>
    <w:p>
      <w:pPr>
        <w:spacing w:after="60"/>
      </w:pPr>
      <w:r>
        <w:rPr>
          <w:b w:val="0"/>
          <w:color w:val="BE2828"/>
          <w:sz w:val="18"/>
        </w:rPr>
        <w:t>机器检查：背面 638 字（超过 600）；无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the operational and governance distinction between HITL, HOTL, and HIC (Human-in-Command)?</w:t>
            </w:r>
          </w:p>
        </w:tc>
      </w:tr>
      <w:tr>
        <w:tc>
          <w:tcPr>
            <w:tcW w:type="dxa" w:w="1020"/>
            <w:shd w:val="clear" w:color="auto" w:fill="D9E2F3"/>
          </w:tcPr>
          <w:p>
            <w:r/>
            <w:r>
              <w:rPr>
                <w:b/>
              </w:rPr>
              <w:t>背面</w:t>
            </w:r>
          </w:p>
        </w:tc>
        <w:tc>
          <w:tcPr>
            <w:tcW w:type="dxa" w:w="13380"/>
          </w:tcPr>
          <w:p>
            <w:r/>
            <w:r>
              <w:rPr>
                <w:b w:val="0"/>
              </w:rPr>
              <w:t>1. Human-in-the-Loop (HITL): A human participates in or approves decisions prior to execution; reviewing individual outputs adds latency, and effectiveness depends on reviewer competence, authority, and process design. 2. Human-on-the-Loop (HOTL): The system executes autonomously while humans monitor operation and can intervene, override, or abort when anomalies occur. 3. Human-in-Command (HIC): Humans govern overarching deployment boundaries, context, and lifecycle decisions, including whether and when the AI system is permitted to operate. (Note: HITL/HOTL/HIC are operational oversight patterns rather than statutory categories.)</w:t>
            </w:r>
          </w:p>
        </w:tc>
      </w:tr>
      <w:tr>
        <w:tc>
          <w:tcPr>
            <w:tcW w:type="dxa" w:w="1020"/>
            <w:shd w:val="clear" w:color="auto" w:fill="D9E2F3"/>
          </w:tcPr>
          <w:p>
            <w:r/>
            <w:r>
              <w:rPr>
                <w:b/>
              </w:rPr>
              <w:t>要点</w:t>
            </w:r>
          </w:p>
        </w:tc>
        <w:tc>
          <w:tcPr>
            <w:tcW w:type="dxa" w:w="13380"/>
          </w:tcPr>
          <w:p>
            <w:r/>
            <w:r>
              <w:rPr>
                <w:b w:val="0"/>
              </w:rPr>
              <w:t>Nominal oversight labels do not guarantee compliance: under EU AI Act Article 14, human oversight must be proportionate to system risk and context, equipping competent reviewers with the authority, tools, and anti-automation-bias safeguards to intervene effectively.</w:t>
            </w:r>
          </w:p>
        </w:tc>
      </w:tr>
      <w:tr>
        <w:tc>
          <w:tcPr>
            <w:tcW w:type="dxa" w:w="1020"/>
            <w:shd w:val="clear" w:color="auto" w:fill="D9E2F3"/>
          </w:tcPr>
          <w:p>
            <w:r/>
            <w:r>
              <w:rPr>
                <w:b/>
              </w:rPr>
              <w:t>来源</w:t>
            </w:r>
          </w:p>
        </w:tc>
        <w:tc>
          <w:tcPr>
            <w:tcW w:type="dxa" w:w="13380"/>
          </w:tcPr>
          <w:p>
            <w:r/>
            <w:r>
              <w:rPr>
                <w:b w:val="0"/>
              </w:rPr>
              <w:t>Regulation (EU) 2024/1689 (EU AI Act) Art. 14; NIST AI RMF 1.0 GOVERN 2.1.</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26. fc-26 · Automation Bias Mitigation</w:t>
      </w:r>
    </w:p>
    <w:p>
      <w:pPr>
        <w:spacing w:after="60"/>
      </w:pPr>
      <w:r>
        <w:rPr>
          <w:b w:val="0"/>
          <w:color w:val="5A5A5A"/>
          <w:sz w:val="18"/>
        </w:rPr>
        <w:t>归类：D3 AI Enterprise Integration and Performance Monitoring　　状态：未复核</w:t>
      </w:r>
    </w:p>
    <w:p>
      <w:pPr>
        <w:spacing w:after="60"/>
      </w:pPr>
      <w:r>
        <w:rPr>
          <w:b w:val="0"/>
          <w:color w:val="BE2828"/>
          <w:sz w:val="18"/>
        </w:rPr>
        <w:t>机器检查：背面 768 字（超过 600）；正面一次问多件事；无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Automation Bias, and how must governance frameworks mitigate it in human reviewers?</w:t>
            </w:r>
          </w:p>
        </w:tc>
      </w:tr>
      <w:tr>
        <w:tc>
          <w:tcPr>
            <w:tcW w:type="dxa" w:w="1020"/>
            <w:shd w:val="clear" w:color="auto" w:fill="D9E2F3"/>
          </w:tcPr>
          <w:p>
            <w:r/>
            <w:r>
              <w:rPr>
                <w:b/>
              </w:rPr>
              <w:t>背面</w:t>
            </w:r>
          </w:p>
        </w:tc>
        <w:tc>
          <w:tcPr>
            <w:tcW w:type="dxa" w:w="13380"/>
          </w:tcPr>
          <w:p>
            <w:r/>
            <w:r>
              <w:rPr>
                <w:b w:val="0"/>
              </w:rPr>
              <w:t>Automation bias is the human tendency to over-rely on or uncritically accept automated AI outputs. For high-risk AI systems, EU AI Act Article 14 requires risk-proportionate oversight measures that enable human reviewers to understand system capabilities and limitations, remain aware of automation bias (Art. 14(4)(b)), interpret outputs accurately, override or disregard outputs, and intervene or halt system operation. Under Article 26(2), deployers must assign oversight to natural persons with appropriate competence, training, authority, and support. Governance controls such as reasoned-review interfaces, training on failure modes, and controlled quality testing are practical context-specific mitigations rather than universally mandated statutory mechanisms.</w:t>
            </w:r>
          </w:p>
        </w:tc>
      </w:tr>
      <w:tr>
        <w:tc>
          <w:tcPr>
            <w:tcW w:type="dxa" w:w="1020"/>
            <w:shd w:val="clear" w:color="auto" w:fill="D9E2F3"/>
          </w:tcPr>
          <w:p>
            <w:r/>
            <w:r>
              <w:rPr>
                <w:b/>
              </w:rPr>
              <w:t>要点</w:t>
            </w:r>
          </w:p>
        </w:tc>
        <w:tc>
          <w:tcPr>
            <w:tcW w:type="dxa" w:w="13380"/>
          </w:tcPr>
          <w:p>
            <w:r/>
            <w:r>
              <w:rPr>
                <w:b w:val="0"/>
              </w:rPr>
              <w:t>Under EU AI Act Articles 14 and 26, effective human oversight of high-risk AI requires proportionate measures addressing automation bias and ensuring reviewer competence, authority, and intervention capability.</w:t>
            </w:r>
          </w:p>
        </w:tc>
      </w:tr>
      <w:tr>
        <w:tc>
          <w:tcPr>
            <w:tcW w:type="dxa" w:w="1020"/>
            <w:shd w:val="clear" w:color="auto" w:fill="D9E2F3"/>
          </w:tcPr>
          <w:p>
            <w:r/>
            <w:r>
              <w:rPr>
                <w:b/>
              </w:rPr>
              <w:t>来源</w:t>
            </w:r>
          </w:p>
        </w:tc>
        <w:tc>
          <w:tcPr>
            <w:tcW w:type="dxa" w:w="13380"/>
          </w:tcPr>
          <w:p>
            <w:r/>
            <w:r>
              <w:rPr>
                <w:b w:val="0"/>
              </w:rPr>
              <w:t>Regulation (EU) 2024/1689 (EU AI Act) Art. 14 &amp; Art. 26(2).</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27. fc-27 · AI Total Cost of Ownership (TCO)</w:t>
      </w:r>
    </w:p>
    <w:p>
      <w:pPr>
        <w:spacing w:after="60"/>
      </w:pPr>
      <w:r>
        <w:rPr>
          <w:b w:val="0"/>
          <w:color w:val="5A5A5A"/>
          <w:sz w:val="18"/>
        </w:rPr>
        <w:t>归类：D3 AI Enterprise Integration and Performance Monitoring　　状态：未复核</w:t>
      </w:r>
    </w:p>
    <w:p>
      <w:pPr>
        <w:spacing w:after="60"/>
      </w:pPr>
      <w:r>
        <w:rPr>
          <w:b w:val="0"/>
          <w:color w:val="BE2828"/>
          <w:sz w:val="18"/>
        </w:rPr>
        <w:t>机器检查：来源标注"verify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often-overlooked lifecycle cost components must be included in enterprise AI TCO calculations?</w:t>
            </w:r>
          </w:p>
        </w:tc>
      </w:tr>
      <w:tr>
        <w:tc>
          <w:tcPr>
            <w:tcW w:type="dxa" w:w="1020"/>
            <w:shd w:val="clear" w:color="auto" w:fill="D9E2F3"/>
          </w:tcPr>
          <w:p>
            <w:r/>
            <w:r>
              <w:rPr>
                <w:b/>
              </w:rPr>
              <w:t>背面</w:t>
            </w:r>
          </w:p>
        </w:tc>
        <w:tc>
          <w:tcPr>
            <w:tcW w:type="dxa" w:w="13380"/>
          </w:tcPr>
          <w:p>
            <w:r/>
            <w:r>
              <w:rPr>
                <w:b w:val="0"/>
              </w:rPr>
              <w:t>Beyond initial model licensing, development, and inference compute, comprehensive enterprise AI TCO estimates should include: 1) Continuous production monitoring, telemetry, and drift-detection infrastructure; 2) Periodic data curation, fine-tuning, and retraining labor; 3) Security hardening, guardrail maintenance, and adversarial red-teaming; 4) Governance, legal review, conformity assessments, impact assessments, and assurance audits; and 5) Vendor switching, decommissioning, and data/model migration costs.</w:t>
            </w:r>
          </w:p>
        </w:tc>
      </w:tr>
      <w:tr>
        <w:tc>
          <w:tcPr>
            <w:tcW w:type="dxa" w:w="1020"/>
            <w:shd w:val="clear" w:color="auto" w:fill="D9E2F3"/>
          </w:tcPr>
          <w:p>
            <w:r/>
            <w:r>
              <w:rPr>
                <w:b/>
              </w:rPr>
              <w:t>要点</w:t>
            </w:r>
          </w:p>
        </w:tc>
        <w:tc>
          <w:tcPr>
            <w:tcW w:type="dxa" w:w="13380"/>
          </w:tcPr>
          <w:p>
            <w:r/>
            <w:r>
              <w:rPr>
                <w:b w:val="0"/>
              </w:rPr>
              <w:t>Complete AI business cases must account for full-lifecycle monitoring, retraining, security, compliance, and exit expenses alongside compute and licensing costs, estimating their relative weight for each specific deployment model.</w:t>
            </w:r>
          </w:p>
        </w:tc>
      </w:tr>
      <w:tr>
        <w:tc>
          <w:tcPr>
            <w:tcW w:type="dxa" w:w="1020"/>
            <w:shd w:val="clear" w:color="auto" w:fill="D9E2F3"/>
          </w:tcPr>
          <w:p>
            <w:r/>
            <w:r>
              <w:rPr>
                <w:b/>
              </w:rPr>
              <w:t>来源</w:t>
            </w:r>
          </w:p>
        </w:tc>
        <w:tc>
          <w:tcPr>
            <w:tcW w:type="dxa" w:w="13380"/>
          </w:tcPr>
          <w:p>
            <w:r/>
            <w:r>
              <w:rPr>
                <w:b w:val="0"/>
              </w:rPr>
              <w:t>NIST AI RMF 1.0 MAP 1.3; COBIT 2019 BAI03 / ISO/IEC 42001:2023 (verify standard references against licensed texts).</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28. fc-28 · Key Performance Indicators (KPIs) vs. Key Risk Indicators (KRIs)</w:t>
      </w:r>
    </w:p>
    <w:p>
      <w:pPr>
        <w:spacing w:after="60"/>
      </w:pPr>
      <w:r>
        <w:rPr>
          <w:b w:val="0"/>
          <w:color w:val="5A5A5A"/>
          <w:sz w:val="18"/>
        </w:rPr>
        <w:t>归类：D3 AI Enterprise Integration and Performance Monitoring　　状态：未复核</w:t>
      </w:r>
    </w:p>
    <w:p>
      <w:pPr>
        <w:spacing w:after="60"/>
      </w:pPr>
      <w:r>
        <w:rPr>
          <w:b w:val="0"/>
          <w:color w:val="5A5A5A"/>
          <w:sz w:val="18"/>
        </w:rPr>
        <w:t>机器检查：无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How do AI KPIs and KRIs differ in governance performance reporting?</w:t>
            </w:r>
          </w:p>
        </w:tc>
      </w:tr>
      <w:tr>
        <w:tc>
          <w:tcPr>
            <w:tcW w:type="dxa" w:w="1020"/>
            <w:shd w:val="clear" w:color="auto" w:fill="D9E2F3"/>
          </w:tcPr>
          <w:p>
            <w:r/>
            <w:r>
              <w:rPr>
                <w:b/>
              </w:rPr>
              <w:t>背面</w:t>
            </w:r>
          </w:p>
        </w:tc>
        <w:tc>
          <w:tcPr>
            <w:tcW w:type="dxa" w:w="13380"/>
          </w:tcPr>
          <w:p>
            <w:r/>
            <w:r>
              <w:rPr>
                <w:b w:val="0"/>
              </w:rPr>
              <w:t>1. KPIs (Value &amp; Efficiency): Measure business outcomes (e.g., customer resolution time saved, query latency, user adoption rate, cost per transaction).</w:t>
              <w:br/>
              <w:t>2. KRIs (Risk Signaling): Forward-looking metrics signaling increasing risk exposure before harm occurs (e.g., rate of drift deviation, number of guardrail blocks, fairness disparity index, percentage of unclassified prompts).</w:t>
            </w:r>
          </w:p>
        </w:tc>
      </w:tr>
      <w:tr>
        <w:tc>
          <w:tcPr>
            <w:tcW w:type="dxa" w:w="1020"/>
            <w:shd w:val="clear" w:color="auto" w:fill="D9E2F3"/>
          </w:tcPr>
          <w:p>
            <w:r/>
            <w:r>
              <w:rPr>
                <w:b/>
              </w:rPr>
              <w:t>要点</w:t>
            </w:r>
          </w:p>
        </w:tc>
        <w:tc>
          <w:tcPr>
            <w:tcW w:type="dxa" w:w="13380"/>
          </w:tcPr>
          <w:p>
            <w:r/>
            <w:r>
              <w:rPr>
                <w:b w:val="0"/>
              </w:rPr>
              <w:t>KPIs track value creation; KRIs serve as early-warning tripwires for governance intervention.</w:t>
            </w:r>
          </w:p>
        </w:tc>
      </w:tr>
      <w:tr>
        <w:tc>
          <w:tcPr>
            <w:tcW w:type="dxa" w:w="1020"/>
            <w:shd w:val="clear" w:color="auto" w:fill="D9E2F3"/>
          </w:tcPr>
          <w:p>
            <w:r/>
            <w:r>
              <w:rPr>
                <w:b/>
              </w:rPr>
              <w:t>来源</w:t>
            </w:r>
          </w:p>
        </w:tc>
        <w:tc>
          <w:tcPr>
            <w:tcW w:type="dxa" w:w="13380"/>
          </w:tcPr>
          <w:p>
            <w:r/>
            <w:r>
              <w:rPr>
                <w:b w:val="0"/>
              </w:rPr>
              <w:t>COBIT 2019 MEA01</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29. fc-29 · Hallucination Mitigation &amp; Output Grounding</w:t>
      </w:r>
    </w:p>
    <w:p>
      <w:pPr>
        <w:spacing w:after="60"/>
      </w:pPr>
      <w:r>
        <w:rPr>
          <w:b w:val="0"/>
          <w:color w:val="5A5A5A"/>
          <w:sz w:val="18"/>
        </w:rPr>
        <w:t>归类：D3 AI Enterprise Integration and Performance Monitoring　　状态：未复核</w:t>
      </w:r>
    </w:p>
    <w:p>
      <w:pPr>
        <w:spacing w:after="60"/>
      </w:pPr>
      <w:r>
        <w:rPr>
          <w:b w:val="0"/>
          <w:color w:val="BE2828"/>
          <w:sz w:val="18"/>
        </w:rPr>
        <w:t>机器检查：背面 622 字（超过 600）；无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architectural and governance mechanisms best mitigate generative AI hallucination risk?</w:t>
            </w:r>
          </w:p>
        </w:tc>
      </w:tr>
      <w:tr>
        <w:tc>
          <w:tcPr>
            <w:tcW w:type="dxa" w:w="1020"/>
            <w:shd w:val="clear" w:color="auto" w:fill="D9E2F3"/>
          </w:tcPr>
          <w:p>
            <w:r/>
            <w:r>
              <w:rPr>
                <w:b/>
              </w:rPr>
              <w:t>背面</w:t>
            </w:r>
          </w:p>
        </w:tc>
        <w:tc>
          <w:tcPr>
            <w:tcW w:type="dxa" w:w="13380"/>
          </w:tcPr>
          <w:p>
            <w:r/>
            <w:r>
              <w:rPr>
                <w:b w:val="0"/>
              </w:rPr>
              <w:t>Layered technical and governance controls to reduce generative AI confabulation (hallucination) risk include: 1. Retrieval-Augmented Generation (RAG) grounding responses in authoritative, curated knowledge repositories; 2. Prompt and decoding constraints (such as requiring verifiable inline citations, permitting abstention when evidence is missing, and using lower sampling temperatures for factual tasks); 3. Automated input/output guardrails and factual-consistency evaluators; and 4. Task-specific benchmark evaluation, user-facing uncertainty disclosures, and risk-proportionate human review for high-impact outputs.</w:t>
            </w:r>
          </w:p>
        </w:tc>
      </w:tr>
      <w:tr>
        <w:tc>
          <w:tcPr>
            <w:tcW w:type="dxa" w:w="1020"/>
            <w:shd w:val="clear" w:color="auto" w:fill="D9E2F3"/>
          </w:tcPr>
          <w:p>
            <w:r/>
            <w:r>
              <w:rPr>
                <w:b/>
              </w:rPr>
              <w:t>要点</w:t>
            </w:r>
          </w:p>
        </w:tc>
        <w:tc>
          <w:tcPr>
            <w:tcW w:type="dxa" w:w="13380"/>
          </w:tcPr>
          <w:p>
            <w:r/>
            <w:r>
              <w:rPr>
                <w:b w:val="0"/>
              </w:rPr>
              <w:t>Grounding, decoding constraints, and automated guardrails reduce—but never completely eliminate—confabulation risk; high-impact use cases require layered technical checks paired with human verification.</w:t>
            </w:r>
          </w:p>
        </w:tc>
      </w:tr>
      <w:tr>
        <w:tc>
          <w:tcPr>
            <w:tcW w:type="dxa" w:w="1020"/>
            <w:shd w:val="clear" w:color="auto" w:fill="D9E2F3"/>
          </w:tcPr>
          <w:p>
            <w:r/>
            <w:r>
              <w:rPr>
                <w:b/>
              </w:rPr>
              <w:t>来源</w:t>
            </w:r>
          </w:p>
        </w:tc>
        <w:tc>
          <w:tcPr>
            <w:tcW w:type="dxa" w:w="13380"/>
          </w:tcPr>
          <w:p>
            <w:r/>
            <w:r>
              <w:rPr>
                <w:b w:val="0"/>
              </w:rPr>
              <w:t>NIST AI 600-1 (Generative AI Profile, Confabulation); NIST AI RMF 1.0 MEASURE 2.5 &amp; 2.6.</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30. fc-30 · Post-Market Monitoring Obligations</w:t>
      </w:r>
    </w:p>
    <w:p>
      <w:pPr>
        <w:spacing w:after="60"/>
      </w:pPr>
      <w:r>
        <w:rPr>
          <w:b w:val="0"/>
          <w:color w:val="5A5A5A"/>
          <w:sz w:val="18"/>
        </w:rPr>
        <w:t>归类：D3 AI Enterprise Integration and Performance Monitoring　　状态：未复核</w:t>
      </w:r>
    </w:p>
    <w:p>
      <w:pPr>
        <w:spacing w:after="60"/>
      </w:pPr>
      <w:r>
        <w:rPr>
          <w:b w:val="0"/>
          <w:color w:val="BE2828"/>
          <w:sz w:val="18"/>
        </w:rPr>
        <w:t>机器检查：背面 784 字（超过 600）；来源标注"verify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How do the EU AI Act and ISO/IEC 42001 address ongoing operational and post-market monitoring of AI systems?</w:t>
            </w:r>
          </w:p>
        </w:tc>
      </w:tr>
      <w:tr>
        <w:tc>
          <w:tcPr>
            <w:tcW w:type="dxa" w:w="1020"/>
            <w:shd w:val="clear" w:color="auto" w:fill="D9E2F3"/>
          </w:tcPr>
          <w:p>
            <w:r/>
            <w:r>
              <w:rPr>
                <w:b/>
              </w:rPr>
              <w:t>背面</w:t>
            </w:r>
          </w:p>
        </w:tc>
        <w:tc>
          <w:tcPr>
            <w:tcW w:type="dxa" w:w="13380"/>
          </w:tcPr>
          <w:p>
            <w:r/>
            <w:r>
              <w:rPr>
                <w:b w:val="0"/>
              </w:rPr>
              <w:t>Under EU AI Act Article 72, providers of high-risk AI systems must establish and document a proportionate post-market monitoring system—based on a post-market monitoring plan included in Annex IV technical documentation—to actively and systematically collect, document, and analyze relevant data (including deployer-supplied data) on lifetime system performance and continuing compliance. Separately, under Article 26(5), deployers of high-risk AI systems must monitor operation according to instructions for use and inform providers and authorities of serious incidents or risks. ISO/IEC 42001 establishes internal AI management system (AIMS) performance evaluation and monitoring processes, which complement—but are legally distinct from—EU statutory post-market surveillance rules.</w:t>
            </w:r>
          </w:p>
        </w:tc>
      </w:tr>
      <w:tr>
        <w:tc>
          <w:tcPr>
            <w:tcW w:type="dxa" w:w="1020"/>
            <w:shd w:val="clear" w:color="auto" w:fill="D9E2F3"/>
          </w:tcPr>
          <w:p>
            <w:r/>
            <w:r>
              <w:rPr>
                <w:b/>
              </w:rPr>
              <w:t>要点</w:t>
            </w:r>
          </w:p>
        </w:tc>
        <w:tc>
          <w:tcPr>
            <w:tcW w:type="dxa" w:w="13380"/>
          </w:tcPr>
          <w:p>
            <w:r/>
            <w:r>
              <w:rPr>
                <w:b w:val="0"/>
              </w:rPr>
              <w:t>EU AI Act Article 72 mandates documented post-market monitoring plans and systems for providers of high-risk AI systems (complemented by deployer monitoring duties under Art. 26(5)), while ISO/IEC 42001 governs internal AIMS performance evaluation.</w:t>
            </w:r>
          </w:p>
        </w:tc>
      </w:tr>
      <w:tr>
        <w:tc>
          <w:tcPr>
            <w:tcW w:type="dxa" w:w="1020"/>
            <w:shd w:val="clear" w:color="auto" w:fill="D9E2F3"/>
          </w:tcPr>
          <w:p>
            <w:r/>
            <w:r>
              <w:rPr>
                <w:b/>
              </w:rPr>
              <w:t>来源</w:t>
            </w:r>
          </w:p>
        </w:tc>
        <w:tc>
          <w:tcPr>
            <w:tcW w:type="dxa" w:w="13380"/>
          </w:tcPr>
          <w:p>
            <w:r/>
            <w:r>
              <w:rPr>
                <w:b w:val="0"/>
              </w:rPr>
              <w:t>Regulation (EU) 2024/1689 (EU AI Act) Art. 72 &amp; Art. 26(5); ISO/IEC 42001:2023 (verify Cl. 9.1 wording against licensed standard).</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31. fc-31 · EU AI Act Risk Classification Pyramid</w:t>
      </w:r>
    </w:p>
    <w:p>
      <w:pPr>
        <w:spacing w:after="60"/>
      </w:pPr>
      <w:r>
        <w:rPr>
          <w:b w:val="0"/>
          <w:color w:val="5A5A5A"/>
          <w:sz w:val="18"/>
        </w:rPr>
        <w:t>归类：D1 AI Enterprise Governance（原 D4，已归入现 domain）　　状态：未复核</w:t>
      </w:r>
    </w:p>
    <w:p>
      <w:pPr>
        <w:spacing w:after="60"/>
      </w:pPr>
      <w:r>
        <w:rPr>
          <w:b w:val="0"/>
          <w:color w:val="BE2828"/>
          <w:sz w:val="18"/>
        </w:rPr>
        <w:t>机器检查：背面 1321 字（超过 600）；无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How does the EU AI Act categorize artificial intelligence systems under its risk-based framework?</w:t>
            </w:r>
          </w:p>
        </w:tc>
      </w:tr>
      <w:tr>
        <w:tc>
          <w:tcPr>
            <w:tcW w:type="dxa" w:w="1020"/>
            <w:shd w:val="clear" w:color="auto" w:fill="D9E2F3"/>
          </w:tcPr>
          <w:p>
            <w:r/>
            <w:r>
              <w:rPr>
                <w:b/>
              </w:rPr>
              <w:t>背面</w:t>
            </w:r>
          </w:p>
        </w:tc>
        <w:tc>
          <w:tcPr>
            <w:tcW w:type="dxa" w:w="13380"/>
          </w:tcPr>
          <w:p>
            <w:r/>
            <w:r>
              <w:rPr>
                <w:b w:val="0"/>
              </w:rPr>
              <w:t>The EU AI Act uses a risk-proportionate framework (alongside General-Purpose AI rules in Chapter V): 1. Prohibited Practices (Art. 5): Bans unacceptable uses such as social scoring and manipulative/exploitative AI, and prohibits law-enforcement real-time remote biometric identification in publicly accessible spaces subject to narrow statutory exceptions (Art. 5(1)(h)). 2. High-Risk AI Systems (Art. 6, Annexes I &amp; III): Subject to role-specific requirements including risk management, conformity assessment, and CE marking for providers; pre-use Fundamental Rights Impact Assessments (FRIA, Art. 27) apply only to public-law bodies, private entities providing public services, and deployers of Annex III 5(b)/(c) credit/insurance systems. 3. Specific Transparency Risk (Art. 50): Providers must ensure synthetic audio, image, video, or text content is marked in a machine-readable format and detectable, providers must inform people of direct AI interactions unless an exception applies; deployers have specified disclosure duties for emotion recognition/biometric categorization and deepfakes (subject to statutory exceptions). 4. Other (Minimal-Risk) AI Systems: Free from high-risk or Art. 50 product requirements, though organizations still face Article 4 AI literacy duties and other applicable laws (e.g., GDPR).</w:t>
            </w:r>
          </w:p>
        </w:tc>
      </w:tr>
      <w:tr>
        <w:tc>
          <w:tcPr>
            <w:tcW w:type="dxa" w:w="1020"/>
            <w:shd w:val="clear" w:color="auto" w:fill="D9E2F3"/>
          </w:tcPr>
          <w:p>
            <w:r/>
            <w:r>
              <w:rPr>
                <w:b/>
              </w:rPr>
              <w:t>要点</w:t>
            </w:r>
          </w:p>
        </w:tc>
        <w:tc>
          <w:tcPr>
            <w:tcW w:type="dxa" w:w="13380"/>
          </w:tcPr>
          <w:p>
            <w:r/>
            <w:r>
              <w:rPr>
                <w:b w:val="0"/>
              </w:rPr>
              <w:t>The EU AI Act imposes tiered, role-specific obligations across prohibited practices, high-risk systems, Article 50 transparency duties, and baseline Article 4 AI literacy requirements, subject to phased application dates under Article 113.</w:t>
            </w:r>
          </w:p>
        </w:tc>
      </w:tr>
      <w:tr>
        <w:tc>
          <w:tcPr>
            <w:tcW w:type="dxa" w:w="1020"/>
            <w:shd w:val="clear" w:color="auto" w:fill="D9E2F3"/>
          </w:tcPr>
          <w:p>
            <w:r/>
            <w:r>
              <w:rPr>
                <w:b/>
              </w:rPr>
              <w:t>来源</w:t>
            </w:r>
          </w:p>
        </w:tc>
        <w:tc>
          <w:tcPr>
            <w:tcW w:type="dxa" w:w="13380"/>
          </w:tcPr>
          <w:p>
            <w:r/>
            <w:r>
              <w:rPr>
                <w:b w:val="0"/>
              </w:rPr>
              <w:t>Regulation (EU) 2024/1689 (EU AI Act) Arts. 4, 5, 6, 27, 50 &amp; 113.</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32. fc-32 · ISO/IEC 42001:2023 (AIMS) &amp; Statement of Applicability</w:t>
      </w:r>
    </w:p>
    <w:p>
      <w:pPr>
        <w:spacing w:after="60"/>
      </w:pPr>
      <w:r>
        <w:rPr>
          <w:b w:val="0"/>
          <w:color w:val="5A5A5A"/>
          <w:sz w:val="18"/>
        </w:rPr>
        <w:t>归类：D1 AI Enterprise Governance（原 D4，已归入现 domain）　　状态：未复核</w:t>
      </w:r>
    </w:p>
    <w:p>
      <w:pPr>
        <w:spacing w:after="60"/>
      </w:pPr>
      <w:r>
        <w:rPr>
          <w:b w:val="0"/>
          <w:color w:val="BE2828"/>
          <w:sz w:val="18"/>
        </w:rPr>
        <w:t>机器检查：2026-10-14 复核列为"待补证"；正面一次问多件事；无 sourceUrl</w:t>
      </w:r>
    </w:p>
    <w:p>
      <w:pPr>
        <w:spacing w:after="60"/>
      </w:pPr>
      <w:r>
        <w:rPr>
          <w:b/>
          <w:color w:val="BE2828"/>
          <w:sz w:val="20"/>
        </w:rPr>
        <w:t>⚑ 本卡有需要你专门拍板的事项：见第三部分 J9</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ISO/IEC 42001, and what is the function of the Statement of Applicability (SoA)?</w:t>
            </w:r>
          </w:p>
        </w:tc>
      </w:tr>
      <w:tr>
        <w:tc>
          <w:tcPr>
            <w:tcW w:type="dxa" w:w="1020"/>
            <w:shd w:val="clear" w:color="auto" w:fill="D9E2F3"/>
          </w:tcPr>
          <w:p>
            <w:r/>
            <w:r>
              <w:rPr>
                <w:b/>
              </w:rPr>
              <w:t>背面</w:t>
            </w:r>
          </w:p>
        </w:tc>
        <w:tc>
          <w:tcPr>
            <w:tcW w:type="dxa" w:w="13380"/>
          </w:tcPr>
          <w:p>
            <w:r/>
            <w:r>
              <w:rPr>
                <w:b w:val="0"/>
              </w:rPr>
              <w:t>ISO/IEC 42001 is the international certifiable standard for an Artificial Intelligence Management System (AIMS) based on the Plan-Do-Check-Act (PDCA) lifecycle.</w:t>
              <w:br/>
              <w:t>The Statement of Applicability (SoA) formally documents which Annex A controls the organization has selected or excluded, supported by risk assessment justifications and legal compliance obligations.</w:t>
            </w:r>
          </w:p>
        </w:tc>
      </w:tr>
      <w:tr>
        <w:tc>
          <w:tcPr>
            <w:tcW w:type="dxa" w:w="1020"/>
            <w:shd w:val="clear" w:color="auto" w:fill="D9E2F3"/>
          </w:tcPr>
          <w:p>
            <w:r/>
            <w:r>
              <w:rPr>
                <w:b/>
              </w:rPr>
              <w:t>要点</w:t>
            </w:r>
          </w:p>
        </w:tc>
        <w:tc>
          <w:tcPr>
            <w:tcW w:type="dxa" w:w="13380"/>
          </w:tcPr>
          <w:p>
            <w:r/>
            <w:r>
              <w:rPr>
                <w:b w:val="0"/>
              </w:rPr>
              <w:t>The SoA bridges enterprise risk assessment with standardized Annex A control selection.</w:t>
            </w:r>
          </w:p>
        </w:tc>
      </w:tr>
      <w:tr>
        <w:tc>
          <w:tcPr>
            <w:tcW w:type="dxa" w:w="1020"/>
            <w:shd w:val="clear" w:color="auto" w:fill="D9E2F3"/>
          </w:tcPr>
          <w:p>
            <w:r/>
            <w:r>
              <w:rPr>
                <w:b/>
              </w:rPr>
              <w:t>来源</w:t>
            </w:r>
          </w:p>
        </w:tc>
        <w:tc>
          <w:tcPr>
            <w:tcW w:type="dxa" w:w="13380"/>
          </w:tcPr>
          <w:p>
            <w:r/>
            <w:r>
              <w:rPr>
                <w:b w:val="0"/>
              </w:rPr>
              <w:t>ISO/IEC 42001:2023 Cl. 6.1.3</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33. fc-33 · NIST AI RMF 1.0 Core Functions</w:t>
      </w:r>
    </w:p>
    <w:p>
      <w:pPr>
        <w:spacing w:after="60"/>
      </w:pPr>
      <w:r>
        <w:rPr>
          <w:b w:val="0"/>
          <w:color w:val="5A5A5A"/>
          <w:sz w:val="18"/>
        </w:rPr>
        <w:t>归类：D1 AI Enterprise Governance（原 D4，已归入现 domain）　　状态：未复核</w:t>
      </w:r>
    </w:p>
    <w:p>
      <w:pPr>
        <w:spacing w:after="60"/>
      </w:pPr>
      <w:r>
        <w:rPr>
          <w:b w:val="0"/>
          <w:color w:val="BE2828"/>
          <w:sz w:val="18"/>
        </w:rPr>
        <w:t>机器检查：背面 702 字（超过 600）；正面一次问多件事；无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are the four core functions of NIST AI RMF 1.0, and how do they interact?</w:t>
            </w:r>
          </w:p>
        </w:tc>
      </w:tr>
      <w:tr>
        <w:tc>
          <w:tcPr>
            <w:tcW w:type="dxa" w:w="1020"/>
            <w:shd w:val="clear" w:color="auto" w:fill="D9E2F3"/>
          </w:tcPr>
          <w:p>
            <w:r/>
            <w:r>
              <w:rPr>
                <w:b/>
              </w:rPr>
              <w:t>背面</w:t>
            </w:r>
          </w:p>
        </w:tc>
        <w:tc>
          <w:tcPr>
            <w:tcW w:type="dxa" w:w="13380"/>
          </w:tcPr>
          <w:p>
            <w:r/>
            <w:r>
              <w:rPr>
                <w:b w:val="0"/>
              </w:rPr>
              <w:t>NIST AI RMF 1.0 organizes AI risk management into four iterative Core functions: 1. GOVERN: A cross-cutting function infused throughout the lifecycle that establishes organizational risk culture, accountability structures, policies, and workforce competence; 2. MAP: Establishes context to frame risks related to an AI system, its intended purpose, stakeholders, and potential impacts; 3. MEASURE: Employs quantitative, qualitative, or mixed-method tools, techniques, and metrics to analyze, assess, benchmark, and monitor AI risk and trustworthiness characteristics; 4. MANAGE: Allocates resources and implements plans to prioritize, respond to, recover from, and monitor mapped and measured AI risks.</w:t>
            </w:r>
          </w:p>
        </w:tc>
      </w:tr>
      <w:tr>
        <w:tc>
          <w:tcPr>
            <w:tcW w:type="dxa" w:w="1020"/>
            <w:shd w:val="clear" w:color="auto" w:fill="D9E2F3"/>
          </w:tcPr>
          <w:p>
            <w:r/>
            <w:r>
              <w:rPr>
                <w:b/>
              </w:rPr>
              <w:t>要点</w:t>
            </w:r>
          </w:p>
        </w:tc>
        <w:tc>
          <w:tcPr>
            <w:tcW w:type="dxa" w:w="13380"/>
          </w:tcPr>
          <w:p>
            <w:r/>
            <w:r>
              <w:rPr>
                <w:b w:val="0"/>
              </w:rPr>
              <w:t>In NIST AI RMF 1.0, GOVERN is a cross-cutting function while MAP, MEASURE (using qualitative and quantitative methods), and MANAGE are applied iteratively and continuously across the AI lifecycle.</w:t>
            </w:r>
          </w:p>
        </w:tc>
      </w:tr>
      <w:tr>
        <w:tc>
          <w:tcPr>
            <w:tcW w:type="dxa" w:w="1020"/>
            <w:shd w:val="clear" w:color="auto" w:fill="D9E2F3"/>
          </w:tcPr>
          <w:p>
            <w:r/>
            <w:r>
              <w:rPr>
                <w:b/>
              </w:rPr>
              <w:t>来源</w:t>
            </w:r>
          </w:p>
        </w:tc>
        <w:tc>
          <w:tcPr>
            <w:tcW w:type="dxa" w:w="13380"/>
          </w:tcPr>
          <w:p>
            <w:r/>
            <w:r>
              <w:rPr>
                <w:b w:val="0"/>
              </w:rPr>
              <w:t>NIST AI 100-1 (AI RMF 1.0), Section 5.</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34. fc-34 · General Purpose AI (GPAI) Obligations</w:t>
      </w:r>
    </w:p>
    <w:p>
      <w:pPr>
        <w:spacing w:after="60"/>
      </w:pPr>
      <w:r>
        <w:rPr>
          <w:b w:val="0"/>
          <w:color w:val="5A5A5A"/>
          <w:sz w:val="18"/>
        </w:rPr>
        <w:t>归类：D1 AI Enterprise Governance（原 D4，已归入现 domain）　　状态：未复核</w:t>
      </w:r>
    </w:p>
    <w:p>
      <w:pPr>
        <w:spacing w:after="60"/>
      </w:pPr>
      <w:r>
        <w:rPr>
          <w:b w:val="0"/>
          <w:color w:val="BE2828"/>
          <w:sz w:val="18"/>
        </w:rPr>
        <w:t>机器检查：背面 1142 字（超过 600）；无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obligations does the EU AI Act impose on providers of General Purpose AI (GPAI) models?</w:t>
            </w:r>
          </w:p>
        </w:tc>
      </w:tr>
      <w:tr>
        <w:tc>
          <w:tcPr>
            <w:tcW w:type="dxa" w:w="1020"/>
            <w:shd w:val="clear" w:color="auto" w:fill="D9E2F3"/>
          </w:tcPr>
          <w:p>
            <w:r/>
            <w:r>
              <w:rPr>
                <w:b/>
              </w:rPr>
              <w:t>背面</w:t>
            </w:r>
          </w:p>
        </w:tc>
        <w:tc>
          <w:tcPr>
            <w:tcW w:type="dxa" w:w="13380"/>
          </w:tcPr>
          <w:p>
            <w:r/>
            <w:r>
              <w:rPr>
                <w:b w:val="0"/>
              </w:rPr>
              <w:t>1. Baseline GPAI Models (Art. 53): Providers must draw up and keep technical documentation (Annex XI, including known or estimated energy consumption) for the AI Office and national authorities, provide information/documentation to downstream AI system providers (Annex XII), establish a policy to comply with EU copyright law (including TDM opt-outs under Directive (EU) 2019/790 Art. 4(3)), and publish a sufficiently detailed summary of training content (open-source GPAI models without systemic risk are exempt from the documentation duties in Art. 53(1)(a)–(b) but must still fulfill copyright and training-summary obligations). 2. GPAI Models with Systemic Risk (Arts. 51 &amp; 55): Designated via high-impact capabilities—presumed when cumulative training compute exceeds 10^25 FLOPs—or by European Commission decision. Providers must additionally perform model evaluations and adversarial testing, assess and mitigate systemic risks, track and report serious incidents and corrective measures to the AI Office (and relevant national authorities), and ensure adequate cybersecurity protection for the model and its physical infrastructure.</w:t>
            </w:r>
          </w:p>
        </w:tc>
      </w:tr>
      <w:tr>
        <w:tc>
          <w:tcPr>
            <w:tcW w:type="dxa" w:w="1020"/>
            <w:shd w:val="clear" w:color="auto" w:fill="D9E2F3"/>
          </w:tcPr>
          <w:p>
            <w:r/>
            <w:r>
              <w:rPr>
                <w:b/>
              </w:rPr>
              <w:t>要点</w:t>
            </w:r>
          </w:p>
        </w:tc>
        <w:tc>
          <w:tcPr>
            <w:tcW w:type="dxa" w:w="13380"/>
          </w:tcPr>
          <w:p>
            <w:r/>
            <w:r>
              <w:rPr>
                <w:b w:val="0"/>
              </w:rPr>
              <w:t>All GPAI providers face Article 53 copyright and training-summary duties (plus documentation duties unless exempt as non-systemic open-source), while systemic-risk GPAI models (presumed above 10^25 FLOPs or designated under Art. 51) face heightened evaluation, adversarial testing, serious-incident reporting, and cybersecurity obligations under Article 55.</w:t>
            </w:r>
          </w:p>
        </w:tc>
      </w:tr>
      <w:tr>
        <w:tc>
          <w:tcPr>
            <w:tcW w:type="dxa" w:w="1020"/>
            <w:shd w:val="clear" w:color="auto" w:fill="D9E2F3"/>
          </w:tcPr>
          <w:p>
            <w:r/>
            <w:r>
              <w:rPr>
                <w:b/>
              </w:rPr>
              <w:t>来源</w:t>
            </w:r>
          </w:p>
        </w:tc>
        <w:tc>
          <w:tcPr>
            <w:tcW w:type="dxa" w:w="13380"/>
          </w:tcPr>
          <w:p>
            <w:r/>
            <w:r>
              <w:rPr>
                <w:b w:val="0"/>
              </w:rPr>
              <w:t>Regulation (EU) 2024/1689 (EU AI Act) Arts. 51–55.</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35. fc-35 · Third-Party AI Supply Chain Due Diligence</w:t>
      </w:r>
    </w:p>
    <w:p>
      <w:pPr>
        <w:spacing w:after="60"/>
      </w:pPr>
      <w:r>
        <w:rPr>
          <w:b w:val="0"/>
          <w:color w:val="5A5A5A"/>
          <w:sz w:val="18"/>
        </w:rPr>
        <w:t>归类：D3 AI Enterprise Integration and Performance Monitoring（原 D4，已归入现 domain）　　状态：未复核</w:t>
      </w:r>
    </w:p>
    <w:p>
      <w:pPr>
        <w:spacing w:after="60"/>
      </w:pPr>
      <w:r>
        <w:rPr>
          <w:b w:val="0"/>
          <w:color w:val="BE2828"/>
          <w:sz w:val="18"/>
        </w:rPr>
        <w:t>机器检查：背面 726 字（超过 600）；来源标注"verify against licensed…"，未核对正版；无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risk-based due diligence and governance controls should be applied before onboarding third-party AI vendors?</w:t>
            </w:r>
          </w:p>
        </w:tc>
      </w:tr>
      <w:tr>
        <w:tc>
          <w:tcPr>
            <w:tcW w:type="dxa" w:w="1020"/>
            <w:shd w:val="clear" w:color="auto" w:fill="D9E2F3"/>
          </w:tcPr>
          <w:p>
            <w:r/>
            <w:r>
              <w:rPr>
                <w:b/>
              </w:rPr>
              <w:t>背面</w:t>
            </w:r>
          </w:p>
        </w:tc>
        <w:tc>
          <w:tcPr>
            <w:tcW w:type="dxa" w:w="13380"/>
          </w:tcPr>
          <w:p>
            <w:r/>
            <w:r>
              <w:rPr>
                <w:b w:val="0"/>
              </w:rPr>
              <w:t>Proportionate third-party AI supply chain due diligence includes: 1. Assurance and Risk Evaluation: Reviewing independent security and AI governance assurance evidence appropriate to the risk tier (e.g., SOC 2 Type II, ISO/IEC 27001 or 42001 certifications, model cards, and red-team/evaluation reports); 2. Contractual and Data Governance Controls: Defining data ownership, retention, deletion, privacy/security obligations, restrictions on training on customer data, and right-to-audit or assurance-reporting clauses; 3. Operational and Supply-Chain Resilience: Assessing SLAs, material model-update notification terms, upstream dependencies (including foundation models and open-source weights), and exit/contingency plans.</w:t>
            </w:r>
          </w:p>
        </w:tc>
      </w:tr>
      <w:tr>
        <w:tc>
          <w:tcPr>
            <w:tcW w:type="dxa" w:w="1020"/>
            <w:shd w:val="clear" w:color="auto" w:fill="D9E2F3"/>
          </w:tcPr>
          <w:p>
            <w:r/>
            <w:r>
              <w:rPr>
                <w:b/>
              </w:rPr>
              <w:t>要点</w:t>
            </w:r>
          </w:p>
        </w:tc>
        <w:tc>
          <w:tcPr>
            <w:tcW w:type="dxa" w:w="13380"/>
          </w:tcPr>
          <w:p>
            <w:r/>
            <w:r>
              <w:rPr>
                <w:b w:val="0"/>
              </w:rPr>
              <w:t>Third-party AI vendor governance applies risk-tiered due diligence, contractual data protections, upstream dependency visibility, and exit planning aligned with NIST AI RMF GOVERN 6.1–6.2.</w:t>
            </w:r>
          </w:p>
        </w:tc>
      </w:tr>
      <w:tr>
        <w:tc>
          <w:tcPr>
            <w:tcW w:type="dxa" w:w="1020"/>
            <w:shd w:val="clear" w:color="auto" w:fill="D9E2F3"/>
          </w:tcPr>
          <w:p>
            <w:r/>
            <w:r>
              <w:rPr>
                <w:b/>
              </w:rPr>
              <w:t>来源</w:t>
            </w:r>
          </w:p>
        </w:tc>
        <w:tc>
          <w:tcPr>
            <w:tcW w:type="dxa" w:w="13380"/>
          </w:tcPr>
          <w:p>
            <w:r/>
            <w:r>
              <w:rPr>
                <w:b w:val="0"/>
              </w:rPr>
              <w:t>NIST AI RMF 1.0 GOVERN 6.1 &amp; 6.2; ISO/IEC 42001:2023 (verify supplier clauses against licensed standard).</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36. fc-36 · Fundamental Rights Impact Assessment (FRIA)</w:t>
      </w:r>
    </w:p>
    <w:p>
      <w:pPr>
        <w:spacing w:after="60"/>
      </w:pPr>
      <w:r>
        <w:rPr>
          <w:b w:val="0"/>
          <w:color w:val="5A5A5A"/>
          <w:sz w:val="18"/>
        </w:rPr>
        <w:t>归类：D1 AI Enterprise Governance（原 D4，已归入现 domain）　　状态：未复核</w:t>
      </w:r>
    </w:p>
    <w:p>
      <w:pPr>
        <w:spacing w:after="60"/>
      </w:pPr>
      <w:r>
        <w:rPr>
          <w:b w:val="0"/>
          <w:color w:val="BE2828"/>
          <w:sz w:val="18"/>
        </w:rPr>
        <w:t>机器检查：背面 940 字（超过 600）；无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When is a Fundamental Rights Impact Assessment (FRIA) mandatory under the EU AI Act?</w:t>
            </w:r>
          </w:p>
        </w:tc>
      </w:tr>
      <w:tr>
        <w:tc>
          <w:tcPr>
            <w:tcW w:type="dxa" w:w="1020"/>
            <w:shd w:val="clear" w:color="auto" w:fill="D9E2F3"/>
          </w:tcPr>
          <w:p>
            <w:r/>
            <w:r>
              <w:rPr>
                <w:b/>
              </w:rPr>
              <w:t>背面</w:t>
            </w:r>
          </w:p>
        </w:tc>
        <w:tc>
          <w:tcPr>
            <w:tcW w:type="dxa" w:w="13380"/>
          </w:tcPr>
          <w:p>
            <w:r/>
            <w:r>
              <w:rPr>
                <w:b w:val="0"/>
              </w:rPr>
              <w:t>Under Article 27 of the EU AI Act, a pre-use Fundamental Rights Impact Assessment (FRIA) is mandatory only for specified deployers of Annex III high-risk AI systems (covered by Article 6(2), explicitly excluding Annex III point 2 critical infrastructure): 1) Bodies governed by public law; 2) Private entities providing public services; and 3) Deployers of high-risk AI systems listed in Annex III point 5(b) (creditworthiness or credit-scoring evaluation of natural persons, except financial fraud detection) and point 5(c) (risk assessment and pricing in relation to natural persons for life and health insurance). Prior to first use, covered deployers must assess the intended processes, period and frequency of use, affected categories of natural persons, specific risks of harm to fundamental rights, human oversight implementation, and mitigation measures if risks materialize, updating the assessment when relevant conditions change.</w:t>
            </w:r>
          </w:p>
        </w:tc>
      </w:tr>
      <w:tr>
        <w:tc>
          <w:tcPr>
            <w:tcW w:type="dxa" w:w="1020"/>
            <w:shd w:val="clear" w:color="auto" w:fill="D9E2F3"/>
          </w:tcPr>
          <w:p>
            <w:r/>
            <w:r>
              <w:rPr>
                <w:b/>
              </w:rPr>
              <w:t>要点</w:t>
            </w:r>
          </w:p>
        </w:tc>
        <w:tc>
          <w:tcPr>
            <w:tcW w:type="dxa" w:w="13380"/>
          </w:tcPr>
          <w:p>
            <w:r/>
            <w:r>
              <w:rPr>
                <w:b w:val="0"/>
              </w:rPr>
              <w:t>EU AI Act Article 27 mandates a pre-deployment FRIA for public bodies, private operators of public services, and deployers of Annex III 5(b)/(c) retail credit and life/health insurance AI systems (excluding Annex III point 2), rather than all high-risk AI deployers indiscriminately.</w:t>
            </w:r>
          </w:p>
        </w:tc>
      </w:tr>
      <w:tr>
        <w:tc>
          <w:tcPr>
            <w:tcW w:type="dxa" w:w="1020"/>
            <w:shd w:val="clear" w:color="auto" w:fill="D9E2F3"/>
          </w:tcPr>
          <w:p>
            <w:r/>
            <w:r>
              <w:rPr>
                <w:b/>
              </w:rPr>
              <w:t>来源</w:t>
            </w:r>
          </w:p>
        </w:tc>
        <w:tc>
          <w:tcPr>
            <w:tcW w:type="dxa" w:w="13380"/>
          </w:tcPr>
          <w:p>
            <w:r/>
            <w:r>
              <w:rPr>
                <w:b w:val="0"/>
              </w:rPr>
              <w:t>Regulation (EU) 2024/1689 (EU AI Act) Art. 27 &amp; Annex III.</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37. fc-37 · ISO/IEC 23894 AI Risk Management</w:t>
      </w:r>
    </w:p>
    <w:p>
      <w:pPr>
        <w:spacing w:after="60"/>
      </w:pPr>
      <w:r>
        <w:rPr>
          <w:b w:val="0"/>
          <w:color w:val="5A5A5A"/>
          <w:sz w:val="18"/>
        </w:rPr>
        <w:t>归类：D1 AI Enterprise Governance（原 D4，已归入现 domain）　　状态：未复核</w:t>
      </w:r>
    </w:p>
    <w:p>
      <w:pPr>
        <w:spacing w:after="60"/>
      </w:pPr>
      <w:r>
        <w:rPr>
          <w:b w:val="0"/>
          <w:color w:val="BE2828"/>
          <w:sz w:val="18"/>
        </w:rPr>
        <w:t>机器检查：正面一次问多件事；来源没有具体条款；无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ISO/IEC 23894 and how does it relate to ISO 31000?</w:t>
            </w:r>
          </w:p>
        </w:tc>
      </w:tr>
      <w:tr>
        <w:tc>
          <w:tcPr>
            <w:tcW w:type="dxa" w:w="1020"/>
            <w:shd w:val="clear" w:color="auto" w:fill="D9E2F3"/>
          </w:tcPr>
          <w:p>
            <w:r/>
            <w:r>
              <w:rPr>
                <w:b/>
              </w:rPr>
              <w:t>背面</w:t>
            </w:r>
          </w:p>
        </w:tc>
        <w:tc>
          <w:tcPr>
            <w:tcW w:type="dxa" w:w="13380"/>
          </w:tcPr>
          <w:p>
            <w:r/>
            <w:r>
              <w:rPr>
                <w:b w:val="0"/>
              </w:rPr>
              <w:t>ISO/IEC 23894 provides guidance on managing AI-related risks based on the generic ISO 31000 risk management framework. It details AI-specific risk identification (e.g., autonomous agency, opacity, data poisoning), risk analysis, evaluation against risk criteria, and risk treatment throughout the AI lifecycle.</w:t>
            </w:r>
          </w:p>
        </w:tc>
      </w:tr>
      <w:tr>
        <w:tc>
          <w:tcPr>
            <w:tcW w:type="dxa" w:w="1020"/>
            <w:shd w:val="clear" w:color="auto" w:fill="D9E2F3"/>
          </w:tcPr>
          <w:p>
            <w:r/>
            <w:r>
              <w:rPr>
                <w:b/>
              </w:rPr>
              <w:t>要点</w:t>
            </w:r>
          </w:p>
        </w:tc>
        <w:tc>
          <w:tcPr>
            <w:tcW w:type="dxa" w:w="13380"/>
          </w:tcPr>
          <w:p>
            <w:r/>
            <w:r>
              <w:rPr>
                <w:b w:val="0"/>
              </w:rPr>
              <w:t>ISO 23894 applies the established ISO 31000 risk process specifically to unique AI lifecycle vulnerabilities.</w:t>
            </w:r>
          </w:p>
        </w:tc>
      </w:tr>
      <w:tr>
        <w:tc>
          <w:tcPr>
            <w:tcW w:type="dxa" w:w="1020"/>
            <w:shd w:val="clear" w:color="auto" w:fill="D9E2F3"/>
          </w:tcPr>
          <w:p>
            <w:r/>
            <w:r>
              <w:rPr>
                <w:b/>
              </w:rPr>
              <w:t>来源</w:t>
            </w:r>
          </w:p>
        </w:tc>
        <w:tc>
          <w:tcPr>
            <w:tcW w:type="dxa" w:w="13380"/>
          </w:tcPr>
          <w:p>
            <w:r/>
            <w:r>
              <w:rPr>
                <w:b w:val="0"/>
              </w:rPr>
              <w:t>ISO/IEC 23894:2023</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38. fc-38 · AI Incident Reporting Timelines</w:t>
      </w:r>
    </w:p>
    <w:p>
      <w:pPr>
        <w:spacing w:after="60"/>
      </w:pPr>
      <w:r>
        <w:rPr>
          <w:b w:val="0"/>
          <w:color w:val="5A5A5A"/>
          <w:sz w:val="18"/>
        </w:rPr>
        <w:t>归类：D1 AI Enterprise Governance（原 D4，已归入现 domain）　　状态：未复核</w:t>
      </w:r>
    </w:p>
    <w:p>
      <w:pPr>
        <w:spacing w:after="60"/>
      </w:pPr>
      <w:r>
        <w:rPr>
          <w:b w:val="0"/>
          <w:color w:val="BE2828"/>
          <w:sz w:val="18"/>
        </w:rPr>
        <w:t>机器检查：背面 642 字（超过 600）；无 sourceUrl</w:t>
      </w:r>
    </w:p>
    <w:p>
      <w:pPr>
        <w:spacing w:after="60"/>
      </w:pPr>
      <w:r>
        <w:rPr>
          <w:b/>
          <w:color w:val="BE2828"/>
          <w:sz w:val="20"/>
        </w:rPr>
        <w:t>⚑ 本卡有需要你专门拍板的事项：见第三部分 J14</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are the regulatory notification requirements when a serious AI safety incident occurs under the EU AI Act?</w:t>
            </w:r>
          </w:p>
        </w:tc>
      </w:tr>
      <w:tr>
        <w:tc>
          <w:tcPr>
            <w:tcW w:type="dxa" w:w="1020"/>
            <w:shd w:val="clear" w:color="auto" w:fill="D9E2F3"/>
          </w:tcPr>
          <w:p>
            <w:r/>
            <w:r>
              <w:rPr>
                <w:b/>
              </w:rPr>
              <w:t>背面</w:t>
            </w:r>
          </w:p>
        </w:tc>
        <w:tc>
          <w:tcPr>
            <w:tcW w:type="dxa" w:w="13380"/>
          </w:tcPr>
          <w:p>
            <w:r/>
            <w:r>
              <w:rPr>
                <w:b w:val="0"/>
              </w:rPr>
              <w:t>EU AI Act Article 73 distinguishes reporting deadlines for providers of high-risk AI systems. The general rule is immediately after a causal link or reasonable likelihood is established, and no later than 15 days after awareness. Widespread infringement or a serious incident involving serious and irreversible disruption of critical infrastructure must be reported immediately and no later than 2 days. A death must be reported immediately once a causal link is established or suspected, and no later than 10 days after awareness. Check applicable scope, transition dates and sector-specific provisions; do not wait for the maximum deadline.</w:t>
            </w:r>
          </w:p>
        </w:tc>
      </w:tr>
      <w:tr>
        <w:tc>
          <w:tcPr>
            <w:tcW w:type="dxa" w:w="1020"/>
            <w:shd w:val="clear" w:color="auto" w:fill="D9E2F3"/>
          </w:tcPr>
          <w:p>
            <w:r/>
            <w:r>
              <w:rPr>
                <w:b/>
              </w:rPr>
              <w:t>要点</w:t>
            </w:r>
          </w:p>
        </w:tc>
        <w:tc>
          <w:tcPr>
            <w:tcW w:type="dxa" w:w="13380"/>
          </w:tcPr>
          <w:p>
            <w:r/>
            <w:r>
              <w:rPr>
                <w:b w:val="0"/>
              </w:rPr>
              <w:t>Article 73 has 2, 10 and 15 day outer limits depending on the incident, with immediate reporting triggers.</w:t>
            </w:r>
          </w:p>
        </w:tc>
      </w:tr>
      <w:tr>
        <w:tc>
          <w:tcPr>
            <w:tcW w:type="dxa" w:w="1020"/>
            <w:shd w:val="clear" w:color="auto" w:fill="D9E2F3"/>
          </w:tcPr>
          <w:p>
            <w:r/>
            <w:r>
              <w:rPr>
                <w:b/>
              </w:rPr>
              <w:t>来源</w:t>
            </w:r>
          </w:p>
        </w:tc>
        <w:tc>
          <w:tcPr>
            <w:tcW w:type="dxa" w:w="13380"/>
          </w:tcPr>
          <w:p>
            <w:r/>
            <w:r>
              <w:rPr>
                <w:b w:val="0"/>
              </w:rPr>
              <w:t>EU AI Act Article 73</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39. fc-39 · Conformity Assessment Procedures (CE-Marking)</w:t>
      </w:r>
    </w:p>
    <w:p>
      <w:pPr>
        <w:spacing w:after="60"/>
      </w:pPr>
      <w:r>
        <w:rPr>
          <w:b w:val="0"/>
          <w:color w:val="5A5A5A"/>
          <w:sz w:val="18"/>
        </w:rPr>
        <w:t>归类：D1 AI Enterprise Governance（原 D4，已归入现 domain）　　状态：未复核</w:t>
      </w:r>
    </w:p>
    <w:p>
      <w:pPr>
        <w:spacing w:after="60"/>
      </w:pPr>
      <w:r>
        <w:rPr>
          <w:b w:val="0"/>
          <w:color w:val="BE2828"/>
          <w:sz w:val="18"/>
        </w:rPr>
        <w:t>机器检查：正面一次问多件事；无 sourceUrl</w:t>
      </w:r>
    </w:p>
    <w:p>
      <w:pPr>
        <w:spacing w:after="60"/>
      </w:pPr>
      <w:r>
        <w:rPr>
          <w:b/>
          <w:color w:val="BE2828"/>
          <w:sz w:val="20"/>
        </w:rPr>
        <w:t>⚑ 本卡有需要你专门拍板的事项：见第三部分 J13</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an AI Conformity Assessment under the EU AI Act, and what are the two main pathways?</w:t>
            </w:r>
          </w:p>
        </w:tc>
      </w:tr>
      <w:tr>
        <w:tc>
          <w:tcPr>
            <w:tcW w:type="dxa" w:w="1020"/>
            <w:shd w:val="clear" w:color="auto" w:fill="D9E2F3"/>
          </w:tcPr>
          <w:p>
            <w:r/>
            <w:r>
              <w:rPr>
                <w:b/>
              </w:rPr>
              <w:t>背面</w:t>
            </w:r>
          </w:p>
        </w:tc>
        <w:tc>
          <w:tcPr>
            <w:tcW w:type="dxa" w:w="13380"/>
          </w:tcPr>
          <w:p>
            <w:r/>
            <w:r>
              <w:rPr>
                <w:b w:val="0"/>
              </w:rPr>
              <w:t>A conformity assessment evaluates whether an in-scope high-risk AI system meets applicable requirements, including Articles 8-15. The provider is responsible for the applicable assessment. Article 43 provides different routes: Annex III points 2-8 generally use internal control under Annex VI; Annex III point 1 may use internal control or a notified body under Annex VII depending on applicable standards and conditions. Product-related AI covered by Annex I follows the relevant sector legislation. Check system category, applicable dates and conditions before selecting a route.</w:t>
            </w:r>
          </w:p>
        </w:tc>
      </w:tr>
      <w:tr>
        <w:tc>
          <w:tcPr>
            <w:tcW w:type="dxa" w:w="1020"/>
            <w:shd w:val="clear" w:color="auto" w:fill="D9E2F3"/>
          </w:tcPr>
          <w:p>
            <w:r/>
            <w:r>
              <w:rPr>
                <w:b/>
              </w:rPr>
              <w:t>要点</w:t>
            </w:r>
          </w:p>
        </w:tc>
        <w:tc>
          <w:tcPr>
            <w:tcW w:type="dxa" w:w="13380"/>
          </w:tcPr>
          <w:p>
            <w:r/>
            <w:r>
              <w:rPr>
                <w:b w:val="0"/>
              </w:rPr>
              <w:t>Assessment routes depend on system category and conditions; a notified body is not universally required for every biometric system.</w:t>
            </w:r>
          </w:p>
        </w:tc>
      </w:tr>
      <w:tr>
        <w:tc>
          <w:tcPr>
            <w:tcW w:type="dxa" w:w="1020"/>
            <w:shd w:val="clear" w:color="auto" w:fill="D9E2F3"/>
          </w:tcPr>
          <w:p>
            <w:r/>
            <w:r>
              <w:rPr>
                <w:b/>
              </w:rPr>
              <w:t>来源</w:t>
            </w:r>
          </w:p>
        </w:tc>
        <w:tc>
          <w:tcPr>
            <w:tcW w:type="dxa" w:w="13380"/>
          </w:tcPr>
          <w:p>
            <w:r/>
            <w:r>
              <w:rPr>
                <w:b w:val="0"/>
              </w:rPr>
              <w:t>EU AI Act Article 43, Annexes VI &amp; VII</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p>
      <w:r>
        <w:br w:type="page"/>
      </w:r>
    </w:p>
    <w:p>
      <w:pPr>
        <w:pStyle w:val="Heading1"/>
      </w:pPr>
      <w:r>
        <w:t>40. fc-40 · Adversarial Robustness &amp; Red Teaming</w:t>
      </w:r>
    </w:p>
    <w:p>
      <w:pPr>
        <w:spacing w:after="60"/>
      </w:pPr>
      <w:r>
        <w:rPr>
          <w:b w:val="0"/>
          <w:color w:val="5A5A5A"/>
          <w:sz w:val="18"/>
        </w:rPr>
        <w:t>归类：D3 AI Enterprise Integration and Performance Monitoring（原 D4，已归入现 domain）　　状态：未复核</w:t>
      </w:r>
    </w:p>
    <w:p>
      <w:pPr>
        <w:spacing w:after="60"/>
      </w:pPr>
      <w:r>
        <w:rPr>
          <w:b w:val="0"/>
          <w:color w:val="BE2828"/>
          <w:sz w:val="18"/>
        </w:rPr>
        <w:t>机器检查：背面 685 字（超过 600）；正面一次问多件事；无 sourceUrl</w:t>
      </w:r>
    </w:p>
    <w:tbl>
      <w:tblPr>
        <w:tblStyle w:val="TableGrid"/>
        <w:tblW w:type="auto" w:w="0"/>
        <w:tblLayout w:type="fixed"/>
        <w:tblLook w:firstColumn="1" w:firstRow="1" w:lastColumn="0" w:lastRow="0" w:noHBand="0" w:noVBand="1" w:val="04A0"/>
      </w:tblPr>
      <w:tblGrid>
        <w:gridCol w:w="1020"/>
        <w:gridCol w:w="13380"/>
      </w:tblGrid>
      <w:tr>
        <w:tc>
          <w:tcPr>
            <w:tcW w:type="dxa" w:w="1020"/>
            <w:shd w:val="clear" w:color="auto" w:fill="D9E2F3"/>
          </w:tcPr>
          <w:p>
            <w:r/>
            <w:r>
              <w:rPr>
                <w:b/>
              </w:rPr>
              <w:t>正面</w:t>
            </w:r>
          </w:p>
        </w:tc>
        <w:tc>
          <w:tcPr>
            <w:tcW w:type="dxa" w:w="13380"/>
          </w:tcPr>
          <w:p>
            <w:r/>
            <w:r>
              <w:rPr>
                <w:b/>
              </w:rPr>
              <w:t>What is AI Red Teaming, and what key adversarial attack vectors should governance frameworks evaluate based on system architecture?</w:t>
            </w:r>
          </w:p>
        </w:tc>
      </w:tr>
      <w:tr>
        <w:tc>
          <w:tcPr>
            <w:tcW w:type="dxa" w:w="1020"/>
            <w:shd w:val="clear" w:color="auto" w:fill="D9E2F3"/>
          </w:tcPr>
          <w:p>
            <w:r/>
            <w:r>
              <w:rPr>
                <w:b/>
              </w:rPr>
              <w:t>背面</w:t>
            </w:r>
          </w:p>
        </w:tc>
        <w:tc>
          <w:tcPr>
            <w:tcW w:type="dxa" w:w="13380"/>
          </w:tcPr>
          <w:p>
            <w:r/>
            <w:r>
              <w:rPr>
                <w:b w:val="0"/>
              </w:rPr>
              <w:t>AI Red Teaming is structured adversarial testing designed to discover security vulnerabilities, safety failures, and undesirable behaviors before or during deployment. Depending on the model architecture (e.g., generative LLMs, RAG pipelines, or predictive ML) and threat model, priority attack vectors include: 1) Direct and indirect prompt injection; 2) Jailbreaking and safety-guardrail bypass; 3) Training or fine-tuning data poisoning and backdoor triggers; 4) Model inversion, membership inference, and training-data extraction; and 5) Resource-exhaustion or denial-of-wallet attacks. Findings must be documented, remediated, and retested alongside ongoing production monitoring.</w:t>
            </w:r>
          </w:p>
        </w:tc>
      </w:tr>
      <w:tr>
        <w:tc>
          <w:tcPr>
            <w:tcW w:type="dxa" w:w="1020"/>
            <w:shd w:val="clear" w:color="auto" w:fill="D9E2F3"/>
          </w:tcPr>
          <w:p>
            <w:r/>
            <w:r>
              <w:rPr>
                <w:b/>
              </w:rPr>
              <w:t>要点</w:t>
            </w:r>
          </w:p>
        </w:tc>
        <w:tc>
          <w:tcPr>
            <w:tcW w:type="dxa" w:w="13380"/>
          </w:tcPr>
          <w:p>
            <w:r/>
            <w:r>
              <w:rPr>
                <w:b w:val="0"/>
              </w:rPr>
              <w:t>AI red teaming scopes adversarial testing to the system's architecture and threat profile, validating security and safety controls prior to release and complementing continuous production monitoring.</w:t>
            </w:r>
          </w:p>
        </w:tc>
      </w:tr>
      <w:tr>
        <w:tc>
          <w:tcPr>
            <w:tcW w:type="dxa" w:w="1020"/>
            <w:shd w:val="clear" w:color="auto" w:fill="D9E2F3"/>
          </w:tcPr>
          <w:p>
            <w:r/>
            <w:r>
              <w:rPr>
                <w:b/>
              </w:rPr>
              <w:t>来源</w:t>
            </w:r>
          </w:p>
        </w:tc>
        <w:tc>
          <w:tcPr>
            <w:tcW w:type="dxa" w:w="13380"/>
          </w:tcPr>
          <w:p>
            <w:r/>
            <w:r>
              <w:rPr>
                <w:b w:val="0"/>
              </w:rPr>
              <w:t>NIST AI RMF 1.0 MEASURE 2.6 &amp; 2.7; NIST AI 600-1 (Generative AI Profile); OWASP Top 10 for LLM Applications.</w:t>
            </w:r>
          </w:p>
        </w:tc>
      </w:tr>
    </w:tbl>
    <w:p>
      <w:pPr>
        <w:spacing w:after="40"/>
      </w:pPr>
      <w:r>
        <w:rPr>
          <w:b w:val="0"/>
        </w:rPr>
      </w:r>
    </w:p>
    <w:tbl>
      <w:tblPr>
        <w:tblStyle w:val="TableGrid"/>
        <w:tblW w:type="auto" w:w="0"/>
        <w:tblLayout w:type="fixed"/>
        <w:tblLook w:firstColumn="1" w:firstRow="1" w:lastColumn="0" w:lastRow="0" w:noHBand="0" w:noVBand="1" w:val="04A0"/>
      </w:tblPr>
      <w:tblGrid>
        <w:gridCol w:w="3685"/>
        <w:gridCol w:w="1134"/>
        <w:gridCol w:w="1134"/>
        <w:gridCol w:w="8447"/>
      </w:tblGrid>
      <w:tr>
        <w:tc>
          <w:tcPr>
            <w:tcW w:type="dxa" w:w="3685"/>
            <w:shd w:val="clear" w:color="auto" w:fill="E2EFDA"/>
          </w:tcPr>
          <w:p>
            <w:r/>
            <w:r>
              <w:rPr>
                <w:b/>
                <w:sz w:val="18"/>
              </w:rPr>
              <w:t>标准</w:t>
            </w:r>
          </w:p>
        </w:tc>
        <w:tc>
          <w:tcPr>
            <w:tcW w:type="dxa" w:w="1134"/>
            <w:shd w:val="clear" w:color="auto" w:fill="E2EFDA"/>
          </w:tcPr>
          <w:p>
            <w:r/>
            <w:r>
              <w:rPr>
                <w:b/>
                <w:sz w:val="18"/>
              </w:rPr>
              <w:t>通过</w:t>
            </w:r>
          </w:p>
        </w:tc>
        <w:tc>
          <w:tcPr>
            <w:tcW w:type="dxa" w:w="1134"/>
            <w:shd w:val="clear" w:color="auto" w:fill="E2EFDA"/>
          </w:tcPr>
          <w:p>
            <w:r/>
            <w:r>
              <w:rPr>
                <w:b/>
                <w:sz w:val="18"/>
              </w:rPr>
              <w:t>不通过</w:t>
            </w:r>
          </w:p>
        </w:tc>
        <w:tc>
          <w:tcPr>
            <w:tcW w:type="dxa" w:w="8447"/>
            <w:shd w:val="clear" w:color="auto" w:fill="E2EFDA"/>
          </w:tcPr>
          <w:p>
            <w:r/>
            <w:r>
              <w:rPr>
                <w:b/>
                <w:sz w:val="18"/>
              </w:rPr>
              <w:t>无法核对 / 意见</w:t>
            </w:r>
          </w:p>
        </w:tc>
      </w:tr>
      <w:tr>
        <w:tc>
          <w:tcPr>
            <w:tcW w:type="dxa" w:w="3685"/>
          </w:tcPr>
          <w:p>
            <w:r/>
            <w:r>
              <w:rPr>
                <w:b w:val="0"/>
                <w:sz w:val="18"/>
              </w:rPr>
              <w:t>C1　事实正确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C2　来源标签支持该陈述</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C3　正面是单一问题，背面直接回答</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C4　一点一卡，长度合适</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C5　domain 归类正确</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C6　考试相关性与范围</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r>
        <w:tc>
          <w:tcPr>
            <w:tcW w:type="dxa" w:w="3685"/>
          </w:tcPr>
          <w:p>
            <w:r/>
            <w:r>
              <w:rPr>
                <w:b w:val="0"/>
                <w:sz w:val="18"/>
              </w:rPr>
              <w:t>C7　中立、不夸大</w:t>
            </w:r>
          </w:p>
        </w:tc>
        <w:tc>
          <w:tcPr>
            <w:tcW w:type="dxa" w:w="1134"/>
          </w:tcPr>
          <w:p>
            <w:r/>
            <w:r>
              <w:rPr>
                <w:b w:val="0"/>
                <w:sz w:val="22"/>
              </w:rPr>
              <w:t>□</w:t>
            </w:r>
          </w:p>
        </w:tc>
        <w:tc>
          <w:tcPr>
            <w:tcW w:type="dxa" w:w="1134"/>
          </w:tcPr>
          <w:p>
            <w:r/>
            <w:r>
              <w:rPr>
                <w:b w:val="0"/>
                <w:sz w:val="22"/>
              </w:rPr>
              <w:t>□</w:t>
            </w:r>
          </w:p>
        </w:tc>
        <w:tc>
          <w:tcPr>
            <w:tcW w:type="dxa" w:w="8447"/>
          </w:tcPr>
          <w:p>
            <w:r/>
            <w:r>
              <w:rPr>
                <w:b w:val="0"/>
                <w:sz w:val="18"/>
              </w:rPr>
              <w:t>□ ______________________________</w:t>
            </w:r>
          </w:p>
        </w:tc>
      </w:tr>
    </w:tbl>
    <w:p>
      <w:pPr>
        <w:spacing w:after="40"/>
      </w:pPr>
      <w:r>
        <w:rPr>
          <w:b w:val="0"/>
        </w:rPr>
      </w:r>
    </w:p>
    <w:p>
      <w:pPr>
        <w:spacing w:after="60"/>
      </w:pPr>
      <w:r>
        <w:rPr>
          <w:b w:val="0"/>
          <w:sz w:val="19"/>
        </w:rPr>
        <w:t>决定：□ 通过　□ 修改　□ 拆分　□ 删除　□ 待核验（缺：______）　　意见：_______________________________________________</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