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AAIG 题库改写复核册 第五轮（12 题）</w:t>
      </w:r>
    </w:p>
    <w:p>
      <w:pPr>
        <w:spacing w:after="60"/>
      </w:pPr>
      <w:r>
        <w:rPr>
          <w:b w:val="0"/>
          <w:i w:val="0"/>
          <w:color w:val="5A5A5A"/>
          <w:sz w:val="18"/>
        </w:rPr>
        <w:t>日期：2026-10-24。分支：claude/trusting-fermat-7hxmm4。这是第十五批改写，共 12 题。第一到第十四批（149 题）你已复核通过，不在本册。</w:t>
      </w:r>
    </w:p>
    <w:p>
      <w:pPr>
        <w:pStyle w:val="Heading1"/>
      </w:pPr>
      <w:r>
        <w:t>请先读这一页</w:t>
      </w:r>
    </w:p>
    <w:p>
      <w:pPr>
        <w:pStyle w:val="ListBullet"/>
        <w:spacing w:after="40"/>
      </w:pPr>
      <w:r>
        <w:t>这一批是为了把最后两个仍高于 40% 的子题（D2.1 数据治理与数据质量 47%，D3.2 商业论证与价值实现 44%）降下来。改完后全库猜题命中率 31.6%，D2.1 降到 24%，D3.2 降到 37%。仍有两个子题略高（D1.8 41%，D3.3 40%），它们剩下的高猜中率题大多是你保护的题，没有动。</w:t>
      </w:r>
    </w:p>
    <w:p>
      <w:pPr>
        <w:pStyle w:val="ListBullet"/>
        <w:spacing w:after="40"/>
      </w:pPr>
      <w:r>
        <w:t>本册 12 题分两部分：①第 1 到 5 题是 D3.2 的五道 FIRST 题，来自你 2026-10-14 复核中决定为"修改"的题，"改写前"列是你签核过的文字，做法同前几轮。②第 6 到 12 题是 D2.1 里我们自己手写的 7 道题（aaig-d2s 系列），这些题从未经过你的复核，"改写前"是我写的原文。</w:t>
      </w:r>
    </w:p>
    <w:p>
      <w:pPr>
        <w:pStyle w:val="ListBullet"/>
        <w:spacing w:after="40"/>
      </w:pPr>
      <w:r>
        <w:t>第二部分的做法比较轻：只改了正确选项（或 LEAST 题里的"坏做法"）的措辞，去掉 owner、accountable、risk appetite、without 之类的关键词线索；三个错误选项文字没动，只补了错误类型标注。所以这部分请你同时判断：改写后是否合格；原文本身是否合格。其中第 7、11、12 题是 LEAST 题，第 6 题是 FIRST 题。</w:t>
      </w:r>
    </w:p>
    <w:p>
      <w:pPr>
        <w:pStyle w:val="ListBullet"/>
        <w:spacing w:after="40"/>
      </w:pPr>
      <w:r>
        <w:t>请对每题判断三件事：①正确答案是否仍然唯一且正确；②新写的错误选项是否"明显劣于正确答案"，而不是"也说得通"；③正确选项的新措辞是否保留了原意，没有丢掉关键限定。</w:t>
      </w:r>
    </w:p>
    <w:p>
      <w:pPr>
        <w:pStyle w:val="ListBullet"/>
        <w:spacing w:after="40"/>
      </w:pPr>
      <w:r>
        <w:t>"改写前"列是原文；"改写后"列是现在题库里的文字；黄色底、加粗的是被改动的选项；正确答案用 ✓ 标出。选项字母是题库的规范顺序，练习和模考时界面会随机打乱。</w:t>
      </w:r>
    </w:p>
    <w:p>
      <w:pPr>
        <w:pStyle w:val="ListBullet"/>
        <w:spacing w:after="40"/>
      </w:pPr>
      <w:r>
        <w:t>已知不足：主解析我没有改。如果你要求同步主解析，请在意见栏写"同步主解析"，我来改。如果你对某题不满意，请在"意见"栏写明；最简单的处理是让我把该题恢复为改写前原文。</w:t>
      </w:r>
    </w:p>
    <w:p>
      <w:pPr>
        <w:pStyle w:val="ListBullet"/>
        <w:spacing w:after="40"/>
      </w:pPr>
      <w:r>
        <w:t>这 12 题的 reviewStatus 仍是 unreviewed。出处沿用原文，我没有对照原始条文核验，也没有新增 sourceUrl。</w:t>
      </w:r>
    </w:p>
    <w:p>
      <w:pPr>
        <w:pStyle w:val="Heading1"/>
      </w:pPr>
      <w:r>
        <w:t>总览</w:t>
      </w:r>
    </w:p>
    <w:tbl>
      <w:tblPr>
        <w:tblStyle w:val="LightGrid-Accent1"/>
        <w:tblW w:type="auto" w:w="0"/>
        <w:tblLayout w:type="fixed"/>
        <w:tblLook w:firstColumn="1" w:firstRow="1" w:lastColumn="0" w:lastRow="0" w:noHBand="0" w:noVBand="1" w:val="04A0"/>
      </w:tblPr>
      <w:tblGrid>
        <w:gridCol w:w="567"/>
        <w:gridCol w:w="1587"/>
        <w:gridCol w:w="3969"/>
        <w:gridCol w:w="1020"/>
        <w:gridCol w:w="1247"/>
        <w:gridCol w:w="1247"/>
        <w:gridCol w:w="3969"/>
      </w:tblGrid>
      <w:tr>
        <w:tc>
          <w:tcPr>
            <w:tcW w:type="dxa" w:w="567"/>
          </w:tcPr>
          <w:p>
            <w:r/>
            <w:r>
              <w:rPr>
                <w:b/>
              </w:rPr>
              <w:t>#</w:t>
            </w:r>
          </w:p>
        </w:tc>
        <w:tc>
          <w:tcPr>
            <w:tcW w:type="dxa" w:w="1587"/>
          </w:tcPr>
          <w:p>
            <w:r/>
            <w:r>
              <w:rPr>
                <w:b/>
              </w:rPr>
              <w:t>批次</w:t>
            </w:r>
          </w:p>
        </w:tc>
        <w:tc>
          <w:tcPr>
            <w:tcW w:type="dxa" w:w="3969"/>
          </w:tcPr>
          <w:p>
            <w:r/>
            <w:r>
              <w:rPr>
                <w:b/>
              </w:rPr>
              <w:t>题目 ID（后段）</w:t>
            </w:r>
          </w:p>
        </w:tc>
        <w:tc>
          <w:tcPr>
            <w:tcW w:type="dxa" w:w="1020"/>
          </w:tcPr>
          <w:p>
            <w:r/>
            <w:r>
              <w:rPr>
                <w:b/>
              </w:rPr>
              <w:t>子题</w:t>
            </w:r>
          </w:p>
        </w:tc>
        <w:tc>
          <w:tcPr>
            <w:tcW w:type="dxa" w:w="1247"/>
          </w:tcPr>
          <w:p>
            <w:r/>
            <w:r>
              <w:rPr>
                <w:b/>
              </w:rPr>
              <w:t>题型</w:t>
            </w:r>
          </w:p>
        </w:tc>
        <w:tc>
          <w:tcPr>
            <w:tcW w:type="dxa" w:w="1247"/>
          </w:tcPr>
          <w:p>
            <w:r/>
            <w:r>
              <w:rPr>
                <w:b/>
              </w:rPr>
              <w:t>改动选项数</w:t>
            </w:r>
          </w:p>
        </w:tc>
        <w:tc>
          <w:tcPr>
            <w:tcW w:type="dxa" w:w="3969"/>
          </w:tcPr>
          <w:p>
            <w:r/>
            <w:r>
              <w:rPr>
                <w:b/>
              </w:rPr>
              <w:t>你的决定（通过/修改/恢复原文）</w:t>
            </w:r>
          </w:p>
        </w:tc>
      </w:tr>
      <w:tr>
        <w:tc>
          <w:tcPr>
            <w:tcW w:type="dxa" w:w="567"/>
          </w:tcPr>
          <w:p>
            <w:r/>
            <w:r>
              <w:rPr>
                <w:b w:val="0"/>
              </w:rPr>
              <w:t>1</w:t>
            </w:r>
          </w:p>
        </w:tc>
        <w:tc>
          <w:tcPr>
            <w:tcW w:type="dxa" w:w="1587"/>
          </w:tcPr>
          <w:p>
            <w:r/>
            <w:r>
              <w:rPr>
                <w:b w:val="0"/>
              </w:rPr>
              <w:t>第十五批（D3.2）</w:t>
            </w:r>
          </w:p>
        </w:tc>
        <w:tc>
          <w:tcPr>
            <w:tcW w:type="dxa" w:w="3969"/>
          </w:tcPr>
          <w:p>
            <w:r/>
            <w:r>
              <w:rPr>
                <w:b w:val="0"/>
              </w:rPr>
              <w:t>1791941080701-6</w:t>
            </w:r>
          </w:p>
        </w:tc>
        <w:tc>
          <w:tcPr>
            <w:tcW w:type="dxa" w:w="1020"/>
          </w:tcPr>
          <w:p>
            <w:r/>
            <w:r>
              <w:rPr>
                <w:b w:val="0"/>
              </w:rPr>
              <w:t>D3.2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2</w:t>
            </w:r>
          </w:p>
        </w:tc>
        <w:tc>
          <w:tcPr>
            <w:tcW w:type="dxa" w:w="1587"/>
          </w:tcPr>
          <w:p>
            <w:r/>
            <w:r>
              <w:rPr>
                <w:b w:val="0"/>
              </w:rPr>
              <w:t>第十五批（D3.2）</w:t>
            </w:r>
          </w:p>
        </w:tc>
        <w:tc>
          <w:tcPr>
            <w:tcW w:type="dxa" w:w="3969"/>
          </w:tcPr>
          <w:p>
            <w:r/>
            <w:r>
              <w:rPr>
                <w:b w:val="0"/>
              </w:rPr>
              <w:t>1791941150664-26</w:t>
            </w:r>
          </w:p>
        </w:tc>
        <w:tc>
          <w:tcPr>
            <w:tcW w:type="dxa" w:w="1020"/>
          </w:tcPr>
          <w:p>
            <w:r/>
            <w:r>
              <w:rPr>
                <w:b w:val="0"/>
              </w:rPr>
              <w:t>D3.2</w:t>
            </w:r>
          </w:p>
        </w:tc>
        <w:tc>
          <w:tcPr>
            <w:tcW w:type="dxa" w:w="1247"/>
          </w:tcPr>
          <w:p>
            <w:r/>
            <w:r>
              <w:rPr>
                <w:b w:val="0"/>
              </w:rPr>
              <w:t>FIRST</w:t>
            </w:r>
          </w:p>
        </w:tc>
        <w:tc>
          <w:tcPr>
            <w:tcW w:type="dxa" w:w="1247"/>
          </w:tcPr>
          <w:p>
            <w:r/>
            <w:r>
              <w:rPr>
                <w:b w:val="0"/>
              </w:rPr>
              <w:t>4</w:t>
            </w:r>
          </w:p>
        </w:tc>
        <w:tc>
          <w:tcPr>
            <w:tcW w:type="dxa" w:w="3969"/>
          </w:tcPr>
          <w:p>
            <w:r/>
            <w:r>
              <w:rPr>
                <w:b w:val="0"/>
              </w:rPr>
            </w:r>
          </w:p>
        </w:tc>
      </w:tr>
      <w:tr>
        <w:tc>
          <w:tcPr>
            <w:tcW w:type="dxa" w:w="567"/>
          </w:tcPr>
          <w:p>
            <w:r/>
            <w:r>
              <w:rPr>
                <w:b w:val="0"/>
              </w:rPr>
              <w:t>3</w:t>
            </w:r>
          </w:p>
        </w:tc>
        <w:tc>
          <w:tcPr>
            <w:tcW w:type="dxa" w:w="1587"/>
          </w:tcPr>
          <w:p>
            <w:r/>
            <w:r>
              <w:rPr>
                <w:b w:val="0"/>
              </w:rPr>
              <w:t>第十五批（D3.2）</w:t>
            </w:r>
          </w:p>
        </w:tc>
        <w:tc>
          <w:tcPr>
            <w:tcW w:type="dxa" w:w="3969"/>
          </w:tcPr>
          <w:p>
            <w:r/>
            <w:r>
              <w:rPr>
                <w:b w:val="0"/>
              </w:rPr>
              <w:t>1791942471290-26</w:t>
            </w:r>
          </w:p>
        </w:tc>
        <w:tc>
          <w:tcPr>
            <w:tcW w:type="dxa" w:w="1020"/>
          </w:tcPr>
          <w:p>
            <w:r/>
            <w:r>
              <w:rPr>
                <w:b w:val="0"/>
              </w:rPr>
              <w:t>D3.2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4</w:t>
            </w:r>
          </w:p>
        </w:tc>
        <w:tc>
          <w:tcPr>
            <w:tcW w:type="dxa" w:w="1587"/>
          </w:tcPr>
          <w:p>
            <w:r/>
            <w:r>
              <w:rPr>
                <w:b w:val="0"/>
              </w:rPr>
              <w:t>第十五批（D3.2）</w:t>
            </w:r>
          </w:p>
        </w:tc>
        <w:tc>
          <w:tcPr>
            <w:tcW w:type="dxa" w:w="3969"/>
          </w:tcPr>
          <w:p>
            <w:r/>
            <w:r>
              <w:rPr>
                <w:b w:val="0"/>
              </w:rPr>
              <w:t>1791943463778-91-etjek</w:t>
            </w:r>
          </w:p>
        </w:tc>
        <w:tc>
          <w:tcPr>
            <w:tcW w:type="dxa" w:w="1020"/>
          </w:tcPr>
          <w:p>
            <w:r/>
            <w:r>
              <w:rPr>
                <w:b w:val="0"/>
              </w:rPr>
              <w:t>D3.2</w:t>
            </w:r>
          </w:p>
        </w:tc>
        <w:tc>
          <w:tcPr>
            <w:tcW w:type="dxa" w:w="1247"/>
          </w:tcPr>
          <w:p>
            <w:r/>
            <w:r>
              <w:rPr>
                <w:b w:val="0"/>
              </w:rPr>
              <w:t>FIRST</w:t>
            </w:r>
          </w:p>
        </w:tc>
        <w:tc>
          <w:tcPr>
            <w:tcW w:type="dxa" w:w="1247"/>
          </w:tcPr>
          <w:p>
            <w:r/>
            <w:r>
              <w:rPr>
                <w:b w:val="0"/>
              </w:rPr>
              <w:t>4</w:t>
            </w:r>
          </w:p>
        </w:tc>
        <w:tc>
          <w:tcPr>
            <w:tcW w:type="dxa" w:w="3969"/>
          </w:tcPr>
          <w:p>
            <w:r/>
            <w:r>
              <w:rPr>
                <w:b w:val="0"/>
              </w:rPr>
            </w:r>
          </w:p>
        </w:tc>
      </w:tr>
      <w:tr>
        <w:tc>
          <w:tcPr>
            <w:tcW w:type="dxa" w:w="567"/>
          </w:tcPr>
          <w:p>
            <w:r/>
            <w:r>
              <w:rPr>
                <w:b w:val="0"/>
              </w:rPr>
              <w:t>5</w:t>
            </w:r>
          </w:p>
        </w:tc>
        <w:tc>
          <w:tcPr>
            <w:tcW w:type="dxa" w:w="1587"/>
          </w:tcPr>
          <w:p>
            <w:r/>
            <w:r>
              <w:rPr>
                <w:b w:val="0"/>
              </w:rPr>
              <w:t>第十五批（D3.2）</w:t>
            </w:r>
          </w:p>
        </w:tc>
        <w:tc>
          <w:tcPr>
            <w:tcW w:type="dxa" w:w="3969"/>
          </w:tcPr>
          <w:p>
            <w:r/>
            <w:r>
              <w:rPr>
                <w:b w:val="0"/>
              </w:rPr>
              <w:t>1791943736083-151-32qho</w:t>
            </w:r>
          </w:p>
        </w:tc>
        <w:tc>
          <w:tcPr>
            <w:tcW w:type="dxa" w:w="1020"/>
          </w:tcPr>
          <w:p>
            <w:r/>
            <w:r>
              <w:rPr>
                <w:b w:val="0"/>
              </w:rPr>
              <w:t>D3.2</w:t>
            </w:r>
          </w:p>
        </w:tc>
        <w:tc>
          <w:tcPr>
            <w:tcW w:type="dxa" w:w="1247"/>
          </w:tcPr>
          <w:p>
            <w:r/>
            <w:r>
              <w:rPr>
                <w:b w:val="0"/>
              </w:rPr>
              <w:t>FIRST</w:t>
            </w:r>
          </w:p>
        </w:tc>
        <w:tc>
          <w:tcPr>
            <w:tcW w:type="dxa" w:w="1247"/>
          </w:tcPr>
          <w:p>
            <w:r/>
            <w:r>
              <w:rPr>
                <w:b w:val="0"/>
              </w:rPr>
              <w:t>4</w:t>
            </w:r>
          </w:p>
        </w:tc>
        <w:tc>
          <w:tcPr>
            <w:tcW w:type="dxa" w:w="3969"/>
          </w:tcPr>
          <w:p>
            <w:r/>
            <w:r>
              <w:rPr>
                <w:b w:val="0"/>
              </w:rPr>
            </w:r>
          </w:p>
        </w:tc>
      </w:tr>
      <w:tr>
        <w:tc>
          <w:tcPr>
            <w:tcW w:type="dxa" w:w="567"/>
          </w:tcPr>
          <w:p>
            <w:r/>
            <w:r>
              <w:rPr>
                <w:b w:val="0"/>
              </w:rPr>
              <w:t>6</w:t>
            </w:r>
          </w:p>
        </w:tc>
        <w:tc>
          <w:tcPr>
            <w:tcW w:type="dxa" w:w="1587"/>
          </w:tcPr>
          <w:p>
            <w:r/>
            <w:r>
              <w:rPr>
                <w:b w:val="0"/>
              </w:rPr>
              <w:t>第十五批（D2.1 手写题）</w:t>
            </w:r>
          </w:p>
        </w:tc>
        <w:tc>
          <w:tcPr>
            <w:tcW w:type="dxa" w:w="3969"/>
          </w:tcPr>
          <w:p>
            <w:r/>
            <w:r>
              <w:rPr>
                <w:b w:val="0"/>
              </w:rPr>
              <w:t>aaig-d2s-001</w:t>
            </w:r>
          </w:p>
        </w:tc>
        <w:tc>
          <w:tcPr>
            <w:tcW w:type="dxa" w:w="1020"/>
          </w:tcPr>
          <w:p>
            <w:r/>
            <w:r>
              <w:rPr>
                <w:b w:val="0"/>
              </w:rPr>
              <w:t>D2.1</w:t>
            </w:r>
          </w:p>
        </w:tc>
        <w:tc>
          <w:tcPr>
            <w:tcW w:type="dxa" w:w="1247"/>
          </w:tcPr>
          <w:p>
            <w:r/>
            <w:r>
              <w:rPr>
                <w:b w:val="0"/>
              </w:rPr>
              <w:t>FIRST</w:t>
            </w:r>
          </w:p>
        </w:tc>
        <w:tc>
          <w:tcPr>
            <w:tcW w:type="dxa" w:w="1247"/>
          </w:tcPr>
          <w:p>
            <w:r/>
            <w:r>
              <w:rPr>
                <w:b w:val="0"/>
              </w:rPr>
              <w:t>1</w:t>
            </w:r>
          </w:p>
        </w:tc>
        <w:tc>
          <w:tcPr>
            <w:tcW w:type="dxa" w:w="3969"/>
          </w:tcPr>
          <w:p>
            <w:r/>
            <w:r>
              <w:rPr>
                <w:b w:val="0"/>
              </w:rPr>
            </w:r>
          </w:p>
        </w:tc>
      </w:tr>
      <w:tr>
        <w:tc>
          <w:tcPr>
            <w:tcW w:type="dxa" w:w="567"/>
          </w:tcPr>
          <w:p>
            <w:r/>
            <w:r>
              <w:rPr>
                <w:b w:val="0"/>
              </w:rPr>
              <w:t>7</w:t>
            </w:r>
          </w:p>
        </w:tc>
        <w:tc>
          <w:tcPr>
            <w:tcW w:type="dxa" w:w="1587"/>
          </w:tcPr>
          <w:p>
            <w:r/>
            <w:r>
              <w:rPr>
                <w:b w:val="0"/>
              </w:rPr>
              <w:t>第十五批（D2.1 手写题）</w:t>
            </w:r>
          </w:p>
        </w:tc>
        <w:tc>
          <w:tcPr>
            <w:tcW w:type="dxa" w:w="3969"/>
          </w:tcPr>
          <w:p>
            <w:r/>
            <w:r>
              <w:rPr>
                <w:b w:val="0"/>
              </w:rPr>
              <w:t>aaig-d2s-004</w:t>
            </w:r>
          </w:p>
        </w:tc>
        <w:tc>
          <w:tcPr>
            <w:tcW w:type="dxa" w:w="1020"/>
          </w:tcPr>
          <w:p>
            <w:r/>
            <w:r>
              <w:rPr>
                <w:b w:val="0"/>
              </w:rPr>
              <w:t>D2.1</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8</w:t>
            </w:r>
          </w:p>
        </w:tc>
        <w:tc>
          <w:tcPr>
            <w:tcW w:type="dxa" w:w="1587"/>
          </w:tcPr>
          <w:p>
            <w:r/>
            <w:r>
              <w:rPr>
                <w:b w:val="0"/>
              </w:rPr>
              <w:t>第十五批（D2.1 手写题）</w:t>
            </w:r>
          </w:p>
        </w:tc>
        <w:tc>
          <w:tcPr>
            <w:tcW w:type="dxa" w:w="3969"/>
          </w:tcPr>
          <w:p>
            <w:r/>
            <w:r>
              <w:rPr>
                <w:b w:val="0"/>
              </w:rPr>
              <w:t>aaig-d2s-005</w:t>
            </w:r>
          </w:p>
        </w:tc>
        <w:tc>
          <w:tcPr>
            <w:tcW w:type="dxa" w:w="1020"/>
          </w:tcPr>
          <w:p>
            <w:r/>
            <w:r>
              <w:rPr>
                <w:b w:val="0"/>
              </w:rPr>
              <w:t>D2.1</w:t>
            </w:r>
          </w:p>
        </w:tc>
        <w:tc>
          <w:tcPr>
            <w:tcW w:type="dxa" w:w="1247"/>
          </w:tcPr>
          <w:p>
            <w:r/>
            <w:r>
              <w:rPr>
                <w:b w:val="0"/>
              </w:rPr>
              <w:t>BEST</w:t>
            </w:r>
          </w:p>
        </w:tc>
        <w:tc>
          <w:tcPr>
            <w:tcW w:type="dxa" w:w="1247"/>
          </w:tcPr>
          <w:p>
            <w:r/>
            <w:r>
              <w:rPr>
                <w:b w:val="0"/>
              </w:rPr>
              <w:t>1</w:t>
            </w:r>
          </w:p>
        </w:tc>
        <w:tc>
          <w:tcPr>
            <w:tcW w:type="dxa" w:w="3969"/>
          </w:tcPr>
          <w:p>
            <w:r/>
            <w:r>
              <w:rPr>
                <w:b w:val="0"/>
              </w:rPr>
            </w:r>
          </w:p>
        </w:tc>
      </w:tr>
      <w:tr>
        <w:tc>
          <w:tcPr>
            <w:tcW w:type="dxa" w:w="567"/>
          </w:tcPr>
          <w:p>
            <w:r/>
            <w:r>
              <w:rPr>
                <w:b w:val="0"/>
              </w:rPr>
              <w:t>9</w:t>
            </w:r>
          </w:p>
        </w:tc>
        <w:tc>
          <w:tcPr>
            <w:tcW w:type="dxa" w:w="1587"/>
          </w:tcPr>
          <w:p>
            <w:r/>
            <w:r>
              <w:rPr>
                <w:b w:val="0"/>
              </w:rPr>
              <w:t>第十五批（D2.1 手写题）</w:t>
            </w:r>
          </w:p>
        </w:tc>
        <w:tc>
          <w:tcPr>
            <w:tcW w:type="dxa" w:w="3969"/>
          </w:tcPr>
          <w:p>
            <w:r/>
            <w:r>
              <w:rPr>
                <w:b w:val="0"/>
              </w:rPr>
              <w:t>aaig-d2s-007</w:t>
            </w:r>
          </w:p>
        </w:tc>
        <w:tc>
          <w:tcPr>
            <w:tcW w:type="dxa" w:w="1020"/>
          </w:tcPr>
          <w:p>
            <w:r/>
            <w:r>
              <w:rPr>
                <w:b w:val="0"/>
              </w:rPr>
              <w:t>D2.1</w:t>
            </w:r>
          </w:p>
        </w:tc>
        <w:tc>
          <w:tcPr>
            <w:tcW w:type="dxa" w:w="1247"/>
          </w:tcPr>
          <w:p>
            <w:r/>
            <w:r>
              <w:rPr>
                <w:b w:val="0"/>
              </w:rPr>
              <w:t>PRIMARY</w:t>
            </w:r>
          </w:p>
        </w:tc>
        <w:tc>
          <w:tcPr>
            <w:tcW w:type="dxa" w:w="1247"/>
          </w:tcPr>
          <w:p>
            <w:r/>
            <w:r>
              <w:rPr>
                <w:b w:val="0"/>
              </w:rPr>
              <w:t>1</w:t>
            </w:r>
          </w:p>
        </w:tc>
        <w:tc>
          <w:tcPr>
            <w:tcW w:type="dxa" w:w="3969"/>
          </w:tcPr>
          <w:p>
            <w:r/>
            <w:r>
              <w:rPr>
                <w:b w:val="0"/>
              </w:rPr>
            </w:r>
          </w:p>
        </w:tc>
      </w:tr>
      <w:tr>
        <w:tc>
          <w:tcPr>
            <w:tcW w:type="dxa" w:w="567"/>
          </w:tcPr>
          <w:p>
            <w:r/>
            <w:r>
              <w:rPr>
                <w:b w:val="0"/>
              </w:rPr>
              <w:t>10</w:t>
            </w:r>
          </w:p>
        </w:tc>
        <w:tc>
          <w:tcPr>
            <w:tcW w:type="dxa" w:w="1587"/>
          </w:tcPr>
          <w:p>
            <w:r/>
            <w:r>
              <w:rPr>
                <w:b w:val="0"/>
              </w:rPr>
              <w:t>第十五批（D2.1 手写题）</w:t>
            </w:r>
          </w:p>
        </w:tc>
        <w:tc>
          <w:tcPr>
            <w:tcW w:type="dxa" w:w="3969"/>
          </w:tcPr>
          <w:p>
            <w:r/>
            <w:r>
              <w:rPr>
                <w:b w:val="0"/>
              </w:rPr>
              <w:t>aaig-d2s-008</w:t>
            </w:r>
          </w:p>
        </w:tc>
        <w:tc>
          <w:tcPr>
            <w:tcW w:type="dxa" w:w="1020"/>
          </w:tcPr>
          <w:p>
            <w:r/>
            <w:r>
              <w:rPr>
                <w:b w:val="0"/>
              </w:rPr>
              <w:t>D2.1</w:t>
            </w:r>
          </w:p>
        </w:tc>
        <w:tc>
          <w:tcPr>
            <w:tcW w:type="dxa" w:w="1247"/>
          </w:tcPr>
          <w:p>
            <w:r/>
            <w:r>
              <w:rPr>
                <w:b w:val="0"/>
              </w:rPr>
              <w:t>MOST</w:t>
            </w:r>
          </w:p>
        </w:tc>
        <w:tc>
          <w:tcPr>
            <w:tcW w:type="dxa" w:w="1247"/>
          </w:tcPr>
          <w:p>
            <w:r/>
            <w:r>
              <w:rPr>
                <w:b w:val="0"/>
              </w:rPr>
              <w:t>1</w:t>
            </w:r>
          </w:p>
        </w:tc>
        <w:tc>
          <w:tcPr>
            <w:tcW w:type="dxa" w:w="3969"/>
          </w:tcPr>
          <w:p>
            <w:r/>
            <w:r>
              <w:rPr>
                <w:b w:val="0"/>
              </w:rPr>
            </w:r>
          </w:p>
        </w:tc>
      </w:tr>
      <w:tr>
        <w:tc>
          <w:tcPr>
            <w:tcW w:type="dxa" w:w="567"/>
          </w:tcPr>
          <w:p>
            <w:r/>
            <w:r>
              <w:rPr>
                <w:b w:val="0"/>
              </w:rPr>
              <w:t>11</w:t>
            </w:r>
          </w:p>
        </w:tc>
        <w:tc>
          <w:tcPr>
            <w:tcW w:type="dxa" w:w="1587"/>
          </w:tcPr>
          <w:p>
            <w:r/>
            <w:r>
              <w:rPr>
                <w:b w:val="0"/>
              </w:rPr>
              <w:t>第十五批（D2.1 手写题）</w:t>
            </w:r>
          </w:p>
        </w:tc>
        <w:tc>
          <w:tcPr>
            <w:tcW w:type="dxa" w:w="3969"/>
          </w:tcPr>
          <w:p>
            <w:r/>
            <w:r>
              <w:rPr>
                <w:b w:val="0"/>
              </w:rPr>
              <w:t>aaig-d2s-009</w:t>
            </w:r>
          </w:p>
        </w:tc>
        <w:tc>
          <w:tcPr>
            <w:tcW w:type="dxa" w:w="1020"/>
          </w:tcPr>
          <w:p>
            <w:r/>
            <w:r>
              <w:rPr>
                <w:b w:val="0"/>
              </w:rPr>
              <w:t>D2.1</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12</w:t>
            </w:r>
          </w:p>
        </w:tc>
        <w:tc>
          <w:tcPr>
            <w:tcW w:type="dxa" w:w="1587"/>
          </w:tcPr>
          <w:p>
            <w:r/>
            <w:r>
              <w:rPr>
                <w:b w:val="0"/>
              </w:rPr>
              <w:t>第十五批（D2.1 手写题）</w:t>
            </w:r>
          </w:p>
        </w:tc>
        <w:tc>
          <w:tcPr>
            <w:tcW w:type="dxa" w:w="3969"/>
          </w:tcPr>
          <w:p>
            <w:r/>
            <w:r>
              <w:rPr>
                <w:b w:val="0"/>
              </w:rPr>
              <w:t>aaig-d2s-302</w:t>
            </w:r>
          </w:p>
        </w:tc>
        <w:tc>
          <w:tcPr>
            <w:tcW w:type="dxa" w:w="1020"/>
          </w:tcPr>
          <w:p>
            <w:r/>
            <w:r>
              <w:rPr>
                <w:b w:val="0"/>
              </w:rPr>
              <w:t>D2.1</w:t>
            </w:r>
          </w:p>
        </w:tc>
        <w:tc>
          <w:tcPr>
            <w:tcW w:type="dxa" w:w="1247"/>
          </w:tcPr>
          <w:p>
            <w:r/>
            <w:r>
              <w:rPr>
                <w:b w:val="0"/>
              </w:rPr>
              <w:t>LEAST</w:t>
            </w:r>
          </w:p>
        </w:tc>
        <w:tc>
          <w:tcPr>
            <w:tcW w:type="dxa" w:w="1247"/>
          </w:tcPr>
          <w:p>
            <w:r/>
            <w:r>
              <w:rPr>
                <w:b w:val="0"/>
              </w:rPr>
              <w:t>1</w:t>
            </w:r>
          </w:p>
        </w:tc>
        <w:tc>
          <w:tcPr>
            <w:tcW w:type="dxa" w:w="3969"/>
          </w:tcPr>
          <w:p>
            <w:r/>
            <w:r>
              <w:rPr>
                <w:b w:val="0"/>
              </w:rPr>
            </w:r>
          </w:p>
        </w:tc>
      </w:tr>
    </w:tbl>
    <w:p>
      <w:r>
        <w:br w:type="page"/>
      </w:r>
    </w:p>
    <w:p>
      <w:pPr>
        <w:pStyle w:val="Heading1"/>
      </w:pPr>
      <w:r>
        <w:t>1. 第十五批（D3.2） · FIRST · D3.2 Business Case, Value Realization &amp; ROI</w:t>
      </w:r>
    </w:p>
    <w:p>
      <w:pPr>
        <w:spacing w:after="60"/>
      </w:pPr>
      <w:r>
        <w:rPr>
          <w:b w:val="0"/>
          <w:i w:val="0"/>
          <w:color w:val="5A5A5A"/>
          <w:sz w:val="17"/>
        </w:rPr>
        <w:t>ID：aaig-pipe-1791941080701-6　难度：Intermediate</w:t>
      </w:r>
    </w:p>
    <w:p>
      <w:pPr>
        <w:spacing w:after="60"/>
      </w:pPr>
      <w:r>
        <w:rPr>
          <w:b w:val="0"/>
          <w:i w:val="0"/>
        </w:rPr>
        <w:t>情境：A multinational retail enterprise is developing a formal business case for deploying an automated predictive inventory and pricing AI system across its regional supply chain. The project sponsor has requested capital expenditure approval based primarily on projected gross labor cost reductions and operational speed gains. To ensure defensible value realization before funding is granted, the enterprise AI steering committee must review the proposal.</w:t>
      </w:r>
    </w:p>
    <w:p>
      <w:pPr>
        <w:spacing w:after="60"/>
      </w:pPr>
      <w:r>
        <w:rPr>
          <w:b/>
          <w:i w:val="0"/>
        </w:rPr>
        <w:t>问题：In accordance with ISO/IEC 42001 and sound AI governance practices, what should the steering committee require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Align proposed project objectives with strategic enterprise goals and define risk-adjusted key value indicators.</w:t>
            </w:r>
          </w:p>
        </w:tc>
        <w:tc>
          <w:tcPr>
            <w:tcW w:type="dxa" w:w="5669"/>
            <w:shd w:val="clear" w:color="auto" w:fill="FFF2CC"/>
          </w:tcPr>
          <w:p>
            <w:r/>
            <w:r>
              <w:rPr>
                <w:b/>
              </w:rPr>
              <w:t>Align the project objectives with enterprise strategy and define value indicators that account for risk.</w:t>
            </w:r>
          </w:p>
        </w:tc>
        <w:tc>
          <w:tcPr>
            <w:tcW w:type="dxa" w:w="1361"/>
          </w:tcPr>
          <w:p>
            <w:r/>
            <w:r>
              <w:rPr>
                <w:b w:val="0"/>
                <w:color w:val="BE5000"/>
              </w:rPr>
              <w:t>✱ 已改</w:t>
            </w:r>
          </w:p>
        </w:tc>
      </w:tr>
      <w:tr>
        <w:tc>
          <w:tcPr>
            <w:tcW w:type="dxa" w:w="907"/>
          </w:tcPr>
          <w:p>
            <w:r/>
            <w:r>
              <w:rPr>
                <w:b/>
              </w:rPr>
              <w:t>B</w:t>
            </w:r>
          </w:p>
        </w:tc>
        <w:tc>
          <w:tcPr>
            <w:tcW w:type="dxa" w:w="5669"/>
          </w:tcPr>
          <w:p>
            <w:r/>
            <w:r>
              <w:rPr>
                <w:b w:val="0"/>
              </w:rPr>
              <w:t>Authorize a departmental pilot deployment across select stores to validate whether forecasted financial returns materialize.</w:t>
            </w:r>
          </w:p>
        </w:tc>
        <w:tc>
          <w:tcPr>
            <w:tcW w:type="dxa" w:w="5669"/>
            <w:shd w:val="clear" w:color="auto" w:fill="FFF2CC"/>
          </w:tcPr>
          <w:p>
            <w:r/>
            <w:r>
              <w:rPr>
                <w:b/>
              </w:rPr>
              <w:t>Run a pilot in a few stores to see whether the forecast financial returns actually appear.</w:t>
            </w:r>
          </w:p>
        </w:tc>
        <w:tc>
          <w:tcPr>
            <w:tcW w:type="dxa" w:w="1361"/>
          </w:tcPr>
          <w:p>
            <w:r/>
            <w:r>
              <w:rPr>
                <w:b w:val="0"/>
                <w:color w:val="BE5000"/>
              </w:rPr>
              <w:t>✱ 已改</w:t>
            </w:r>
          </w:p>
        </w:tc>
      </w:tr>
      <w:tr>
        <w:tc>
          <w:tcPr>
            <w:tcW w:type="dxa" w:w="907"/>
          </w:tcPr>
          <w:p>
            <w:r/>
            <w:r>
              <w:rPr>
                <w:b/>
              </w:rPr>
              <w:t>C</w:t>
            </w:r>
          </w:p>
        </w:tc>
        <w:tc>
          <w:tcPr>
            <w:tcW w:type="dxa" w:w="5669"/>
          </w:tcPr>
          <w:p>
            <w:r/>
            <w:r>
              <w:rPr>
                <w:b w:val="0"/>
              </w:rPr>
              <w:t>Mandate that technical leads benchmark algorithmic inference latency and predictive precision against legacy inventory logs.</w:t>
            </w:r>
          </w:p>
        </w:tc>
        <w:tc>
          <w:tcPr>
            <w:tcW w:type="dxa" w:w="5669"/>
          </w:tcPr>
          <w:p>
            <w:r/>
            <w:r>
              <w:rPr>
                <w:b w:val="0"/>
              </w:rPr>
              <w:t>Mandate that technical leads benchmark algorithmic inference latency and predictive precision against legacy inventory logs.</w:t>
            </w:r>
          </w:p>
        </w:tc>
        <w:tc>
          <w:tcPr>
            <w:tcW w:type="dxa" w:w="1361"/>
          </w:tcPr>
          <w:p>
            <w:r/>
            <w:r>
              <w:rPr>
                <w:b w:val="0"/>
                <w:color w:val="787878"/>
              </w:rPr>
              <w:t>未改</w:t>
            </w:r>
          </w:p>
        </w:tc>
      </w:tr>
      <w:tr>
        <w:tc>
          <w:tcPr>
            <w:tcW w:type="dxa" w:w="907"/>
          </w:tcPr>
          <w:p>
            <w:r/>
            <w:r>
              <w:rPr>
                <w:b/>
              </w:rPr>
              <w:t>D</w:t>
            </w:r>
          </w:p>
        </w:tc>
        <w:tc>
          <w:tcPr>
            <w:tcW w:type="dxa" w:w="5669"/>
          </w:tcPr>
          <w:p>
            <w:r/>
            <w:r>
              <w:rPr>
                <w:b w:val="0"/>
              </w:rPr>
              <w:t>Direct the internal audit function to validate the financial calculation models used to project operational labor savings.</w:t>
            </w:r>
          </w:p>
        </w:tc>
        <w:tc>
          <w:tcPr>
            <w:tcW w:type="dxa" w:w="5669"/>
            <w:shd w:val="clear" w:color="auto" w:fill="FFF2CC"/>
          </w:tcPr>
          <w:p>
            <w:r/>
            <w:r>
              <w:rPr>
                <w:b/>
              </w:rPr>
              <w:t>Ask finance to validate the models used to project the labor savings before the project goes forward.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6.2 - AI objectives and planning to achieve them) and NIST AI RMF (GOVERN 1.1), the foundational initial step in business case governance and value realization is ensuring the AI system's objectives explicitly align with enterprise strategic goals, risk appetite, and defined risk-adjusted key value indicators (KVIs). Business cases cannot be evaluated solely on gross cost savings without factoring in the full lifecycle costs, compliance risks, and strategic enterprise objectives first.</w:t>
      </w:r>
    </w:p>
    <w:p>
      <w:pPr>
        <w:spacing w:after="60"/>
      </w:pPr>
      <w:r>
        <w:rPr>
          <w:b/>
          <w:i w:val="0"/>
          <w:sz w:val="18"/>
        </w:rPr>
        <w:t>改写后的错误选项解析与错误类型：</w:t>
      </w:r>
    </w:p>
    <w:p>
      <w:pPr>
        <w:spacing w:after="60"/>
      </w:pPr>
      <w:r>
        <w:rPr>
          <w:b w:val="0"/>
          <w:i w:val="0"/>
          <w:sz w:val="18"/>
        </w:rPr>
        <w:t xml:space="preserve">  B（已改）B: A pilot tests the forecast, but running it before objectives and value indicators are agreed means the results have no agreed yardstick.　【类型：Pilot before value indicators】</w:t>
      </w:r>
    </w:p>
    <w:p>
      <w:pPr>
        <w:spacing w:after="60"/>
      </w:pPr>
      <w:r>
        <w:rPr>
          <w:b w:val="0"/>
          <w:i w:val="0"/>
          <w:sz w:val="18"/>
        </w:rPr>
        <w:t xml:space="preserve">  C（未改）Option C exhibits a wrong priority and direction by emphasizing tactical, low-level technical performance metrics (latency and precision) rather than foundational governance and strategic business value alignment.　【类型：Technical benchmark before objectives】</w:t>
      </w:r>
    </w:p>
    <w:p>
      <w:pPr>
        <w:spacing w:after="60"/>
      </w:pPr>
      <w:r>
        <w:rPr>
          <w:b w:val="0"/>
          <w:i w:val="0"/>
          <w:sz w:val="18"/>
        </w:rPr>
        <w:t xml:space="preserve">  D（已改）D: Validating the savings model is useful, but the objectives and the value indicators it must support come first.　【类型：Model validation before objectives】</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 第十五批（D3.2） · FIRST · D3.2 Business Case, Value Realization &amp; ROI</w:t>
      </w:r>
    </w:p>
    <w:p>
      <w:pPr>
        <w:spacing w:after="60"/>
      </w:pPr>
      <w:r>
        <w:rPr>
          <w:b w:val="0"/>
          <w:i w:val="0"/>
          <w:color w:val="5A5A5A"/>
          <w:sz w:val="17"/>
        </w:rPr>
        <w:t>ID：aaig-pipe-1791941150664-26　难度：Intermediate</w:t>
      </w:r>
    </w:p>
    <w:p>
      <w:pPr>
        <w:spacing w:after="60"/>
      </w:pPr>
      <w:r>
        <w:rPr>
          <w:b w:val="0"/>
          <w:i w:val="0"/>
        </w:rPr>
        <w:t>情境：A multinational financial services firm intends to deploy a generative AI customer support assistant to cut operating costs and improve client retention. The business sponsor has submitted a business case projecting significant return on investment based on reduced call handling times, but the enterprise AI steering committee must validate the proposal before capital allocation.</w:t>
      </w:r>
    </w:p>
    <w:p>
      <w:pPr>
        <w:spacing w:after="60"/>
      </w:pPr>
      <w:r>
        <w:rPr>
          <w:b/>
          <w:i w:val="0"/>
        </w:rPr>
        <w:t>问题：From an AI governance perspective, what should the organization do FIRST to ensure sound business case development and value realization?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telemetry tooling to benchmark token throughput, inference latency, and infrastructure cost metrics across staging environments.</w:t>
            </w:r>
          </w:p>
        </w:tc>
        <w:tc>
          <w:tcPr>
            <w:tcW w:type="dxa" w:w="5669"/>
            <w:shd w:val="clear" w:color="auto" w:fill="FFF2CC"/>
          </w:tcPr>
          <w:p>
            <w:r/>
            <w:r>
              <w:rPr>
                <w:b/>
              </w:rPr>
              <w:t>Estimate the infrastructure and licence cost of the AI system for the next three years and add it to the budget.</w:t>
            </w:r>
          </w:p>
        </w:tc>
        <w:tc>
          <w:tcPr>
            <w:tcW w:type="dxa" w:w="1361"/>
          </w:tcPr>
          <w:p>
            <w:r/>
            <w:r>
              <w:rPr>
                <w:b w:val="0"/>
                <w:color w:val="BE5000"/>
              </w:rPr>
              <w:t>✱ 已改</w:t>
            </w:r>
          </w:p>
        </w:tc>
      </w:tr>
      <w:tr>
        <w:tc>
          <w:tcPr>
            <w:tcW w:type="dxa" w:w="907"/>
          </w:tcPr>
          <w:p>
            <w:r/>
            <w:r>
              <w:rPr>
                <w:b/>
              </w:rPr>
              <w:t>B</w:t>
            </w:r>
          </w:p>
        </w:tc>
        <w:tc>
          <w:tcPr>
            <w:tcW w:type="dxa" w:w="5669"/>
          </w:tcPr>
          <w:p>
            <w:r/>
            <w:r>
              <w:rPr>
                <w:b w:val="0"/>
              </w:rPr>
              <w:t>Perform a post-implementation benefits realization audit to measure reported savings against original financial baseline projections.</w:t>
            </w:r>
          </w:p>
        </w:tc>
        <w:tc>
          <w:tcPr>
            <w:tcW w:type="dxa" w:w="5669"/>
            <w:shd w:val="clear" w:color="auto" w:fill="FFF2CC"/>
          </w:tcPr>
          <w:p>
            <w:r/>
            <w:r>
              <w:rPr>
                <w:b/>
              </w:rPr>
              <w:t>Plan an audit after launch that will compare reported savings with the original financial projections.</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Align the proposed AI objectives and value metrics with the enterprise business strategy and organizational risk appetite.</w:t>
            </w:r>
          </w:p>
        </w:tc>
        <w:tc>
          <w:tcPr>
            <w:tcW w:type="dxa" w:w="5669"/>
            <w:shd w:val="clear" w:color="auto" w:fill="FFF2CC"/>
          </w:tcPr>
          <w:p>
            <w:r/>
            <w:r>
              <w:rPr>
                <w:b/>
              </w:rPr>
              <w:t>Align the AI objectives and value measures with business strategy and the firm's appetite for risk.</w:t>
            </w:r>
          </w:p>
        </w:tc>
        <w:tc>
          <w:tcPr>
            <w:tcW w:type="dxa" w:w="1361"/>
          </w:tcPr>
          <w:p>
            <w:r/>
            <w:r>
              <w:rPr>
                <w:b w:val="0"/>
                <w:color w:val="BE5000"/>
              </w:rPr>
              <w:t>✱ 已改</w:t>
            </w:r>
          </w:p>
        </w:tc>
      </w:tr>
      <w:tr>
        <w:tc>
          <w:tcPr>
            <w:tcW w:type="dxa" w:w="907"/>
          </w:tcPr>
          <w:p>
            <w:r/>
            <w:r>
              <w:rPr>
                <w:b/>
              </w:rPr>
              <w:t>D</w:t>
            </w:r>
          </w:p>
        </w:tc>
        <w:tc>
          <w:tcPr>
            <w:tcW w:type="dxa" w:w="5669"/>
          </w:tcPr>
          <w:p>
            <w:r/>
            <w:r>
              <w:rPr>
                <w:b w:val="0"/>
              </w:rPr>
              <w:t>Delegate authority to the model development team to unilaterally establish key performance indicators and risk tolerance thresholds.</w:t>
            </w:r>
          </w:p>
        </w:tc>
        <w:tc>
          <w:tcPr>
            <w:tcW w:type="dxa" w:w="5669"/>
            <w:shd w:val="clear" w:color="auto" w:fill="FFF2CC"/>
          </w:tcPr>
          <w:p>
            <w:r/>
            <w:r>
              <w:rPr>
                <w:b/>
              </w:rPr>
              <w:t>Let the model development team choose the performance indicators and set its own risk thresholds.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foundational AI governance principles (such as ISO/IEC 42001 Clause 6.2 and NIST AI RMF GOVERN 1.1 and 1.2), establishing AI objectives and measurable value criteria that align directly with organizational strategy, values, and enterprise risk appetite must occur FIRST. Value realization and ROI can only be credibly monitored and attained when the business case is grounded in approved organizational priorities and risk boundaries before procurement or technical investment.</w:t>
      </w:r>
    </w:p>
    <w:p>
      <w:pPr>
        <w:spacing w:after="60"/>
      </w:pPr>
      <w:r>
        <w:rPr>
          <w:b/>
          <w:i w:val="0"/>
          <w:sz w:val="18"/>
        </w:rPr>
        <w:t>改写后的错误选项解析与错误类型：</w:t>
      </w:r>
    </w:p>
    <w:p>
      <w:pPr>
        <w:spacing w:after="60"/>
      </w:pPr>
      <w:r>
        <w:rPr>
          <w:b w:val="0"/>
          <w:i w:val="0"/>
          <w:sz w:val="18"/>
        </w:rPr>
        <w:t xml:space="preserve">  A（已改）A: A cost estimate belongs in the business case, but it does not say what value the project must deliver or how it fits strategy.　【类型：Cost estimate before value measures】</w:t>
      </w:r>
    </w:p>
    <w:p>
      <w:pPr>
        <w:spacing w:after="60"/>
      </w:pPr>
      <w:r>
        <w:rPr>
          <w:b w:val="0"/>
          <w:i w:val="0"/>
          <w:sz w:val="18"/>
        </w:rPr>
        <w:t xml:space="preserve">  B（已改）B: A post-launch audit is a useful check, but it comes after the objectives and value measures that define what is checked.　【类型：Post-launch audit first】</w:t>
      </w:r>
    </w:p>
    <w:p>
      <w:pPr>
        <w:spacing w:after="60"/>
      </w:pPr>
      <w:r>
        <w:rPr>
          <w:b w:val="0"/>
          <w:i w:val="0"/>
          <w:sz w:val="18"/>
        </w:rPr>
        <w:t xml:space="preserve">  D（已改）D: Developers know the model, but indicators and risk thresholds for the business case should come from the business sponsor and governance.　【类型：Developers setting the indicators】</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 第十五批（D3.2） · FIRST · D3.2 Business Case, Value Realization &amp; ROI</w:t>
      </w:r>
    </w:p>
    <w:p>
      <w:pPr>
        <w:spacing w:after="60"/>
      </w:pPr>
      <w:r>
        <w:rPr>
          <w:b w:val="0"/>
          <w:i w:val="0"/>
          <w:color w:val="5A5A5A"/>
          <w:sz w:val="17"/>
        </w:rPr>
        <w:t>ID：aaig-pipe-1791942471290-26　难度：Intermediate</w:t>
      </w:r>
    </w:p>
    <w:p>
      <w:pPr>
        <w:spacing w:after="60"/>
      </w:pPr>
      <w:r>
        <w:rPr>
          <w:b w:val="0"/>
          <w:i w:val="0"/>
        </w:rPr>
        <w:t>情境：An enterprise seeks to implement an enterprise-wide generative AI assistant to optimize customer service operations and reduce operational expenses. The AI steering committee is reviewing the preliminary business proposal to ensure sound investment governance and measurable value realization before committing capital.</w:t>
      </w:r>
    </w:p>
    <w:p>
      <w:pPr>
        <w:spacing w:after="60"/>
      </w:pPr>
      <w:r>
        <w:rPr>
          <w:b/>
          <w:i w:val="0"/>
        </w:rPr>
        <w:t>问题：Which of the following governance actions should the AI steering committee require the business sponsor to perform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telemetry tools to continuously benchmark model inference latency, token consumption, and compute costs.</w:t>
            </w:r>
          </w:p>
        </w:tc>
        <w:tc>
          <w:tcPr>
            <w:tcW w:type="dxa" w:w="5669"/>
            <w:shd w:val="clear" w:color="auto" w:fill="FFF2CC"/>
          </w:tcPr>
          <w:p>
            <w:r/>
            <w:r>
              <w:rPr>
                <w:b/>
              </w:rPr>
              <w:t>Ask the sponsor to propose three possible AI solutions and a vendor shortlist for each.</w:t>
            </w:r>
          </w:p>
        </w:tc>
        <w:tc>
          <w:tcPr>
            <w:tcW w:type="dxa" w:w="1361"/>
          </w:tcPr>
          <w:p>
            <w:r/>
            <w:r>
              <w:rPr>
                <w:b w:val="0"/>
                <w:color w:val="BE5000"/>
              </w:rPr>
              <w:t>✱ 已改</w:t>
            </w:r>
          </w:p>
        </w:tc>
      </w:tr>
      <w:tr>
        <w:tc>
          <w:tcPr>
            <w:tcW w:type="dxa" w:w="907"/>
          </w:tcPr>
          <w:p>
            <w:r/>
            <w:r>
              <w:rPr>
                <w:b/>
              </w:rPr>
              <w:t>B</w:t>
            </w:r>
          </w:p>
        </w:tc>
        <w:tc>
          <w:tcPr>
            <w:tcW w:type="dxa" w:w="5669"/>
          </w:tcPr>
          <w:p>
            <w:r/>
            <w:r>
              <w:rPr>
                <w:b w:val="0"/>
              </w:rPr>
              <w:t>Execute a production pilot to gather empirical return-on-investment figures before formalizing baseline performance targets.</w:t>
            </w:r>
          </w:p>
        </w:tc>
        <w:tc>
          <w:tcPr>
            <w:tcW w:type="dxa" w:w="5669"/>
          </w:tcPr>
          <w:p>
            <w:r/>
            <w:r>
              <w:rPr>
                <w:b w:val="0"/>
              </w:rPr>
              <w:t>Execute a production pilot to gather empirical return-on-investment figures before formalizing baseline performance targets.</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Establish current operational baseline metrics and link expected AI outcomes to strategic organizational objectives.</w:t>
            </w:r>
          </w:p>
        </w:tc>
        <w:tc>
          <w:tcPr>
            <w:tcW w:type="dxa" w:w="5669"/>
            <w:shd w:val="clear" w:color="auto" w:fill="FFF2CC"/>
          </w:tcPr>
          <w:p>
            <w:r/>
            <w:r>
              <w:rPr>
                <w:b/>
              </w:rPr>
              <w:t>Record how the process performs today and link the expected AI outcomes to the firm's strategic objectives.</w:t>
            </w:r>
          </w:p>
        </w:tc>
        <w:tc>
          <w:tcPr>
            <w:tcW w:type="dxa" w:w="1361"/>
          </w:tcPr>
          <w:p>
            <w:r/>
            <w:r>
              <w:rPr>
                <w:b w:val="0"/>
                <w:color w:val="BE5000"/>
              </w:rPr>
              <w:t>✱ 已改</w:t>
            </w:r>
          </w:p>
        </w:tc>
      </w:tr>
      <w:tr>
        <w:tc>
          <w:tcPr>
            <w:tcW w:type="dxa" w:w="907"/>
          </w:tcPr>
          <w:p>
            <w:r/>
            <w:r>
              <w:rPr>
                <w:b/>
              </w:rPr>
              <w:t>D</w:t>
            </w:r>
          </w:p>
        </w:tc>
        <w:tc>
          <w:tcPr>
            <w:tcW w:type="dxa" w:w="5669"/>
          </w:tcPr>
          <w:p>
            <w:r/>
            <w:r>
              <w:rPr>
                <w:b w:val="0"/>
              </w:rPr>
              <w:t>Direct the independent internal audit function to validate and sign off on the projected financial realization models.</w:t>
            </w:r>
          </w:p>
        </w:tc>
        <w:tc>
          <w:tcPr>
            <w:tcW w:type="dxa" w:w="5669"/>
            <w:shd w:val="clear" w:color="auto" w:fill="FFF2CC"/>
          </w:tcPr>
          <w:p>
            <w:r/>
            <w:r>
              <w:rPr>
                <w:b/>
              </w:rPr>
              <w:t>Ask the audit function to sign off the projected financial benefits before the sponsor presents the case.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6.2) and NIST AI RMF (GOVERN 1.1 and MAP 1.1), the foundational first step in building an AI business case and enabling value realization is establishing current operational baselines and explicitly mapping expected AI outcomes to strategic business goals. Without established baselines and strategic alignment, the enterprise cannot measure incremental value, assess risk-adjusted return on investment, or set meaningful performance indicators.</w:t>
      </w:r>
    </w:p>
    <w:p>
      <w:pPr>
        <w:spacing w:after="60"/>
      </w:pPr>
      <w:r>
        <w:rPr>
          <w:b/>
          <w:i w:val="0"/>
          <w:sz w:val="18"/>
        </w:rPr>
        <w:t>改写后的错误选项解析与错误类型：</w:t>
      </w:r>
    </w:p>
    <w:p>
      <w:pPr>
        <w:spacing w:after="60"/>
      </w:pPr>
      <w:r>
        <w:rPr>
          <w:b w:val="0"/>
          <w:i w:val="0"/>
          <w:sz w:val="18"/>
        </w:rPr>
        <w:t xml:space="preserve">  A（已改）A: Solution options come later. The business case first needs the current performance and the outcomes it should achieve.　【类型：Solutions before the baseline】</w:t>
      </w:r>
    </w:p>
    <w:p>
      <w:pPr>
        <w:spacing w:after="60"/>
      </w:pPr>
      <w:r>
        <w:rPr>
          <w:b w:val="0"/>
          <w:i w:val="0"/>
          <w:sz w:val="18"/>
        </w:rPr>
        <w:t xml:space="preserve">  B（未改）Executing a production pilot to measure ROI is prematurely sequenced; baseline performance metrics and strategic objectives must be defined prior to empirical testing and deployment.　【类型：Pilot before baseline targets】</w:t>
      </w:r>
    </w:p>
    <w:p>
      <w:pPr>
        <w:spacing w:after="60"/>
      </w:pPr>
      <w:r>
        <w:rPr>
          <w:b w:val="0"/>
          <w:i w:val="0"/>
          <w:sz w:val="18"/>
        </w:rPr>
        <w:t xml:space="preserve">  D（已改）D: Audit must stay independent of the case it later assures, and sign-off before the baseline exists has nothing to check against.　【类型：Audit sign-off before the baseline】</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 第十五批（D3.2） · FIRST · D3.2 Business Case, Value Realization &amp; ROI</w:t>
      </w:r>
    </w:p>
    <w:p>
      <w:pPr>
        <w:spacing w:after="60"/>
      </w:pPr>
      <w:r>
        <w:rPr>
          <w:b w:val="0"/>
          <w:i w:val="0"/>
          <w:color w:val="5A5A5A"/>
          <w:sz w:val="17"/>
        </w:rPr>
        <w:t>ID：aaig-pipe-1791943463778-91-etjek　难度：Director-Level</w:t>
      </w:r>
    </w:p>
    <w:p>
      <w:pPr>
        <w:spacing w:after="60"/>
      </w:pPr>
      <w:r>
        <w:rPr>
          <w:b w:val="0"/>
          <w:i w:val="0"/>
        </w:rPr>
        <w:t>情境：A multinational financial institution is preparing to deploy an enterprise-wide generative AI platform across its retail advisory services to automate investment recommendations. The executive committee requires a formal governance structure to validate the business case, ensure expected value realization, and maintain strict alignment with ISO/IEC 42001 objectives.</w:t>
      </w:r>
    </w:p>
    <w:p>
      <w:pPr>
        <w:spacing w:after="60"/>
      </w:pPr>
      <w:r>
        <w:rPr>
          <w:b/>
          <w:i w:val="0"/>
        </w:rPr>
        <w:t>问题：What should the AI Steering Committee ensure is established FIRST to govern the business case and value realization lifecycle?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Conduct technical benchmarking and algorithmic latency testing to establish technical performance baselines for customer-facing response times.</w:t>
            </w:r>
          </w:p>
        </w:tc>
        <w:tc>
          <w:tcPr>
            <w:tcW w:type="dxa" w:w="5669"/>
            <w:shd w:val="clear" w:color="auto" w:fill="FFF2CC"/>
          </w:tcPr>
          <w:p>
            <w:r/>
            <w:r>
              <w:rPr>
                <w:b/>
              </w:rPr>
              <w:t>Measure current customer response times for the advisory channel and record them as a reference point.</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Define strategic AI objectives and balanced key performance indicators aligned with organizational risk appetite and stakeholder expectations.</w:t>
            </w:r>
          </w:p>
        </w:tc>
        <w:tc>
          <w:tcPr>
            <w:tcW w:type="dxa" w:w="5669"/>
            <w:shd w:val="clear" w:color="auto" w:fill="FFF2CC"/>
          </w:tcPr>
          <w:p>
            <w:r/>
            <w:r>
              <w:rPr>
                <w:b/>
              </w:rPr>
              <w:t>Define strategic AI objectives and balanced indicators that fit stakeholders and risk limits.</w:t>
            </w:r>
          </w:p>
        </w:tc>
        <w:tc>
          <w:tcPr>
            <w:tcW w:type="dxa" w:w="1361"/>
          </w:tcPr>
          <w:p>
            <w:r/>
            <w:r>
              <w:rPr>
                <w:b w:val="0"/>
                <w:color w:val="BE5000"/>
              </w:rPr>
              <w:t>✱ 已改</w:t>
            </w:r>
          </w:p>
        </w:tc>
      </w:tr>
      <w:tr>
        <w:tc>
          <w:tcPr>
            <w:tcW w:type="dxa" w:w="907"/>
          </w:tcPr>
          <w:p>
            <w:r/>
            <w:r>
              <w:rPr>
                <w:b/>
              </w:rPr>
              <w:t>C</w:t>
            </w:r>
          </w:p>
        </w:tc>
        <w:tc>
          <w:tcPr>
            <w:tcW w:type="dxa" w:w="5669"/>
          </w:tcPr>
          <w:p>
            <w:r/>
            <w:r>
              <w:rPr>
                <w:b w:val="0"/>
              </w:rPr>
              <w:t>Direct the internal audit team to design the initial performance scorecard and define acceptable return on investment thresholds for the business unit.</w:t>
            </w:r>
          </w:p>
        </w:tc>
        <w:tc>
          <w:tcPr>
            <w:tcW w:type="dxa" w:w="5669"/>
            <w:shd w:val="clear" w:color="auto" w:fill="FFF2CC"/>
          </w:tcPr>
          <w:p>
            <w:r/>
            <w:r>
              <w:rPr>
                <w:b/>
              </w:rPr>
              <w:t>Ask the audit function to design the performance scorecard and set the return thresholds for the unit.</w:t>
            </w:r>
          </w:p>
        </w:tc>
        <w:tc>
          <w:tcPr>
            <w:tcW w:type="dxa" w:w="1361"/>
          </w:tcPr>
          <w:p>
            <w:r/>
            <w:r>
              <w:rPr>
                <w:b w:val="0"/>
                <w:color w:val="BE5000"/>
              </w:rPr>
              <w:t>✱ 已改</w:t>
            </w:r>
          </w:p>
        </w:tc>
      </w:tr>
      <w:tr>
        <w:tc>
          <w:tcPr>
            <w:tcW w:type="dxa" w:w="907"/>
          </w:tcPr>
          <w:p>
            <w:r/>
            <w:r>
              <w:rPr>
                <w:b/>
              </w:rPr>
              <w:t>D</w:t>
            </w:r>
          </w:p>
        </w:tc>
        <w:tc>
          <w:tcPr>
            <w:tcW w:type="dxa" w:w="5669"/>
          </w:tcPr>
          <w:p>
            <w:r/>
            <w:r>
              <w:rPr>
                <w:b w:val="0"/>
              </w:rPr>
              <w:t>Implement an automated benefits-tracking dashboard to monitor real-time financial returns and operational cost savings across advisory channels.</w:t>
            </w:r>
          </w:p>
        </w:tc>
        <w:tc>
          <w:tcPr>
            <w:tcW w:type="dxa" w:w="5669"/>
            <w:shd w:val="clear" w:color="auto" w:fill="FFF2CC"/>
          </w:tcPr>
          <w:p>
            <w:r/>
            <w:r>
              <w:rPr>
                <w:b/>
              </w:rPr>
              <w:t>Set up a monthly report of financial returns and operating cost savings for each advisory channel.</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6.2) and NIST AI RMF (GOVERN 1.1, 1.2), the foundational initial step in value realization and business case governance is establishing measurable AI objectives and balanced key performance indicators (KPIs/KRIs) that align with corporate strategy and organizational risk appetite. Without top-down strategic objectives and governance criteria, value realization cannot be meaningfully measured, justified, or monitored.</w:t>
      </w:r>
    </w:p>
    <w:p>
      <w:pPr>
        <w:spacing w:after="60"/>
      </w:pPr>
      <w:r>
        <w:rPr>
          <w:b/>
          <w:i w:val="0"/>
          <w:sz w:val="18"/>
        </w:rPr>
        <w:t>改写后的错误选项解析与错误类型：</w:t>
      </w:r>
    </w:p>
    <w:p>
      <w:pPr>
        <w:spacing w:after="60"/>
      </w:pPr>
      <w:r>
        <w:rPr>
          <w:b w:val="0"/>
          <w:i w:val="0"/>
          <w:sz w:val="18"/>
        </w:rPr>
        <w:t xml:space="preserve">  A（已改）A: Current response times are a useful reference, but they say nothing about the objectives and indicators the business case must define.　【类型：Reference measurement before objectives】</w:t>
      </w:r>
    </w:p>
    <w:p>
      <w:pPr>
        <w:spacing w:after="60"/>
      </w:pPr>
      <w:r>
        <w:rPr>
          <w:b w:val="0"/>
          <w:i w:val="0"/>
          <w:sz w:val="18"/>
        </w:rPr>
        <w:t xml:space="preserve">  C（已改）C: Audit must stay independent, and scorecards and thresholds are set by management.　【类型：Audit designing the scorecard】</w:t>
      </w:r>
    </w:p>
    <w:p>
      <w:pPr>
        <w:spacing w:after="60"/>
      </w:pPr>
      <w:r>
        <w:rPr>
          <w:b w:val="0"/>
          <w:i w:val="0"/>
          <w:sz w:val="18"/>
        </w:rPr>
        <w:t xml:space="preserve">  D（已改）D: Tracking benefits is needed later, but it needs the objectives and indicators to define what is tracked.　【类型：Tracking before definition】</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5. 第十五批（D3.2） · FIRST · D3.2 Business Case, Value Realization &amp; ROI</w:t>
      </w:r>
    </w:p>
    <w:p>
      <w:pPr>
        <w:spacing w:after="60"/>
      </w:pPr>
      <w:r>
        <w:rPr>
          <w:b w:val="0"/>
          <w:i w:val="0"/>
          <w:color w:val="5A5A5A"/>
          <w:sz w:val="17"/>
        </w:rPr>
        <w:t>ID：aaig-pipe-1791943736083-151-32qho　难度：Director-Level</w:t>
      </w:r>
    </w:p>
    <w:p>
      <w:pPr>
        <w:spacing w:after="60"/>
      </w:pPr>
      <w:r>
        <w:rPr>
          <w:b w:val="0"/>
          <w:i w:val="0"/>
        </w:rPr>
        <w:t>情境：A multinational enterprise is launching a portfolio of high-impact AI initiatives across multiple business units to optimize operational efficiency and drive revenue growth. To govern capital allocation, the AI Steering Committee must establish an enterprise-wide value realization and business case evaluation framework aligned with ISO/IEC 42001 and NIST AI RMF.</w:t>
      </w:r>
    </w:p>
    <w:p>
      <w:pPr>
        <w:spacing w:after="60"/>
      </w:pPr>
      <w:r>
        <w:rPr>
          <w:b/>
          <w:i w:val="0"/>
        </w:rPr>
        <w:t>问题：What should the AI Steering Committee do FIRST to ensure sound governance over business cases and expected ROI?</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an automated performance monitoring platform to track algorithmic efficiency and compute expenditure metrics.</w:t>
            </w:r>
          </w:p>
        </w:tc>
        <w:tc>
          <w:tcPr>
            <w:tcW w:type="dxa" w:w="5669"/>
            <w:shd w:val="clear" w:color="auto" w:fill="FFF2CC"/>
          </w:tcPr>
          <w:p>
            <w:r/>
            <w:r>
              <w:rPr>
                <w:b/>
              </w:rPr>
              <w:t>Choose a single financial return model for every AI project and ask the sponsors to use it in their cases.</w:t>
            </w:r>
          </w:p>
        </w:tc>
        <w:tc>
          <w:tcPr>
            <w:tcW w:type="dxa" w:w="1361"/>
          </w:tcPr>
          <w:p>
            <w:r/>
            <w:r>
              <w:rPr>
                <w:b w:val="0"/>
                <w:color w:val="BE5000"/>
              </w:rPr>
              <w:t>✱ 已改</w:t>
            </w:r>
          </w:p>
        </w:tc>
      </w:tr>
      <w:tr>
        <w:tc>
          <w:tcPr>
            <w:tcW w:type="dxa" w:w="907"/>
          </w:tcPr>
          <w:p>
            <w:r/>
            <w:r>
              <w:rPr>
                <w:b/>
              </w:rPr>
              <w:t>B</w:t>
            </w:r>
          </w:p>
        </w:tc>
        <w:tc>
          <w:tcPr>
            <w:tcW w:type="dxa" w:w="5669"/>
          </w:tcPr>
          <w:p>
            <w:r/>
            <w:r>
              <w:rPr>
                <w:b w:val="0"/>
              </w:rPr>
              <w:t>Perform formal cost-benefit audits and post-implementation reviews on initial exploratory AI pilot deployments.</w:t>
            </w:r>
          </w:p>
        </w:tc>
        <w:tc>
          <w:tcPr>
            <w:tcW w:type="dxa" w:w="5669"/>
            <w:shd w:val="clear" w:color="auto" w:fill="FFF2CC"/>
          </w:tcPr>
          <w:p>
            <w:r/>
            <w:r>
              <w:rPr>
                <w:b/>
              </w:rPr>
              <w:t>Review the cost and benefit of the first exploratory AI pilots once they have finished.</w:t>
            </w:r>
          </w:p>
        </w:tc>
        <w:tc>
          <w:tcPr>
            <w:tcW w:type="dxa" w:w="1361"/>
          </w:tcPr>
          <w:p>
            <w:r/>
            <w:r>
              <w:rPr>
                <w:b w:val="0"/>
                <w:color w:val="BE5000"/>
              </w:rPr>
              <w:t>✱ 已改</w:t>
            </w:r>
          </w:p>
        </w:tc>
      </w:tr>
      <w:tr>
        <w:tc>
          <w:tcPr>
            <w:tcW w:type="dxa" w:w="907"/>
          </w:tcPr>
          <w:p>
            <w:r/>
            <w:r>
              <w:rPr>
                <w:b/>
              </w:rPr>
              <w:t>C</w:t>
            </w:r>
          </w:p>
        </w:tc>
        <w:tc>
          <w:tcPr>
            <w:tcW w:type="dxa" w:w="5669"/>
          </w:tcPr>
          <w:p>
            <w:r/>
            <w:r>
              <w:rPr>
                <w:b w:val="0"/>
              </w:rPr>
              <w:t>Authorize individual business unit owners to independently establish their own hurdle rates and financial return criteria.</w:t>
            </w:r>
          </w:p>
        </w:tc>
        <w:tc>
          <w:tcPr>
            <w:tcW w:type="dxa" w:w="5669"/>
            <w:shd w:val="clear" w:color="auto" w:fill="FFF2CC"/>
          </w:tcPr>
          <w:p>
            <w:r/>
            <w:r>
              <w:rPr>
                <w:b/>
              </w:rPr>
              <w:t>Let each business unit set its own hurdle rate and financial return criteria for AI projects.</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Define standardized value and risk metrics aligned with enterprise strategic objectives and risk appetite.</w:t>
            </w:r>
          </w:p>
        </w:tc>
        <w:tc>
          <w:tcPr>
            <w:tcW w:type="dxa" w:w="5669"/>
            <w:shd w:val="clear" w:color="auto" w:fill="FFF2CC"/>
          </w:tcPr>
          <w:p>
            <w:r/>
            <w:r>
              <w:rPr>
                <w:b/>
              </w:rPr>
              <w:t>Define standard value and risk measures that follow the enterprise's strategic objectives.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主解析（未改动）：When launching an enterprise-wide AI portfolio where common evaluation criteria do not yet exist, the AI Steering Committee—acting under authority delegated by top management and the governing body—should first define standardized value realization and risk evaluation metrics aligned with organizational strategy and risk appetite. Establishing consistent evaluation criteria precedes deploying operational telemetry (Option A) or conducting post-implementation reviews (Option B), and prevents fragmented, unaligned hurdle rates across business units (Option C).</w:t>
      </w:r>
    </w:p>
    <w:p>
      <w:pPr>
        <w:spacing w:after="60"/>
      </w:pPr>
      <w:r>
        <w:rPr>
          <w:b/>
          <w:i w:val="0"/>
          <w:sz w:val="18"/>
        </w:rPr>
        <w:t>改写后的错误选项解析与错误类型：</w:t>
      </w:r>
    </w:p>
    <w:p>
      <w:pPr>
        <w:spacing w:after="60"/>
      </w:pPr>
      <w:r>
        <w:rPr>
          <w:b w:val="0"/>
          <w:i w:val="0"/>
          <w:sz w:val="18"/>
        </w:rPr>
        <w:t xml:space="preserve">  A（已改）A: A single return model helps comparison, but value and risk measures must first follow the strategic objectives.　【类型：Return model before measures】</w:t>
      </w:r>
    </w:p>
    <w:p>
      <w:pPr>
        <w:spacing w:after="60"/>
      </w:pPr>
      <w:r>
        <w:rPr>
          <w:b w:val="0"/>
          <w:i w:val="0"/>
          <w:sz w:val="18"/>
        </w:rPr>
        <w:t xml:space="preserve">  B（已改）B: A review of finished pilots is a lesson-learning step, but it follows, and does not replace, the measures the business cases are held to.　【类型：Review of pilots first】</w:t>
      </w:r>
    </w:p>
    <w:p>
      <w:pPr>
        <w:spacing w:after="60"/>
      </w:pPr>
      <w:r>
        <w:rPr>
          <w:b w:val="0"/>
          <w:i w:val="0"/>
          <w:sz w:val="18"/>
        </w:rPr>
        <w:t xml:space="preserve">  C（已改）C: Separate hurdle rates make business cases incomparable and weaken portfolio decisions.　【类型：Separate hurdle rates】</w:t>
      </w:r>
    </w:p>
    <w:p>
      <w:pPr>
        <w:spacing w:after="60"/>
      </w:pPr>
      <w:r>
        <w:rPr>
          <w:b w:val="0"/>
          <w:i w:val="0"/>
          <w:color w:val="5A5A5A"/>
          <w:sz w:val="17"/>
        </w:rPr>
        <w:t>出处（沿用原文，未核验）：NIST AI RMF 1.0 GOVERN 1.2 &amp; MAP 1.3; ISO/IEC 42001:2023 (verify Cl. 6.2 objectives requirements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6. 第十五批（D2.1 手写题） · FIRST · D2.1 Data Governance &amp; Data Quality for AI</w:t>
      </w:r>
    </w:p>
    <w:p>
      <w:pPr>
        <w:spacing w:after="60"/>
      </w:pPr>
      <w:r>
        <w:rPr>
          <w:b w:val="0"/>
          <w:i w:val="0"/>
          <w:color w:val="5A5A5A"/>
          <w:sz w:val="17"/>
        </w:rPr>
        <w:t>ID：aaig-d2s-001　难度：Intermediate</w:t>
      </w:r>
    </w:p>
    <w:p>
      <w:pPr>
        <w:spacing w:after="60"/>
      </w:pPr>
      <w:r>
        <w:rPr>
          <w:b w:val="0"/>
          <w:i w:val="0"/>
        </w:rPr>
        <w:t>情境：A hospital network plans to train a sepsis early-warning model on electronic health record data from four hospitals. The data team reports that laboratory code mappings differ between sites and that missing-value rates vary widely by hospital.</w:t>
      </w:r>
    </w:p>
    <w:p>
      <w:pPr>
        <w:spacing w:after="60"/>
      </w:pPr>
      <w:r>
        <w:rPr>
          <w:b/>
          <w:i w:val="0"/>
        </w:rPr>
        <w:t>问题：What should the AI governance lead do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Define data quality criteria for the intended clinical use and assign accountable data owners.</w:t>
            </w:r>
          </w:p>
        </w:tc>
        <w:tc>
          <w:tcPr>
            <w:tcW w:type="dxa" w:w="5669"/>
            <w:shd w:val="clear" w:color="auto" w:fill="FFF2CC"/>
          </w:tcPr>
          <w:p>
            <w:r/>
            <w:r>
              <w:rPr>
                <w:b/>
              </w:rPr>
              <w:t>Define data quality criteria for the intended clinical use and name who is answerable for each data source.</w:t>
            </w:r>
          </w:p>
        </w:tc>
        <w:tc>
          <w:tcPr>
            <w:tcW w:type="dxa" w:w="1361"/>
          </w:tcPr>
          <w:p>
            <w:r/>
            <w:r>
              <w:rPr>
                <w:b w:val="0"/>
                <w:color w:val="BE5000"/>
              </w:rPr>
              <w:t>✱ 已改</w:t>
            </w:r>
          </w:p>
        </w:tc>
      </w:tr>
      <w:tr>
        <w:tc>
          <w:tcPr>
            <w:tcW w:type="dxa" w:w="907"/>
          </w:tcPr>
          <w:p>
            <w:r/>
            <w:r>
              <w:rPr>
                <w:b/>
              </w:rPr>
              <w:t>B</w:t>
            </w:r>
          </w:p>
        </w:tc>
        <w:tc>
          <w:tcPr>
            <w:tcW w:type="dxa" w:w="5669"/>
          </w:tcPr>
          <w:p>
            <w:r/>
            <w:r>
              <w:rPr>
                <w:b w:val="0"/>
              </w:rPr>
              <w:t>Impute missing laboratory values with the network-wide median so that model training can begin on schedule.</w:t>
            </w:r>
          </w:p>
        </w:tc>
        <w:tc>
          <w:tcPr>
            <w:tcW w:type="dxa" w:w="5669"/>
          </w:tcPr>
          <w:p>
            <w:r/>
            <w:r>
              <w:rPr>
                <w:b w:val="0"/>
              </w:rPr>
              <w:t>Impute missing laboratory values with the network-wide median so that model training can begin on schedule.</w:t>
            </w:r>
          </w:p>
        </w:tc>
        <w:tc>
          <w:tcPr>
            <w:tcW w:type="dxa" w:w="1361"/>
          </w:tcPr>
          <w:p>
            <w:r/>
            <w:r>
              <w:rPr>
                <w:b w:val="0"/>
                <w:color w:val="787878"/>
              </w:rPr>
              <w:t>未改</w:t>
            </w:r>
          </w:p>
        </w:tc>
      </w:tr>
      <w:tr>
        <w:tc>
          <w:tcPr>
            <w:tcW w:type="dxa" w:w="907"/>
          </w:tcPr>
          <w:p>
            <w:r/>
            <w:r>
              <w:rPr>
                <w:b/>
              </w:rPr>
              <w:t>C</w:t>
            </w:r>
          </w:p>
        </w:tc>
        <w:tc>
          <w:tcPr>
            <w:tcW w:type="dxa" w:w="5669"/>
          </w:tcPr>
          <w:p>
            <w:r/>
            <w:r>
              <w:rPr>
                <w:b w:val="0"/>
              </w:rPr>
              <w:t>Purchase a commercial data-cleansing platform and mandate its use for all clinical data feeds in the network.</w:t>
            </w:r>
          </w:p>
        </w:tc>
        <w:tc>
          <w:tcPr>
            <w:tcW w:type="dxa" w:w="5669"/>
          </w:tcPr>
          <w:p>
            <w:r/>
            <w:r>
              <w:rPr>
                <w:b w:val="0"/>
              </w:rPr>
              <w:t>Purchase a commercial data-cleansing platform and mandate its use for all clinical data feeds in the network.</w:t>
            </w:r>
          </w:p>
        </w:tc>
        <w:tc>
          <w:tcPr>
            <w:tcW w:type="dxa" w:w="1361"/>
          </w:tcPr>
          <w:p>
            <w:r/>
            <w:r>
              <w:rPr>
                <w:b w:val="0"/>
                <w:color w:val="787878"/>
              </w:rPr>
              <w:t>未改</w:t>
            </w:r>
          </w:p>
        </w:tc>
      </w:tr>
      <w:tr>
        <w:tc>
          <w:tcPr>
            <w:tcW w:type="dxa" w:w="907"/>
          </w:tcPr>
          <w:p>
            <w:r/>
            <w:r>
              <w:rPr>
                <w:b/>
              </w:rPr>
              <w:t>D</w:t>
            </w:r>
          </w:p>
        </w:tc>
        <w:tc>
          <w:tcPr>
            <w:tcW w:type="dxa" w:w="5669"/>
          </w:tcPr>
          <w:p>
            <w:r/>
            <w:r>
              <w:rPr>
                <w:b w:val="0"/>
              </w:rPr>
              <w:t>Train separate site-specific models so that inconsistencies in one hospital cannot affect the other hospitals.</w:t>
            </w:r>
          </w:p>
        </w:tc>
        <w:tc>
          <w:tcPr>
            <w:tcW w:type="dxa" w:w="5669"/>
          </w:tcPr>
          <w:p>
            <w:r/>
            <w:r>
              <w:rPr>
                <w:b w:val="0"/>
              </w:rPr>
              <w:t>Train separate site-specific models so that inconsistencies in one hospital cannot affect the other hospitals.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主解析（未改动）：Data quality is judged against the intended purpose. Before remediation starts, the organization must define what "fit for purpose" means for this clinical use (completeness, consistency, representativeness, accuracy) and assign data owners who are accountable for meeting those criteria. Imputation, tooling and architecture choices (Option B, Option C and Option D) are remediation decisions that depend on those criteria.</w:t>
      </w:r>
    </w:p>
    <w:p>
      <w:pPr>
        <w:spacing w:after="60"/>
      </w:pPr>
      <w:r>
        <w:rPr>
          <w:b/>
          <w:i w:val="0"/>
          <w:sz w:val="18"/>
        </w:rPr>
        <w:t>改写后的错误选项解析与错误类型：</w:t>
      </w:r>
    </w:p>
    <w:p>
      <w:pPr>
        <w:spacing w:after="60"/>
      </w:pPr>
      <w:r>
        <w:rPr>
          <w:b w:val="0"/>
          <w:i w:val="0"/>
          <w:sz w:val="18"/>
        </w:rPr>
        <w:t xml:space="preserve">  B（未改）B: Median imputation is a technical fix applied before criteria exist. Because missingness differs by site, it can also introduce bias.　【类型：Imputation to meet the schedule】</w:t>
      </w:r>
    </w:p>
    <w:p>
      <w:pPr>
        <w:spacing w:after="60"/>
      </w:pPr>
      <w:r>
        <w:rPr>
          <w:b w:val="0"/>
          <w:i w:val="0"/>
          <w:sz w:val="18"/>
        </w:rPr>
        <w:t xml:space="preserve">  C（未改）C: Buying a tool before requirements and ownership are defined puts technology ahead of governance.　【类型：Tool purchase before criteria】</w:t>
      </w:r>
    </w:p>
    <w:p>
      <w:pPr>
        <w:spacing w:after="60"/>
      </w:pPr>
      <w:r>
        <w:rPr>
          <w:b w:val="0"/>
          <w:i w:val="0"/>
          <w:sz w:val="18"/>
        </w:rPr>
        <w:t xml:space="preserve">  D（未改）D: Site-specific models work around the data inconsistency instead of governing it, and fragment oversight.　【类型：Isolating sites instead of fixing quality】</w:t>
      </w:r>
    </w:p>
    <w:p>
      <w:pPr>
        <w:spacing w:after="60"/>
      </w:pPr>
      <w:r>
        <w:rPr>
          <w:b w:val="0"/>
          <w:i w:val="0"/>
          <w:color w:val="5A5A5A"/>
          <w:sz w:val="17"/>
        </w:rPr>
        <w:t>出处（沿用原文，未核验）：NIST AI RMF 1.0 MAP 2.3; EU AI Act Art. 10(2)–(3); ISO/IEC 42001:2023 Annex A.7.4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7. 第十五批（D2.1 手写题） · LEAST · D2.1 Data Governance &amp; Data Quality for AI</w:t>
      </w:r>
    </w:p>
    <w:p>
      <w:pPr>
        <w:spacing w:after="60"/>
      </w:pPr>
      <w:r>
        <w:rPr>
          <w:b w:val="0"/>
          <w:i w:val="0"/>
          <w:color w:val="5A5A5A"/>
          <w:sz w:val="17"/>
        </w:rPr>
        <w:t>ID：aaig-d2s-004　难度：Fundamental</w:t>
      </w:r>
    </w:p>
    <w:p>
      <w:pPr>
        <w:spacing w:after="60"/>
      </w:pPr>
      <w:r>
        <w:rPr>
          <w:b w:val="0"/>
          <w:i w:val="0"/>
        </w:rPr>
        <w:t>情境：A public employment agency is building a model to prioritize job seekers for intensive support and is treating it as a high-risk system. Its draft data governance procedure for the training data is under review.</w:t>
      </w:r>
    </w:p>
    <w:p>
      <w:pPr>
        <w:spacing w:after="60"/>
      </w:pPr>
      <w:r>
        <w:rPr>
          <w:b/>
          <w:i w:val="0"/>
        </w:rPr>
        <w:t>问题：Which proposed practice is LEAST appropriate?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Letting data scientists relabel ambiguous historical outcomes ad hoc without recording changes.</w:t>
            </w:r>
          </w:p>
        </w:tc>
        <w:tc>
          <w:tcPr>
            <w:tcW w:type="dxa" w:w="5669"/>
            <w:shd w:val="clear" w:color="auto" w:fill="FFF2CC"/>
          </w:tcPr>
          <w:p>
            <w:r/>
            <w:r>
              <w:rPr>
                <w:b/>
              </w:rPr>
              <w:t>Letting the modelling team relabel ambiguous historical outcomes as it sees fit, with no record.</w:t>
            </w:r>
          </w:p>
        </w:tc>
        <w:tc>
          <w:tcPr>
            <w:tcW w:type="dxa" w:w="1361"/>
          </w:tcPr>
          <w:p>
            <w:r/>
            <w:r>
              <w:rPr>
                <w:b w:val="0"/>
                <w:color w:val="BE5000"/>
              </w:rPr>
              <w:t>✱ 已改</w:t>
            </w:r>
          </w:p>
        </w:tc>
      </w:tr>
      <w:tr>
        <w:tc>
          <w:tcPr>
            <w:tcW w:type="dxa" w:w="907"/>
          </w:tcPr>
          <w:p>
            <w:r/>
            <w:r>
              <w:rPr>
                <w:b/>
              </w:rPr>
              <w:t>B</w:t>
            </w:r>
          </w:p>
        </w:tc>
        <w:tc>
          <w:tcPr>
            <w:tcW w:type="dxa" w:w="5669"/>
          </w:tcPr>
          <w:p>
            <w:r/>
            <w:r>
              <w:rPr>
                <w:b w:val="0"/>
              </w:rPr>
              <w:t>Recording the original purpose for which each personal data source was collected before its reuse.</w:t>
            </w:r>
          </w:p>
        </w:tc>
        <w:tc>
          <w:tcPr>
            <w:tcW w:type="dxa" w:w="5669"/>
          </w:tcPr>
          <w:p>
            <w:r/>
            <w:r>
              <w:rPr>
                <w:b w:val="0"/>
              </w:rPr>
              <w:t>Recording the original purpose for which each personal data source was collected before its reuse.</w:t>
            </w:r>
          </w:p>
        </w:tc>
        <w:tc>
          <w:tcPr>
            <w:tcW w:type="dxa" w:w="1361"/>
          </w:tcPr>
          <w:p>
            <w:r/>
            <w:r>
              <w:rPr>
                <w:b w:val="0"/>
                <w:color w:val="787878"/>
              </w:rPr>
              <w:t>未改</w:t>
            </w:r>
          </w:p>
        </w:tc>
      </w:tr>
      <w:tr>
        <w:tc>
          <w:tcPr>
            <w:tcW w:type="dxa" w:w="907"/>
          </w:tcPr>
          <w:p>
            <w:r/>
            <w:r>
              <w:rPr>
                <w:b/>
              </w:rPr>
              <w:t>C</w:t>
            </w:r>
          </w:p>
        </w:tc>
        <w:tc>
          <w:tcPr>
            <w:tcW w:type="dxa" w:w="5669"/>
          </w:tcPr>
          <w:p>
            <w:r/>
            <w:r>
              <w:rPr>
                <w:b w:val="0"/>
              </w:rPr>
              <w:t>Documenting known data gaps and how they could affect outcomes for specific job-seeker groups.</w:t>
            </w:r>
          </w:p>
        </w:tc>
        <w:tc>
          <w:tcPr>
            <w:tcW w:type="dxa" w:w="5669"/>
          </w:tcPr>
          <w:p>
            <w:r/>
            <w:r>
              <w:rPr>
                <w:b w:val="0"/>
              </w:rPr>
              <w:t>Documenting known data gaps and how they could affect outcomes for specific job-seeker groups.</w:t>
            </w:r>
          </w:p>
        </w:tc>
        <w:tc>
          <w:tcPr>
            <w:tcW w:type="dxa" w:w="1361"/>
          </w:tcPr>
          <w:p>
            <w:r/>
            <w:r>
              <w:rPr>
                <w:b w:val="0"/>
                <w:color w:val="787878"/>
              </w:rPr>
              <w:t>未改</w:t>
            </w:r>
          </w:p>
        </w:tc>
      </w:tr>
      <w:tr>
        <w:tc>
          <w:tcPr>
            <w:tcW w:type="dxa" w:w="907"/>
          </w:tcPr>
          <w:p>
            <w:r/>
            <w:r>
              <w:rPr>
                <w:b/>
              </w:rPr>
              <w:t>D</w:t>
            </w:r>
          </w:p>
        </w:tc>
        <w:tc>
          <w:tcPr>
            <w:tcW w:type="dxa" w:w="5669"/>
          </w:tcPr>
          <w:p>
            <w:r/>
            <w:r>
              <w:rPr>
                <w:b w:val="0"/>
              </w:rPr>
              <w:t>Requiring business data owner approval for changes to the outcome labelling guidelines.</w:t>
            </w:r>
          </w:p>
        </w:tc>
        <w:tc>
          <w:tcPr>
            <w:tcW w:type="dxa" w:w="5669"/>
          </w:tcPr>
          <w:p>
            <w:r/>
            <w:r>
              <w:rPr>
                <w:b w:val="0"/>
              </w:rPr>
              <w:t>Requiring business data owner approval for changes to the outcome labelling guidelines.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主解析（未改动）：Labelling and annotation are data preparation operations that must be governed. Undocumented, ad hoc relabeling breaks lineage and reproducibility and can introduce bias that cannot be detected later. Recording original purpose (Option B), documenting data gaps (Option C) and owner approval of labelling guidelines (Option D) are all sound governance practices.</w:t>
      </w:r>
    </w:p>
    <w:p>
      <w:pPr>
        <w:spacing w:after="60"/>
      </w:pPr>
      <w:r>
        <w:rPr>
          <w:b/>
          <w:i w:val="0"/>
          <w:sz w:val="18"/>
        </w:rPr>
        <w:t>改写后的错误选项解析与错误类型：</w:t>
      </w:r>
    </w:p>
    <w:p>
      <w:pPr>
        <w:spacing w:after="60"/>
      </w:pPr>
      <w:r>
        <w:rPr>
          <w:b w:val="0"/>
          <w:i w:val="0"/>
          <w:sz w:val="18"/>
        </w:rPr>
        <w:t xml:space="preserve">  B（未改）B: Recording the original collection purpose supports purpose-compatibility assessment and is appropriate.　【类型：Sound practice: recording the original purpose before reuse】</w:t>
      </w:r>
    </w:p>
    <w:p>
      <w:pPr>
        <w:spacing w:after="60"/>
      </w:pPr>
      <w:r>
        <w:rPr>
          <w:b w:val="0"/>
          <w:i w:val="0"/>
          <w:sz w:val="18"/>
        </w:rPr>
        <w:t xml:space="preserve">  C（未改）C: Identifying data gaps and their effect on groups is an expected data governance practice.　【类型：Sound practice: documenting data gaps and their effects】</w:t>
      </w:r>
    </w:p>
    <w:p>
      <w:pPr>
        <w:spacing w:after="60"/>
      </w:pPr>
      <w:r>
        <w:rPr>
          <w:b w:val="0"/>
          <w:i w:val="0"/>
          <w:sz w:val="18"/>
        </w:rPr>
        <w:t xml:space="preserve">  D（未改）D: Owner approval of labelling guideline changes keeps label definitions under accountable control.　【类型：Sound practice: owner approval of labelling changes】</w:t>
      </w:r>
    </w:p>
    <w:p>
      <w:pPr>
        <w:spacing w:after="60"/>
      </w:pPr>
      <w:r>
        <w:rPr>
          <w:b w:val="0"/>
          <w:i w:val="0"/>
          <w:color w:val="5A5A5A"/>
          <w:sz w:val="17"/>
        </w:rPr>
        <w:t>出处（沿用原文，未核验）：EU AI Act Art. 10(2)(b), (c) &amp; (h); NIST AI RMF 1.0 MAP 2.3.</w:t>
      </w:r>
    </w:p>
    <w:p>
      <w:pPr>
        <w:spacing w:after="60"/>
      </w:pPr>
      <w:r>
        <w:rPr>
          <w:b w:val="0"/>
          <w:i w:val="0"/>
          <w:sz w:val="19"/>
        </w:rPr>
        <w:t>复核：□ 最不合适的做法（正确答案）仍明确不合适，且不靠措辞暗示　□ 三个合理做法确实合理　□ 新措辞未改变原意</w:t>
      </w:r>
    </w:p>
    <w:p>
      <w:pPr>
        <w:spacing w:after="60"/>
      </w:pPr>
      <w:r>
        <w:rPr>
          <w:b w:val="0"/>
          <w:i w:val="0"/>
          <w:sz w:val="19"/>
        </w:rPr>
        <w:t>决定：□ 通过　□ 修改（见意见）　□ 恢复原文　　意见：______________________________________________</w:t>
      </w:r>
    </w:p>
    <w:p>
      <w:r>
        <w:br w:type="page"/>
      </w:r>
    </w:p>
    <w:p>
      <w:pPr>
        <w:pStyle w:val="Heading1"/>
      </w:pPr>
      <w:r>
        <w:t>8. 第十五批（D2.1 手写题） · BEST · D2.1 Data Governance &amp; Data Quality for AI</w:t>
      </w:r>
    </w:p>
    <w:p>
      <w:pPr>
        <w:spacing w:after="60"/>
      </w:pPr>
      <w:r>
        <w:rPr>
          <w:b w:val="0"/>
          <w:i w:val="0"/>
          <w:color w:val="5A5A5A"/>
          <w:sz w:val="17"/>
        </w:rPr>
        <w:t>ID：aaig-d2s-005　难度：Intermediate</w:t>
      </w:r>
    </w:p>
    <w:p>
      <w:pPr>
        <w:spacing w:after="60"/>
      </w:pPr>
      <w:r>
        <w:rPr>
          <w:b w:val="0"/>
          <w:i w:val="0"/>
        </w:rPr>
        <w:t>情境：A telecommunications company is building an enterprise churn model. Each business unit has its own definition of an "active customer", so the same customer can carry conflicting churn labels in different source systems.</w:t>
      </w:r>
    </w:p>
    <w:p>
      <w:pPr>
        <w:spacing w:after="60"/>
      </w:pPr>
      <w:r>
        <w:rPr>
          <w:b/>
          <w:i w:val="0"/>
        </w:rPr>
        <w:t>问题：Which is the BEST governance action to resolve the conflicting labels?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Let each business unit keep its own definition and train a separate churn model for each unit.</w:t>
            </w:r>
          </w:p>
        </w:tc>
        <w:tc>
          <w:tcPr>
            <w:tcW w:type="dxa" w:w="5669"/>
          </w:tcPr>
          <w:p>
            <w:r/>
            <w:r>
              <w:rPr>
                <w:b w:val="0"/>
              </w:rPr>
              <w:t>Let each business unit keep its own definition and train a separate churn model for each unit.</w:t>
            </w:r>
          </w:p>
        </w:tc>
        <w:tc>
          <w:tcPr>
            <w:tcW w:type="dxa" w:w="1361"/>
          </w:tcPr>
          <w:p>
            <w:r/>
            <w:r>
              <w:rPr>
                <w:b w:val="0"/>
                <w:color w:val="787878"/>
              </w:rPr>
              <w:t>未改</w:t>
            </w:r>
          </w:p>
        </w:tc>
      </w:tr>
      <w:tr>
        <w:tc>
          <w:tcPr>
            <w:tcW w:type="dxa" w:w="907"/>
          </w:tcPr>
          <w:p>
            <w:r/>
            <w:r>
              <w:rPr>
                <w:b/>
              </w:rPr>
              <w:t>B</w:t>
            </w:r>
          </w:p>
        </w:tc>
        <w:tc>
          <w:tcPr>
            <w:tcW w:type="dxa" w:w="5669"/>
          </w:tcPr>
          <w:p>
            <w:r/>
            <w:r>
              <w:rPr>
                <w:b w:val="0"/>
              </w:rPr>
              <w:t>Have the data science team pick the definition that produces the highest validation accuracy.</w:t>
            </w:r>
          </w:p>
        </w:tc>
        <w:tc>
          <w:tcPr>
            <w:tcW w:type="dxa" w:w="5669"/>
          </w:tcPr>
          <w:p>
            <w:r/>
            <w:r>
              <w:rPr>
                <w:b w:val="0"/>
              </w:rPr>
              <w:t>Have the data science team pick the definition that produces the highest validation accuracy.</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Establish one enterprise glossary definition approved by an accountable business data owner.</w:t>
            </w:r>
          </w:p>
        </w:tc>
        <w:tc>
          <w:tcPr>
            <w:tcW w:type="dxa" w:w="5669"/>
            <w:shd w:val="clear" w:color="auto" w:fill="FFF2CC"/>
          </w:tcPr>
          <w:p>
            <w:r/>
            <w:r>
              <w:rPr>
                <w:b/>
              </w:rPr>
              <w:t>Establish one enterprise glossary definition, approved by the responsible business lead.</w:t>
            </w:r>
          </w:p>
        </w:tc>
        <w:tc>
          <w:tcPr>
            <w:tcW w:type="dxa" w:w="1361"/>
          </w:tcPr>
          <w:p>
            <w:r/>
            <w:r>
              <w:rPr>
                <w:b w:val="0"/>
                <w:color w:val="BE5000"/>
              </w:rPr>
              <w:t>✱ 已改</w:t>
            </w:r>
          </w:p>
        </w:tc>
      </w:tr>
      <w:tr>
        <w:tc>
          <w:tcPr>
            <w:tcW w:type="dxa" w:w="907"/>
          </w:tcPr>
          <w:p>
            <w:r/>
            <w:r>
              <w:rPr>
                <w:b/>
              </w:rPr>
              <w:t>D</w:t>
            </w:r>
          </w:p>
        </w:tc>
        <w:tc>
          <w:tcPr>
            <w:tcW w:type="dxa" w:w="5669"/>
          </w:tcPr>
          <w:p>
            <w:r/>
            <w:r>
              <w:rPr>
                <w:b w:val="0"/>
              </w:rPr>
              <w:t>Combine the business unit definitions into one label using a majority-vote rule per customer.</w:t>
            </w:r>
          </w:p>
        </w:tc>
        <w:tc>
          <w:tcPr>
            <w:tcW w:type="dxa" w:w="5669"/>
          </w:tcPr>
          <w:p>
            <w:r/>
            <w:r>
              <w:rPr>
                <w:b w:val="0"/>
              </w:rPr>
              <w:t>Combine the business unit definitions into one label using a majority-vote rule per customer.</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主解析（未改动）：What counts as an "active customer" is a business definition, so it should be governed through an enterprise business glossary and approved by an accountable data owner. A single governed definition makes labels consistent and gives the model a clear construct to predict. Choosing the label that maximizes accuracy (Option B) undermines construct validity. Separate models (Option A) and majority voting (Option D) avoid making the decision.</w:t>
      </w:r>
    </w:p>
    <w:p>
      <w:pPr>
        <w:spacing w:after="60"/>
      </w:pPr>
      <w:r>
        <w:rPr>
          <w:b/>
          <w:i w:val="0"/>
          <w:sz w:val="18"/>
        </w:rPr>
        <w:t>改写后的错误选项解析与错误类型：</w:t>
      </w:r>
    </w:p>
    <w:p>
      <w:pPr>
        <w:spacing w:after="60"/>
      </w:pPr>
      <w:r>
        <w:rPr>
          <w:b w:val="0"/>
          <w:i w:val="0"/>
          <w:sz w:val="18"/>
        </w:rPr>
        <w:t xml:space="preserve">  A（未改）A: Separate models keep the semantic conflict in place and fragment governance.　【类型：Separate definitions per unit】</w:t>
      </w:r>
    </w:p>
    <w:p>
      <w:pPr>
        <w:spacing w:after="60"/>
      </w:pPr>
      <w:r>
        <w:rPr>
          <w:b w:val="0"/>
          <w:i w:val="0"/>
          <w:sz w:val="18"/>
        </w:rPr>
        <w:t xml:space="preserve">  B（未改）B: Optimizing the label for accuracy is metric gaming. The definition must reflect business meaning.　【类型：Definition chosen by model accuracy】</w:t>
      </w:r>
    </w:p>
    <w:p>
      <w:pPr>
        <w:spacing w:after="60"/>
      </w:pPr>
      <w:r>
        <w:rPr>
          <w:b w:val="0"/>
          <w:i w:val="0"/>
          <w:sz w:val="18"/>
        </w:rPr>
        <w:t xml:space="preserve">  D（未改）D: A mechanical majority rule produces a label that no accountable owner has defined or approved.　【类型：Mechanical merge of conflicting labels】</w:t>
      </w:r>
    </w:p>
    <w:p>
      <w:pPr>
        <w:spacing w:after="60"/>
      </w:pPr>
      <w:r>
        <w:rPr>
          <w:b w:val="0"/>
          <w:i w:val="0"/>
          <w:color w:val="5A5A5A"/>
          <w:sz w:val="17"/>
        </w:rPr>
        <w:t>出处（沿用原文，未核验）：COBIT 2019 APO14 (Managed Data); NIST AI RMF 1.0 MAP 2.3 (construct validation).</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9. 第十五批（D2.1 手写题） · PRIMARY · D2.1 Data Governance &amp; Data Quality for AI</w:t>
      </w:r>
    </w:p>
    <w:p>
      <w:pPr>
        <w:spacing w:after="60"/>
      </w:pPr>
      <w:r>
        <w:rPr>
          <w:b w:val="0"/>
          <w:i w:val="0"/>
          <w:color w:val="5A5A5A"/>
          <w:sz w:val="17"/>
        </w:rPr>
        <w:t>ID：aaig-d2s-007　难度：Director-Level</w:t>
      </w:r>
    </w:p>
    <w:p>
      <w:pPr>
        <w:spacing w:after="60"/>
      </w:pPr>
      <w:r>
        <w:rPr>
          <w:b w:val="0"/>
          <w:i w:val="0"/>
        </w:rPr>
        <w:t>情境：A health insurer is building a claims fraud-detection model. The data science team has proposed setting its own completeness and accuracy thresholds for the training data, while the data governance council wants business data owners to approve them.</w:t>
      </w:r>
    </w:p>
    <w:p>
      <w:pPr>
        <w:spacing w:after="60"/>
      </w:pPr>
      <w:r>
        <w:rPr>
          <w:b/>
          <w:i w:val="0"/>
        </w:rPr>
        <w:t>问题：What is the PRIMARY reason the thresholds should be approved by business data owners?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Data owners are accountable for whether data is fit for the business purpose and risk appetite.</w:t>
            </w:r>
          </w:p>
        </w:tc>
        <w:tc>
          <w:tcPr>
            <w:tcW w:type="dxa" w:w="5669"/>
            <w:shd w:val="clear" w:color="auto" w:fill="FFF2CC"/>
          </w:tcPr>
          <w:p>
            <w:r/>
            <w:r>
              <w:rPr>
                <w:b/>
              </w:rPr>
              <w:t>Data owners answer for whether data is fit for the business purpose and the firm's risk limits.</w:t>
            </w:r>
          </w:p>
        </w:tc>
        <w:tc>
          <w:tcPr>
            <w:tcW w:type="dxa" w:w="1361"/>
          </w:tcPr>
          <w:p>
            <w:r/>
            <w:r>
              <w:rPr>
                <w:b w:val="0"/>
                <w:color w:val="BE5000"/>
              </w:rPr>
              <w:t>✱ 已改</w:t>
            </w:r>
          </w:p>
        </w:tc>
      </w:tr>
      <w:tr>
        <w:tc>
          <w:tcPr>
            <w:tcW w:type="dxa" w:w="907"/>
          </w:tcPr>
          <w:p>
            <w:r/>
            <w:r>
              <w:rPr>
                <w:b/>
              </w:rPr>
              <w:t>B</w:t>
            </w:r>
          </w:p>
        </w:tc>
        <w:tc>
          <w:tcPr>
            <w:tcW w:type="dxa" w:w="5669"/>
          </w:tcPr>
          <w:p>
            <w:r/>
            <w:r>
              <w:rPr>
                <w:b w:val="0"/>
              </w:rPr>
              <w:t>Model developers usually lack the technical skills needed to measure data completeness and accuracy.</w:t>
            </w:r>
          </w:p>
        </w:tc>
        <w:tc>
          <w:tcPr>
            <w:tcW w:type="dxa" w:w="5669"/>
          </w:tcPr>
          <w:p>
            <w:r/>
            <w:r>
              <w:rPr>
                <w:b w:val="0"/>
              </w:rPr>
              <w:t>Model developers usually lack the technical skills needed to measure data completeness and accuracy.</w:t>
            </w:r>
          </w:p>
        </w:tc>
        <w:tc>
          <w:tcPr>
            <w:tcW w:type="dxa" w:w="1361"/>
          </w:tcPr>
          <w:p>
            <w:r/>
            <w:r>
              <w:rPr>
                <w:b w:val="0"/>
                <w:color w:val="787878"/>
              </w:rPr>
              <w:t>未改</w:t>
            </w:r>
          </w:p>
        </w:tc>
      </w:tr>
      <w:tr>
        <w:tc>
          <w:tcPr>
            <w:tcW w:type="dxa" w:w="907"/>
          </w:tcPr>
          <w:p>
            <w:r/>
            <w:r>
              <w:rPr>
                <w:b/>
              </w:rPr>
              <w:t>C</w:t>
            </w:r>
          </w:p>
        </w:tc>
        <w:tc>
          <w:tcPr>
            <w:tcW w:type="dxa" w:w="5669"/>
          </w:tcPr>
          <w:p>
            <w:r/>
            <w:r>
              <w:rPr>
                <w:b w:val="0"/>
              </w:rPr>
              <w:t>Data owners can lower the thresholds without escalation when delivery deadlines are at risk.</w:t>
            </w:r>
          </w:p>
        </w:tc>
        <w:tc>
          <w:tcPr>
            <w:tcW w:type="dxa" w:w="5669"/>
          </w:tcPr>
          <w:p>
            <w:r/>
            <w:r>
              <w:rPr>
                <w:b w:val="0"/>
              </w:rPr>
              <w:t>Data owners can lower the thresholds without escalation when delivery deadlines are at risk.</w:t>
            </w:r>
          </w:p>
        </w:tc>
        <w:tc>
          <w:tcPr>
            <w:tcW w:type="dxa" w:w="1361"/>
          </w:tcPr>
          <w:p>
            <w:r/>
            <w:r>
              <w:rPr>
                <w:b w:val="0"/>
                <w:color w:val="787878"/>
              </w:rPr>
              <w:t>未改</w:t>
            </w:r>
          </w:p>
        </w:tc>
      </w:tr>
      <w:tr>
        <w:tc>
          <w:tcPr>
            <w:tcW w:type="dxa" w:w="907"/>
          </w:tcPr>
          <w:p>
            <w:r/>
            <w:r>
              <w:rPr>
                <w:b/>
              </w:rPr>
              <w:t>D</w:t>
            </w:r>
          </w:p>
        </w:tc>
        <w:tc>
          <w:tcPr>
            <w:tcW w:type="dxa" w:w="5669"/>
          </w:tcPr>
          <w:p>
            <w:r/>
            <w:r>
              <w:rPr>
                <w:b w:val="0"/>
              </w:rPr>
              <w:t>Regulators require data owners to perform all data quality testing activities personally.</w:t>
            </w:r>
          </w:p>
        </w:tc>
        <w:tc>
          <w:tcPr>
            <w:tcW w:type="dxa" w:w="5669"/>
          </w:tcPr>
          <w:p>
            <w:r/>
            <w:r>
              <w:rPr>
                <w:b w:val="0"/>
              </w:rPr>
              <w:t>Regulators require data owners to perform all data quality testing activities personally.</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主解析（未改动）：Whether data is good enough is a business risk decision tied to the intended purpose and risk appetite, so it sits with the accountable data owner. Developers can measure quality, but the people who set the acceptance threshold should not be the same people who benefit from meeting it. Option B misstates the reason, Option C describes a governance bypass, and Option D overstates any regulatory requirement.</w:t>
      </w:r>
    </w:p>
    <w:p>
      <w:pPr>
        <w:spacing w:after="60"/>
      </w:pPr>
      <w:r>
        <w:rPr>
          <w:b/>
          <w:i w:val="0"/>
          <w:sz w:val="18"/>
        </w:rPr>
        <w:t>改写后的错误选项解析与错误类型：</w:t>
      </w:r>
    </w:p>
    <w:p>
      <w:pPr>
        <w:spacing w:after="60"/>
      </w:pPr>
      <w:r>
        <w:rPr>
          <w:b w:val="0"/>
          <w:i w:val="0"/>
          <w:sz w:val="18"/>
        </w:rPr>
        <w:t xml:space="preserve">  B（未改）B: The issue is accountability and segregation of duties, not developer capability.　【类型：Skills gap as the reason】</w:t>
      </w:r>
    </w:p>
    <w:p>
      <w:pPr>
        <w:spacing w:after="60"/>
      </w:pPr>
      <w:r>
        <w:rPr>
          <w:b w:val="0"/>
          <w:i w:val="0"/>
          <w:sz w:val="18"/>
        </w:rPr>
        <w:t xml:space="preserve">  C（未改）C: Lowering thresholds without escalation bypasses governance and risk appetite.　【类型：Owners lowering thresholds under deadline】</w:t>
      </w:r>
    </w:p>
    <w:p>
      <w:pPr>
        <w:spacing w:after="60"/>
      </w:pPr>
      <w:r>
        <w:rPr>
          <w:b w:val="0"/>
          <w:i w:val="0"/>
          <w:sz w:val="18"/>
        </w:rPr>
        <w:t xml:space="preserve">  D（未改）D: Owners approve thresholds. They do not have to perform every quality test themselves.　【类型：Regulatory requirement overstated】</w:t>
      </w:r>
    </w:p>
    <w:p>
      <w:pPr>
        <w:spacing w:after="60"/>
      </w:pPr>
      <w:r>
        <w:rPr>
          <w:b w:val="0"/>
          <w:i w:val="0"/>
          <w:color w:val="5A5A5A"/>
          <w:sz w:val="17"/>
        </w:rPr>
        <w:t>出处（沿用原文，未核验）：COBIT 2019 APO14 (Managed Data); NIST AI RMF 1.0 GOVERN 2.1; IIA Three Lines Model (2020).</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10. 第十五批（D2.1 手写题） · MOST · D2.1 Data Governance &amp; Data Quality for AI</w:t>
      </w:r>
    </w:p>
    <w:p>
      <w:pPr>
        <w:spacing w:after="60"/>
      </w:pPr>
      <w:r>
        <w:rPr>
          <w:b w:val="0"/>
          <w:i w:val="0"/>
          <w:color w:val="5A5A5A"/>
          <w:sz w:val="17"/>
        </w:rPr>
        <w:t>ID：aaig-d2s-008　难度：Intermediate</w:t>
      </w:r>
    </w:p>
    <w:p>
      <w:pPr>
        <w:spacing w:after="60"/>
      </w:pPr>
      <w:r>
        <w:rPr>
          <w:b w:val="0"/>
          <w:i w:val="0"/>
        </w:rPr>
        <w:t>情境：A manufacturer uses sensor data to train predictive-maintenance models. Some sensors drift over time and produce out-of-range readings, which the data team has been dropping silently from each training run.</w:t>
      </w:r>
    </w:p>
    <w:p>
      <w:pPr>
        <w:spacing w:after="60"/>
      </w:pPr>
      <w:r>
        <w:rPr>
          <w:b/>
          <w:i w:val="0"/>
        </w:rPr>
        <w:t>问题：Which practice MOST effectively supports ongoing governance of this data's quality?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Automatically removing every anomalous sensor reading so the model trains only on clean data.</w:t>
            </w:r>
          </w:p>
        </w:tc>
        <w:tc>
          <w:tcPr>
            <w:tcW w:type="dxa" w:w="5669"/>
          </w:tcPr>
          <w:p>
            <w:r/>
            <w:r>
              <w:rPr>
                <w:b w:val="0"/>
              </w:rPr>
              <w:t>Automatically removing every anomalous sensor reading so the model trains only on clean data.</w:t>
            </w:r>
          </w:p>
        </w:tc>
        <w:tc>
          <w:tcPr>
            <w:tcW w:type="dxa" w:w="1361"/>
          </w:tcPr>
          <w:p>
            <w:r/>
            <w:r>
              <w:rPr>
                <w:b w:val="0"/>
                <w:color w:val="787878"/>
              </w:rPr>
              <w:t>未改</w:t>
            </w:r>
          </w:p>
        </w:tc>
      </w:tr>
      <w:tr>
        <w:tc>
          <w:tcPr>
            <w:tcW w:type="dxa" w:w="907"/>
          </w:tcPr>
          <w:p>
            <w:r/>
            <w:r>
              <w:rPr>
                <w:b/>
              </w:rPr>
              <w:t>B</w:t>
            </w:r>
          </w:p>
        </w:tc>
        <w:tc>
          <w:tcPr>
            <w:tcW w:type="dxa" w:w="5669"/>
          </w:tcPr>
          <w:p>
            <w:r/>
            <w:r>
              <w:rPr>
                <w:b w:val="0"/>
              </w:rPr>
              <w:t>Replacing all sensors every year so that measurement drift cannot accumulate on any equipment.</w:t>
            </w:r>
          </w:p>
        </w:tc>
        <w:tc>
          <w:tcPr>
            <w:tcW w:type="dxa" w:w="5669"/>
          </w:tcPr>
          <w:p>
            <w:r/>
            <w:r>
              <w:rPr>
                <w:b w:val="0"/>
              </w:rPr>
              <w:t>Replacing all sensors every year so that measurement drift cannot accumulate on any equipment.</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Tracking data quality metrics against agreed thresholds and escalating breaches to data owners.</w:t>
            </w:r>
          </w:p>
        </w:tc>
        <w:tc>
          <w:tcPr>
            <w:tcW w:type="dxa" w:w="5669"/>
            <w:shd w:val="clear" w:color="auto" w:fill="FFF2CC"/>
          </w:tcPr>
          <w:p>
            <w:r/>
            <w:r>
              <w:rPr>
                <w:b/>
              </w:rPr>
              <w:t>Tracking data quality metrics against agreed thresholds and reporting breaches to the business lead.</w:t>
            </w:r>
          </w:p>
        </w:tc>
        <w:tc>
          <w:tcPr>
            <w:tcW w:type="dxa" w:w="1361"/>
          </w:tcPr>
          <w:p>
            <w:r/>
            <w:r>
              <w:rPr>
                <w:b w:val="0"/>
                <w:color w:val="BE5000"/>
              </w:rPr>
              <w:t>✱ 已改</w:t>
            </w:r>
          </w:p>
        </w:tc>
      </w:tr>
      <w:tr>
        <w:tc>
          <w:tcPr>
            <w:tcW w:type="dxa" w:w="907"/>
          </w:tcPr>
          <w:p>
            <w:r/>
            <w:r>
              <w:rPr>
                <w:b/>
              </w:rPr>
              <w:t>D</w:t>
            </w:r>
          </w:p>
        </w:tc>
        <w:tc>
          <w:tcPr>
            <w:tcW w:type="dxa" w:w="5669"/>
          </w:tcPr>
          <w:p>
            <w:r/>
            <w:r>
              <w:rPr>
                <w:b w:val="0"/>
              </w:rPr>
              <w:t>Having the sensor vendor certify once, at onboarding, that the data feed meets the published specification.</w:t>
            </w:r>
          </w:p>
        </w:tc>
        <w:tc>
          <w:tcPr>
            <w:tcW w:type="dxa" w:w="5669"/>
          </w:tcPr>
          <w:p>
            <w:r/>
            <w:r>
              <w:rPr>
                <w:b w:val="0"/>
              </w:rPr>
              <w:t>Having the sensor vendor certify once, at onboarding, that the data feed meets the published specification.</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主解析（未改动）：Ongoing governance requires measuring data quality over time against agreed thresholds, with breaches escalated to accountable owners for decisions. Silently dropping anomalies (Option A) can remove the very failure signals the model should learn and hides the quality trend. Annual replacement (Option B) is a costly engineering measure without monitoring, and a one-time vendor certification (Option D) does not cover drift after deployment.</w:t>
      </w:r>
    </w:p>
    <w:p>
      <w:pPr>
        <w:spacing w:after="60"/>
      </w:pPr>
      <w:r>
        <w:rPr>
          <w:b/>
          <w:i w:val="0"/>
          <w:sz w:val="18"/>
        </w:rPr>
        <w:t>改写后的错误选项解析与错误类型：</w:t>
      </w:r>
    </w:p>
    <w:p>
      <w:pPr>
        <w:spacing w:after="60"/>
      </w:pPr>
      <w:r>
        <w:rPr>
          <w:b w:val="0"/>
          <w:i w:val="0"/>
          <w:sz w:val="18"/>
        </w:rPr>
        <w:t xml:space="preserve">  A（未改）A: Automatic removal hides the quality problem and may discard genuine early-failure signals.　【类型：Removing anomalies without review】</w:t>
      </w:r>
    </w:p>
    <w:p>
      <w:pPr>
        <w:spacing w:after="60"/>
      </w:pPr>
      <w:r>
        <w:rPr>
          <w:b w:val="0"/>
          <w:i w:val="0"/>
          <w:sz w:val="18"/>
        </w:rPr>
        <w:t xml:space="preserve">  B（未改）B: Hardware replacement is an engineering measure. It does not monitor quality between replacements.　【类型：Calendar replacement of sensors】</w:t>
      </w:r>
    </w:p>
    <w:p>
      <w:pPr>
        <w:spacing w:after="60"/>
      </w:pPr>
      <w:r>
        <w:rPr>
          <w:b w:val="0"/>
          <w:i w:val="0"/>
          <w:sz w:val="18"/>
        </w:rPr>
        <w:t xml:space="preserve">  D（未改）D: A one-time certification cannot detect quality changes that happen later in operation.　【类型：One-off vendor certification】</w:t>
      </w:r>
    </w:p>
    <w:p>
      <w:pPr>
        <w:spacing w:after="60"/>
      </w:pPr>
      <w:r>
        <w:rPr>
          <w:b w:val="0"/>
          <w:i w:val="0"/>
          <w:color w:val="5A5A5A"/>
          <w:sz w:val="17"/>
        </w:rPr>
        <w:t>出处（沿用原文，未核验）：NIST AI RMF 1.0 MEASURE 3.1 &amp; MANAGE 4.1; ISO/IEC 42001:2023 Annex A.7.4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11. 第十五批（D2.1 手写题） · LEAST · D2.1 Data Governance &amp; Data Quality for AI</w:t>
      </w:r>
    </w:p>
    <w:p>
      <w:pPr>
        <w:spacing w:after="60"/>
      </w:pPr>
      <w:r>
        <w:rPr>
          <w:b w:val="0"/>
          <w:i w:val="0"/>
          <w:color w:val="5A5A5A"/>
          <w:sz w:val="17"/>
        </w:rPr>
        <w:t>ID：aaig-d2s-009　难度：Fundamental</w:t>
      </w:r>
    </w:p>
    <w:p>
      <w:pPr>
        <w:spacing w:after="60"/>
      </w:pPr>
      <w:r>
        <w:rPr>
          <w:b w:val="0"/>
          <w:i w:val="0"/>
        </w:rPr>
        <w:t>情境：A retail chain is training a computer-vision model to detect empty shelves. Image labelling has been outsourced to an annotation vendor whose contract includes a label-accuracy service level.</w:t>
      </w:r>
    </w:p>
    <w:p>
      <w:pPr>
        <w:spacing w:after="60"/>
      </w:pPr>
      <w:r>
        <w:rPr>
          <w:b/>
          <w:i w:val="0"/>
        </w:rPr>
        <w:t>问题：Which practice is LEAST adequate for governing label quality?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Measuring inter-annotator agreement on a sample and re-briefing annotators when it falls.</w:t>
            </w:r>
          </w:p>
        </w:tc>
        <w:tc>
          <w:tcPr>
            <w:tcW w:type="dxa" w:w="5669"/>
          </w:tcPr>
          <w:p>
            <w:r/>
            <w:r>
              <w:rPr>
                <w:b w:val="0"/>
              </w:rPr>
              <w:t>Measuring inter-annotator agreement on a sample and re-briefing annotators when it falls.</w:t>
            </w:r>
          </w:p>
        </w:tc>
        <w:tc>
          <w:tcPr>
            <w:tcW w:type="dxa" w:w="1361"/>
          </w:tcPr>
          <w:p>
            <w:r/>
            <w:r>
              <w:rPr>
                <w:b w:val="0"/>
                <w:color w:val="787878"/>
              </w:rPr>
              <w:t>未改</w:t>
            </w:r>
          </w:p>
        </w:tc>
      </w:tr>
      <w:tr>
        <w:tc>
          <w:tcPr>
            <w:tcW w:type="dxa" w:w="907"/>
          </w:tcPr>
          <w:p>
            <w:r/>
            <w:r>
              <w:rPr>
                <w:b/>
                <w:color w:val="00783C"/>
              </w:rPr>
              <w:t>B ✓</w:t>
            </w:r>
          </w:p>
        </w:tc>
        <w:tc>
          <w:tcPr>
            <w:tcW w:type="dxa" w:w="5669"/>
          </w:tcPr>
          <w:p>
            <w:r/>
            <w:r>
              <w:rPr>
                <w:b w:val="0"/>
              </w:rPr>
              <w:t>Accepting the vendor's labels without sampling, since the contract includes an accuracy SLA.</w:t>
            </w:r>
          </w:p>
        </w:tc>
        <w:tc>
          <w:tcPr>
            <w:tcW w:type="dxa" w:w="5669"/>
            <w:shd w:val="clear" w:color="auto" w:fill="FFF2CC"/>
          </w:tcPr>
          <w:p>
            <w:r/>
            <w:r>
              <w:rPr>
                <w:b/>
              </w:rPr>
              <w:t>Accepting the vendor's labels as delivered, since the contract includes an accuracy SLA.</w:t>
            </w:r>
          </w:p>
        </w:tc>
        <w:tc>
          <w:tcPr>
            <w:tcW w:type="dxa" w:w="1361"/>
          </w:tcPr>
          <w:p>
            <w:r/>
            <w:r>
              <w:rPr>
                <w:b w:val="0"/>
                <w:color w:val="BE5000"/>
              </w:rPr>
              <w:t>✱ 已改</w:t>
            </w:r>
          </w:p>
        </w:tc>
      </w:tr>
      <w:tr>
        <w:tc>
          <w:tcPr>
            <w:tcW w:type="dxa" w:w="907"/>
          </w:tcPr>
          <w:p>
            <w:r/>
            <w:r>
              <w:rPr>
                <w:b/>
              </w:rPr>
              <w:t>C</w:t>
            </w:r>
          </w:p>
        </w:tc>
        <w:tc>
          <w:tcPr>
            <w:tcW w:type="dxa" w:w="5669"/>
          </w:tcPr>
          <w:p>
            <w:r/>
            <w:r>
              <w:rPr>
                <w:b w:val="0"/>
              </w:rPr>
              <w:t>Maintaining versioned labelling guidelines and recording the version used for each batch.</w:t>
            </w:r>
          </w:p>
        </w:tc>
        <w:tc>
          <w:tcPr>
            <w:tcW w:type="dxa" w:w="5669"/>
          </w:tcPr>
          <w:p>
            <w:r/>
            <w:r>
              <w:rPr>
                <w:b w:val="0"/>
              </w:rPr>
              <w:t>Maintaining versioned labelling guidelines and recording the version used for each batch.</w:t>
            </w:r>
          </w:p>
        </w:tc>
        <w:tc>
          <w:tcPr>
            <w:tcW w:type="dxa" w:w="1361"/>
          </w:tcPr>
          <w:p>
            <w:r/>
            <w:r>
              <w:rPr>
                <w:b w:val="0"/>
                <w:color w:val="787878"/>
              </w:rPr>
              <w:t>未改</w:t>
            </w:r>
          </w:p>
        </w:tc>
      </w:tr>
      <w:tr>
        <w:tc>
          <w:tcPr>
            <w:tcW w:type="dxa" w:w="907"/>
          </w:tcPr>
          <w:p>
            <w:r/>
            <w:r>
              <w:rPr>
                <w:b/>
              </w:rPr>
              <w:t>D</w:t>
            </w:r>
          </w:p>
        </w:tc>
        <w:tc>
          <w:tcPr>
            <w:tcW w:type="dxa" w:w="5669"/>
          </w:tcPr>
          <w:p>
            <w:r/>
            <w:r>
              <w:rPr>
                <w:b w:val="0"/>
              </w:rPr>
              <w:t>Seeding each batch with gold-standard items whose correct labels are already known internally.</w:t>
            </w:r>
          </w:p>
        </w:tc>
        <w:tc>
          <w:tcPr>
            <w:tcW w:type="dxa" w:w="5669"/>
          </w:tcPr>
          <w:p>
            <w:r/>
            <w:r>
              <w:rPr>
                <w:b w:val="0"/>
              </w:rPr>
              <w:t>Seeding each batch with gold-standard items whose correct labels are already known internally.</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主解析（未改动）：Outsourcing labelling does not transfer accountability for data quality. A contractual service level gives a remedy but is not verification. The organization still needs independent evidence that labels meet its requirements. Agreement measurement (Option A), versioned guidelines (Option C) and gold-standard seeding (Option D) are effective label-quality controls.</w:t>
      </w:r>
    </w:p>
    <w:p>
      <w:pPr>
        <w:spacing w:after="60"/>
      </w:pPr>
      <w:r>
        <w:rPr>
          <w:b/>
          <w:i w:val="0"/>
          <w:sz w:val="18"/>
        </w:rPr>
        <w:t>改写后的错误选项解析与错误类型：</w:t>
      </w:r>
    </w:p>
    <w:p>
      <w:pPr>
        <w:spacing w:after="60"/>
      </w:pPr>
      <w:r>
        <w:rPr>
          <w:b w:val="0"/>
          <w:i w:val="0"/>
          <w:sz w:val="18"/>
        </w:rPr>
        <w:t xml:space="preserve">  A（未改）A: Inter-annotator agreement is a recognized measure of labelling consistency.　【类型：Sound practice: inter-annotator agreement】</w:t>
      </w:r>
    </w:p>
    <w:p>
      <w:pPr>
        <w:spacing w:after="60"/>
      </w:pPr>
      <w:r>
        <w:rPr>
          <w:b w:val="0"/>
          <w:i w:val="0"/>
          <w:sz w:val="18"/>
        </w:rPr>
        <w:t xml:space="preserve">  C（未改）C: Versioned guidelines support traceability and reproducibility of labels.　【类型：Sound practice: versioned labelling guidelines】</w:t>
      </w:r>
    </w:p>
    <w:p>
      <w:pPr>
        <w:spacing w:after="60"/>
      </w:pPr>
      <w:r>
        <w:rPr>
          <w:b w:val="0"/>
          <w:i w:val="0"/>
          <w:sz w:val="18"/>
        </w:rPr>
        <w:t xml:space="preserve">  D（未改）D: Gold-standard items allow independent measurement of vendor label accuracy.　【类型：Sound practice: gold-standard items】</w:t>
      </w:r>
    </w:p>
    <w:p>
      <w:pPr>
        <w:spacing w:after="60"/>
      </w:pPr>
      <w:r>
        <w:rPr>
          <w:b w:val="0"/>
          <w:i w:val="0"/>
          <w:color w:val="5A5A5A"/>
          <w:sz w:val="17"/>
        </w:rPr>
        <w:t>出处（沿用原文，未核验）：NIST AI RMF 1.0 GOVERN 6.1 &amp; MAP 4.1; ISO/IEC 42001:2023 Annex A.7.6 &amp; A.10 (verify against licensed standard).</w:t>
      </w:r>
    </w:p>
    <w:p>
      <w:pPr>
        <w:spacing w:after="60"/>
      </w:pPr>
      <w:r>
        <w:rPr>
          <w:b w:val="0"/>
          <w:i w:val="0"/>
          <w:sz w:val="19"/>
        </w:rPr>
        <w:t>复核：□ 最不合适的做法（正确答案）仍明确不合适，且不靠措辞暗示　□ 三个合理做法确实合理　□ 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12. 第十五批（D2.1 手写题） · LEAST · D2.1 Data Governance &amp; Data Quality for AI</w:t>
      </w:r>
    </w:p>
    <w:p>
      <w:pPr>
        <w:spacing w:after="60"/>
      </w:pPr>
      <w:r>
        <w:rPr>
          <w:b w:val="0"/>
          <w:i w:val="0"/>
          <w:color w:val="5A5A5A"/>
          <w:sz w:val="17"/>
        </w:rPr>
        <w:t>ID：aaig-d2s-302　难度：Intermediate</w:t>
      </w:r>
    </w:p>
    <w:p>
      <w:pPr>
        <w:spacing w:after="60"/>
      </w:pPr>
      <w:r>
        <w:rPr>
          <w:b w:val="0"/>
          <w:i w:val="0"/>
        </w:rPr>
        <w:t>情境：A hospital is preparing patient records for a model that predicts length of stay. Many fields have missing values.</w:t>
      </w:r>
    </w:p>
    <w:p>
      <w:pPr>
        <w:spacing w:after="60"/>
      </w:pPr>
      <w:r>
        <w:rPr>
          <w:b/>
          <w:i w:val="0"/>
        </w:rPr>
        <w:t>问题：Which practice for handling the missing values is LEAST adequate?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Filling every gap with the column average without recording it</w:t>
            </w:r>
          </w:p>
        </w:tc>
        <w:tc>
          <w:tcPr>
            <w:tcW w:type="dxa" w:w="5669"/>
            <w:shd w:val="clear" w:color="auto" w:fill="FFF2CC"/>
          </w:tcPr>
          <w:p>
            <w:r/>
            <w:r>
              <w:rPr>
                <w:b/>
              </w:rPr>
              <w:t>Filling every gap with the column average and not recording it</w:t>
            </w:r>
          </w:p>
        </w:tc>
        <w:tc>
          <w:tcPr>
            <w:tcW w:type="dxa" w:w="1361"/>
          </w:tcPr>
          <w:p>
            <w:r/>
            <w:r>
              <w:rPr>
                <w:b w:val="0"/>
                <w:color w:val="BE5000"/>
              </w:rPr>
              <w:t>✱ 已改</w:t>
            </w:r>
          </w:p>
        </w:tc>
      </w:tr>
      <w:tr>
        <w:tc>
          <w:tcPr>
            <w:tcW w:type="dxa" w:w="907"/>
          </w:tcPr>
          <w:p>
            <w:r/>
            <w:r>
              <w:rPr>
                <w:b/>
              </w:rPr>
              <w:t>B</w:t>
            </w:r>
          </w:p>
        </w:tc>
        <w:tc>
          <w:tcPr>
            <w:tcW w:type="dxa" w:w="5669"/>
          </w:tcPr>
          <w:p>
            <w:r/>
            <w:r>
              <w:rPr>
                <w:b w:val="0"/>
              </w:rPr>
              <w:t>Recording the share of missing values for each field and data source</w:t>
            </w:r>
          </w:p>
        </w:tc>
        <w:tc>
          <w:tcPr>
            <w:tcW w:type="dxa" w:w="5669"/>
          </w:tcPr>
          <w:p>
            <w:r/>
            <w:r>
              <w:rPr>
                <w:b w:val="0"/>
              </w:rPr>
              <w:t>Recording the share of missing values for each field and data source</w:t>
            </w:r>
          </w:p>
        </w:tc>
        <w:tc>
          <w:tcPr>
            <w:tcW w:type="dxa" w:w="1361"/>
          </w:tcPr>
          <w:p>
            <w:r/>
            <w:r>
              <w:rPr>
                <w:b w:val="0"/>
                <w:color w:val="787878"/>
              </w:rPr>
              <w:t>未改</w:t>
            </w:r>
          </w:p>
        </w:tc>
      </w:tr>
      <w:tr>
        <w:tc>
          <w:tcPr>
            <w:tcW w:type="dxa" w:w="907"/>
          </w:tcPr>
          <w:p>
            <w:r/>
            <w:r>
              <w:rPr>
                <w:b/>
              </w:rPr>
              <w:t>C</w:t>
            </w:r>
          </w:p>
        </w:tc>
        <w:tc>
          <w:tcPr>
            <w:tcW w:type="dxa" w:w="5669"/>
          </w:tcPr>
          <w:p>
            <w:r/>
            <w:r>
              <w:rPr>
                <w:b w:val="0"/>
              </w:rPr>
              <w:t>Agreeing with clinicians how each missing field should be treated</w:t>
            </w:r>
          </w:p>
        </w:tc>
        <w:tc>
          <w:tcPr>
            <w:tcW w:type="dxa" w:w="5669"/>
          </w:tcPr>
          <w:p>
            <w:r/>
            <w:r>
              <w:rPr>
                <w:b w:val="0"/>
              </w:rPr>
              <w:t>Agreeing with clinicians how each missing field should be treated</w:t>
            </w:r>
          </w:p>
        </w:tc>
        <w:tc>
          <w:tcPr>
            <w:tcW w:type="dxa" w:w="1361"/>
          </w:tcPr>
          <w:p>
            <w:r/>
            <w:r>
              <w:rPr>
                <w:b w:val="0"/>
                <w:color w:val="787878"/>
              </w:rPr>
              <w:t>未改</w:t>
            </w:r>
          </w:p>
        </w:tc>
      </w:tr>
      <w:tr>
        <w:tc>
          <w:tcPr>
            <w:tcW w:type="dxa" w:w="907"/>
          </w:tcPr>
          <w:p>
            <w:r/>
            <w:r>
              <w:rPr>
                <w:b/>
              </w:rPr>
              <w:t>D</w:t>
            </w:r>
          </w:p>
        </w:tc>
        <w:tc>
          <w:tcPr>
            <w:tcW w:type="dxa" w:w="5669"/>
          </w:tcPr>
          <w:p>
            <w:r/>
            <w:r>
              <w:rPr>
                <w:b w:val="0"/>
              </w:rPr>
              <w:t>Testing whether missing values differ across patient groups</w:t>
            </w:r>
          </w:p>
        </w:tc>
        <w:tc>
          <w:tcPr>
            <w:tcW w:type="dxa" w:w="5669"/>
          </w:tcPr>
          <w:p>
            <w:r/>
            <w:r>
              <w:rPr>
                <w:b w:val="0"/>
              </w:rPr>
              <w:t>Testing whether missing values differ across patient groups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主解析（未改动）：Silent filling hides how much of the data is invented and whether missingness itself carries information or differs across groups. Measuring missingness, agreeing treatment with domain experts and testing for group differences all make the handling transparent and checkable.</w:t>
      </w:r>
    </w:p>
    <w:p>
      <w:pPr>
        <w:spacing w:after="60"/>
      </w:pPr>
      <w:r>
        <w:rPr>
          <w:b/>
          <w:i w:val="0"/>
          <w:sz w:val="18"/>
        </w:rPr>
        <w:t>改写后的错误选项解析与错误类型：</w:t>
      </w:r>
    </w:p>
    <w:p>
      <w:pPr>
        <w:spacing w:after="60"/>
      </w:pPr>
      <w:r>
        <w:rPr>
          <w:b w:val="0"/>
          <w:i w:val="0"/>
          <w:sz w:val="18"/>
        </w:rPr>
        <w:t xml:space="preserve">  B（未改）B: Measuring missingness shows where the problem lies.　【类型：Sound practice: recording the share of missing values】</w:t>
      </w:r>
    </w:p>
    <w:p>
      <w:pPr>
        <w:spacing w:after="60"/>
      </w:pPr>
      <w:r>
        <w:rPr>
          <w:b w:val="0"/>
          <w:i w:val="0"/>
          <w:sz w:val="18"/>
        </w:rPr>
        <w:t xml:space="preserve">  C（未改）C: Clinician input ensures the treatment makes clinical sense.　【类型：Sound practice: agreeing treatment with clinicians】</w:t>
      </w:r>
    </w:p>
    <w:p>
      <w:pPr>
        <w:spacing w:after="60"/>
      </w:pPr>
      <w:r>
        <w:rPr>
          <w:b w:val="0"/>
          <w:i w:val="0"/>
          <w:sz w:val="18"/>
        </w:rPr>
        <w:t xml:space="preserve">  D（未改）D: Group testing checks whether the gaps create unfairness.　【类型：Sound practice: testing missingness across groups】</w:t>
      </w:r>
    </w:p>
    <w:p>
      <w:pPr>
        <w:spacing w:after="60"/>
      </w:pPr>
      <w:r>
        <w:rPr>
          <w:b w:val="0"/>
          <w:i w:val="0"/>
          <w:color w:val="5A5A5A"/>
          <w:sz w:val="17"/>
        </w:rPr>
        <w:t>出处（沿用原文，未核验）：NIST AI RMF 1.0 MAP 2.3 &amp; MEASURE 2.11; EU AI Act Art. 10(2)(f)–(g).</w:t>
      </w:r>
    </w:p>
    <w:p>
      <w:pPr>
        <w:spacing w:after="60"/>
      </w:pPr>
      <w:r>
        <w:rPr>
          <w:b w:val="0"/>
          <w:i w:val="0"/>
          <w:sz w:val="19"/>
        </w:rPr>
        <w:t>复核：□ 最不合适的做法（正确答案）仍明确不合适，且不靠措辞暗示　□ 三个合理做法确实合理　□ 新措辞未改变原意</w:t>
      </w:r>
    </w:p>
    <w:p>
      <w:pPr>
        <w:spacing w:after="60"/>
      </w:pPr>
      <w:r>
        <w:rPr>
          <w:b w:val="0"/>
          <w:i w:val="0"/>
          <w:sz w:val="19"/>
        </w:rPr>
        <w:t>决定：□ 通过　□ 修改（见意见）　□ 恢复原文　　意见：______________________________________________</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