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AAIG Flashcard 第二轮复核册（99 张）</w:t>
      </w:r>
    </w:p>
    <w:p>
      <w:pPr>
        <w:spacing w:after="60"/>
      </w:pPr>
      <w:r>
        <w:rPr>
          <w:b w:val="0"/>
          <w:color w:val="5A5A5A"/>
          <w:sz w:val="18"/>
        </w:rPr>
        <w:t>日期：2026-10-24。分支：claude/trusting-fermat-7hxmm4。上一轮复核册：docs/reviews/2026-10-24-flashcard-review-packet.docx（对应提交 8481238，原 40 张卡）。</w:t>
      </w:r>
    </w:p>
    <w:p>
      <w:pPr>
        <w:pStyle w:val="Heading1"/>
      </w:pPr>
      <w:r>
        <w:t>请先读这一页</w:t>
      </w:r>
    </w:p>
    <w:p>
      <w:pPr>
        <w:pStyle w:val="ListBullet"/>
        <w:spacing w:after="40"/>
      </w:pPr>
      <w:r>
        <w:t>这份册子是上一轮你给出最终决定之后的结果，共 99 张卡：21 张新增（待核验）、38 张拆分后新出现的卡、39 张原有卡（按你的决定缩短、改正面或改来源）、1 张原样保留（fc-28）。</w:t>
      </w:r>
    </w:p>
    <w:p>
      <w:pPr>
        <w:pStyle w:val="ListBullet"/>
        <w:spacing w:after="40"/>
      </w:pPr>
      <w:r>
        <w:t>为什么要再复核：你的上一轮决定是"在执行修改与拆分后状态更新为通过"。拆分后的文字、缩短后的文字、以及 21 张新卡的文字，都是我写的，你没有看过。题库里这些卡仍然是"未复核"，新增的 21 张还带"Pending verification"标签。</w:t>
      </w:r>
    </w:p>
    <w:p>
      <w:pPr>
        <w:pStyle w:val="ListBullet"/>
        <w:spacing w:after="40"/>
      </w:pPr>
      <w:r>
        <w:t>你要做的事只有两层：①第一部分：对每张卡用 R1–R7 判断；②第二部分：对我标出的"我自己不确定的点"逐条表态。第三部分是 99 张卡的完整内容，每张卡有勾选区。</w:t>
      </w:r>
    </w:p>
    <w:p>
      <w:pPr>
        <w:pStyle w:val="ListBullet"/>
        <w:spacing w:after="40"/>
      </w:pPr>
      <w:r>
        <w:t>建议顺序：先做第二部分的 21 张新卡和 10 张重点原有卡（卡片内用 ⚑ 标出）；其余卡只检查 R3（拆分、缩短后有没有丢意思或加了原卡没有的话）。</w:t>
      </w:r>
    </w:p>
    <w:p>
      <w:pPr>
        <w:pStyle w:val="ListBullet"/>
        <w:spacing w:after="40"/>
      </w:pPr>
      <w:r>
        <w:t>我没有核验过的事：所有来源（NIST AI RMF、ISO/IEC 42001、EU AI Act、GDPR、COBIT、IIA 文件、学术文献）我都没有对照原文，这个环境连不上这些官方站点。卡片里的条款号都是我的记忆或上一轮已有的来源，请当作线索，不是结论。</w:t>
      </w:r>
    </w:p>
    <w:p>
      <w:pPr>
        <w:pStyle w:val="ListBullet"/>
        <w:spacing w:after="40"/>
      </w:pPr>
      <w:r>
        <w:t>没有改动的事：我没有给任何卡片写 sourceUrl，没有在元数据里写入你的姓名或日期。是否写入由你决定（见第二部分 Q5）。</w:t>
      </w:r>
    </w:p>
    <w:p>
      <w:pPr>
        <w:pStyle w:val="ListBullet"/>
        <w:spacing w:after="40"/>
      </w:pPr>
      <w:r>
        <w:t>本册生成前，我顺手改了一处我自己发现的不精确：fc-57 原写"记录合法基础（Art. 6(4)）"，但 Art. 6(4) 讲的是兼容性考量因素，合法基础在 Art. 6(1)；已改为"用 Art. 6(4) 的因素评估兼容性，并记录结果和所依赖的合法基础"。册内展示的是改后文字。</w:t>
      </w:r>
    </w:p>
    <w:p>
      <w:r>
        <w:br w:type="page"/>
      </w:r>
    </w:p>
    <w:p>
      <w:pPr>
        <w:pStyle w:val="Heading1"/>
      </w:pPr>
      <w:r>
        <w:t>第一部分　每张卡都要过的 7 条标准（R1–R7）</w:t>
      </w:r>
    </w:p>
    <w:p>
      <w:pPr>
        <w:spacing w:after="60"/>
      </w:pPr>
      <w:r>
        <w:rPr>
          <w:b w:val="0"/>
          <w:sz w:val="18"/>
        </w:rPr>
        <w:t>第三部分每张卡都有 R1–R7 的勾选框。□ = 通过；写 ✗ 表示不通过并在意见栏写明原因；写 ? 表示你手上没有材料无法判断，并写明缺什么。</w:t>
      </w:r>
    </w:p>
    <w:tbl>
      <w:tblPr>
        <w:tblStyle w:val="TableGrid"/>
        <w:tblW w:type="auto" w:w="0"/>
        <w:tblLayout w:type="fixed"/>
        <w:tblLook w:firstColumn="1" w:firstRow="1" w:lastColumn="0" w:lastRow="0" w:noHBand="0" w:noVBand="1" w:val="04A0"/>
      </w:tblPr>
      <w:tblGrid>
        <w:gridCol w:w="3506"/>
        <w:gridCol w:w="3506"/>
        <w:gridCol w:w="3506"/>
        <w:gridCol w:w="3506"/>
      </w:tblGrid>
      <w:tr>
        <w:trPr>
          <w:tblHeader/>
        </w:trPr>
        <w:tc>
          <w:tcPr>
            <w:tcW w:type="dxa" w:w="1814"/>
            <w:shd w:val="clear" w:color="auto" w:fill="D9E2F3"/>
          </w:tcPr>
          <w:p>
            <w:pPr>
              <w:spacing w:after="40"/>
            </w:pPr>
            <w:r>
              <w:rPr>
                <w:b/>
                <w:sz w:val="18"/>
              </w:rPr>
              <w:t>标准</w:t>
            </w:r>
          </w:p>
        </w:tc>
        <w:tc>
          <w:tcPr>
            <w:tcW w:type="dxa" w:w="4649"/>
            <w:shd w:val="clear" w:color="auto" w:fill="D9E2F3"/>
          </w:tcPr>
          <w:p>
            <w:pPr>
              <w:spacing w:after="40"/>
            </w:pPr>
            <w:r>
              <w:rPr>
                <w:b/>
                <w:sz w:val="18"/>
              </w:rPr>
              <w:t>你要判断的问题</w:t>
            </w:r>
          </w:p>
        </w:tc>
        <w:tc>
          <w:tcPr>
            <w:tcW w:type="dxa" w:w="4422"/>
            <w:shd w:val="clear" w:color="auto" w:fill="D9E2F3"/>
          </w:tcPr>
          <w:p>
            <w:pPr>
              <w:spacing w:after="40"/>
            </w:pPr>
            <w:r>
              <w:rPr>
                <w:b/>
                <w:sz w:val="18"/>
              </w:rPr>
              <w:t>通过的标准</w:t>
            </w:r>
          </w:p>
        </w:tc>
        <w:tc>
          <w:tcPr>
            <w:tcW w:type="dxa" w:w="3855"/>
            <w:shd w:val="clear" w:color="auto" w:fill="D9E2F3"/>
          </w:tcPr>
          <w:p>
            <w:pPr>
              <w:spacing w:after="40"/>
            </w:pPr>
            <w:r>
              <w:rPr>
                <w:b/>
                <w:sz w:val="18"/>
              </w:rPr>
              <w:t>不通过时请这样写</w:t>
            </w:r>
          </w:p>
        </w:tc>
      </w:tr>
      <w:tr>
        <w:trPr>
          <w:cantSplit/>
        </w:trPr>
        <w:tc>
          <w:tcPr>
            <w:tcW w:type="dxa" w:w="1814"/>
          </w:tcPr>
          <w:p>
            <w:pPr>
              <w:spacing w:after="40"/>
            </w:pPr>
            <w:r>
              <w:rPr>
                <w:b w:val="0"/>
                <w:sz w:val="18"/>
              </w:rPr>
              <w:t>R1　事实正确</w:t>
            </w:r>
          </w:p>
        </w:tc>
        <w:tc>
          <w:tcPr>
            <w:tcW w:type="dxa" w:w="4649"/>
          </w:tcPr>
          <w:p>
            <w:pPr>
              <w:spacing w:after="40"/>
            </w:pPr>
            <w:r>
              <w:rPr>
                <w:b w:val="0"/>
                <w:sz w:val="18"/>
              </w:rPr>
              <w:t>卡片里每一个具体陈述（条款号、天数、阈值、定义、"必须/可以"）是否与一手来源一致。</w:t>
            </w:r>
          </w:p>
        </w:tc>
        <w:tc>
          <w:tcPr>
            <w:tcW w:type="dxa" w:w="4422"/>
          </w:tcPr>
          <w:p>
            <w:pPr>
              <w:spacing w:after="40"/>
            </w:pPr>
            <w:r>
              <w:rPr>
                <w:b w:val="0"/>
                <w:sz w:val="18"/>
              </w:rPr>
              <w:t>每个具体陈述都能在原文中找到；数字逐个核过（2、10、15 天；10^25 FLOPs；六个月；Art. 35、26(6)、6(4) 等）。</w:t>
            </w:r>
          </w:p>
        </w:tc>
        <w:tc>
          <w:tcPr>
            <w:tcW w:type="dxa" w:w="3855"/>
          </w:tcPr>
          <w:p>
            <w:pPr>
              <w:spacing w:after="40"/>
            </w:pPr>
            <w:r>
              <w:rPr>
                <w:b w:val="0"/>
                <w:sz w:val="18"/>
              </w:rPr>
              <w:t>写明哪句话错、应是什么、依据条款。无法核对写"?"并写缺什么材料。</w:t>
            </w:r>
          </w:p>
        </w:tc>
      </w:tr>
      <w:tr>
        <w:trPr>
          <w:cantSplit/>
        </w:trPr>
        <w:tc>
          <w:tcPr>
            <w:tcW w:type="dxa" w:w="1814"/>
          </w:tcPr>
          <w:p>
            <w:pPr>
              <w:spacing w:after="40"/>
            </w:pPr>
            <w:r>
              <w:rPr>
                <w:b w:val="0"/>
                <w:sz w:val="18"/>
              </w:rPr>
              <w:t>R2　来源标签支持该陈述</w:t>
            </w:r>
          </w:p>
        </w:tc>
        <w:tc>
          <w:tcPr>
            <w:tcW w:type="dxa" w:w="4649"/>
          </w:tcPr>
          <w:p>
            <w:pPr>
              <w:spacing w:after="40"/>
            </w:pPr>
            <w:r>
              <w:rPr>
                <w:b w:val="0"/>
                <w:sz w:val="18"/>
              </w:rPr>
              <w:t>"来源"字段列出的文件和条款是否真的包含卡片所说的内容。</w:t>
            </w:r>
          </w:p>
        </w:tc>
        <w:tc>
          <w:tcPr>
            <w:tcW w:type="dxa" w:w="4422"/>
          </w:tcPr>
          <w:p>
            <w:pPr>
              <w:spacing w:after="40"/>
            </w:pPr>
            <w:r>
              <w:rPr>
                <w:b w:val="0"/>
                <w:sz w:val="18"/>
              </w:rPr>
              <w:t>你能指出来源中对应的具体条款；标注 "verify against licensed standard" 的必须已对照正版。</w:t>
            </w:r>
          </w:p>
        </w:tc>
        <w:tc>
          <w:tcPr>
            <w:tcW w:type="dxa" w:w="3855"/>
          </w:tcPr>
          <w:p>
            <w:pPr>
              <w:spacing w:after="40"/>
            </w:pPr>
            <w:r>
              <w:rPr>
                <w:b w:val="0"/>
                <w:sz w:val="18"/>
              </w:rPr>
              <w:t>写明应改成的来源；来源只写文件名没有条款的，写明补哪一条。</w:t>
            </w:r>
          </w:p>
        </w:tc>
      </w:tr>
      <w:tr>
        <w:trPr>
          <w:cantSplit/>
        </w:trPr>
        <w:tc>
          <w:tcPr>
            <w:tcW w:type="dxa" w:w="1814"/>
          </w:tcPr>
          <w:p>
            <w:pPr>
              <w:spacing w:after="40"/>
            </w:pPr>
            <w:r>
              <w:rPr>
                <w:b w:val="0"/>
                <w:sz w:val="18"/>
              </w:rPr>
              <w:t>R3　拆分、缩短后忠实于原卡</w:t>
            </w:r>
          </w:p>
        </w:tc>
        <w:tc>
          <w:tcPr>
            <w:tcW w:type="dxa" w:w="4649"/>
          </w:tcPr>
          <w:p>
            <w:pPr>
              <w:spacing w:after="40"/>
            </w:pPr>
            <w:r>
              <w:rPr>
                <w:b w:val="0"/>
                <w:sz w:val="18"/>
              </w:rPr>
              <w:t>（仅拆分卡和改过的原有卡）拆开或缩短后，是否没有丢掉原卡的关键意思，也没有添加原卡没有的陈述。</w:t>
            </w:r>
          </w:p>
        </w:tc>
        <w:tc>
          <w:tcPr>
            <w:tcW w:type="dxa" w:w="4422"/>
          </w:tcPr>
          <w:p>
            <w:pPr>
              <w:spacing w:after="40"/>
            </w:pPr>
            <w:r>
              <w:rPr>
                <w:b w:val="0"/>
                <w:sz w:val="18"/>
              </w:rPr>
              <w:t>每张拆出的卡单独看也是完整的；加起来等于原卡，没有多出来的论断。</w:t>
            </w:r>
          </w:p>
        </w:tc>
        <w:tc>
          <w:tcPr>
            <w:tcW w:type="dxa" w:w="3855"/>
          </w:tcPr>
          <w:p>
            <w:pPr>
              <w:spacing w:after="40"/>
            </w:pPr>
            <w:r>
              <w:rPr>
                <w:b w:val="0"/>
                <w:sz w:val="18"/>
              </w:rPr>
              <w:t>写明丢了什么或多了什么。新增卡本项写"不适用"。</w:t>
            </w:r>
          </w:p>
        </w:tc>
      </w:tr>
      <w:tr>
        <w:trPr>
          <w:cantSplit/>
        </w:trPr>
        <w:tc>
          <w:tcPr>
            <w:tcW w:type="dxa" w:w="1814"/>
          </w:tcPr>
          <w:p>
            <w:pPr>
              <w:spacing w:after="40"/>
            </w:pPr>
            <w:r>
              <w:rPr>
                <w:b w:val="0"/>
                <w:sz w:val="18"/>
              </w:rPr>
              <w:t>R4　一问一答，长度合适</w:t>
            </w:r>
          </w:p>
        </w:tc>
        <w:tc>
          <w:tcPr>
            <w:tcW w:type="dxa" w:w="4649"/>
          </w:tcPr>
          <w:p>
            <w:pPr>
              <w:spacing w:after="40"/>
            </w:pPr>
            <w:r>
              <w:rPr>
                <w:b w:val="0"/>
                <w:sz w:val="18"/>
              </w:rPr>
              <w:t>正面是否只问一件事；背面第一句是否直接回答；背面不超过 400 字、要点是一句话。</w:t>
            </w:r>
          </w:p>
        </w:tc>
        <w:tc>
          <w:tcPr>
            <w:tcW w:type="dxa" w:w="4422"/>
          </w:tcPr>
          <w:p>
            <w:pPr>
              <w:spacing w:after="40"/>
            </w:pPr>
            <w:r>
              <w:rPr>
                <w:b w:val="0"/>
                <w:sz w:val="18"/>
              </w:rPr>
              <w:t>学员自测时能明确判断"答对/答错"。</w:t>
            </w:r>
          </w:p>
        </w:tc>
        <w:tc>
          <w:tcPr>
            <w:tcW w:type="dxa" w:w="3855"/>
          </w:tcPr>
          <w:p>
            <w:pPr>
              <w:spacing w:after="40"/>
            </w:pPr>
            <w:r>
              <w:rPr>
                <w:b w:val="0"/>
                <w:sz w:val="18"/>
              </w:rPr>
              <w:t>写明建议怎么拆或背面缺什么。（字数我已用测试保证，此项主要看是否直接回答。）</w:t>
            </w:r>
          </w:p>
        </w:tc>
      </w:tr>
      <w:tr>
        <w:trPr>
          <w:cantSplit/>
        </w:trPr>
        <w:tc>
          <w:tcPr>
            <w:tcW w:type="dxa" w:w="1814"/>
          </w:tcPr>
          <w:p>
            <w:pPr>
              <w:spacing w:after="40"/>
            </w:pPr>
            <w:r>
              <w:rPr>
                <w:b w:val="0"/>
                <w:sz w:val="18"/>
              </w:rPr>
              <w:t>R5　domain 归类正确</w:t>
            </w:r>
          </w:p>
        </w:tc>
        <w:tc>
          <w:tcPr>
            <w:tcW w:type="dxa" w:w="4649"/>
          </w:tcPr>
          <w:p>
            <w:pPr>
              <w:spacing w:after="40"/>
            </w:pPr>
            <w:r>
              <w:rPr>
                <w:b w:val="0"/>
                <w:sz w:val="18"/>
              </w:rPr>
              <w:t>D1 AI Enterprise Governance；D2 Data and AI Architecture Principles；D3 AI Enterprise Integration and Performance Monitoring。</w:t>
            </w:r>
          </w:p>
        </w:tc>
        <w:tc>
          <w:tcPr>
            <w:tcW w:type="dxa" w:w="4422"/>
          </w:tcPr>
          <w:p>
            <w:pPr>
              <w:spacing w:after="40"/>
            </w:pPr>
            <w:r>
              <w:rPr>
                <w:b w:val="0"/>
                <w:sz w:val="18"/>
              </w:rPr>
              <w:t>按卡片的主要考点归类，你同意现在的归类。</w:t>
            </w:r>
          </w:p>
        </w:tc>
        <w:tc>
          <w:tcPr>
            <w:tcW w:type="dxa" w:w="3855"/>
          </w:tcPr>
          <w:p>
            <w:pPr>
              <w:spacing w:after="40"/>
            </w:pPr>
            <w:r>
              <w:rPr>
                <w:b w:val="0"/>
                <w:sz w:val="18"/>
              </w:rPr>
              <w:t>写明应归哪个 domain 及理由。我只知道三个公开名称，不知道官方考试大纲；你若掌握官方大纲请以它为准。</w:t>
            </w:r>
          </w:p>
        </w:tc>
      </w:tr>
      <w:tr>
        <w:trPr>
          <w:cantSplit/>
        </w:trPr>
        <w:tc>
          <w:tcPr>
            <w:tcW w:type="dxa" w:w="1814"/>
          </w:tcPr>
          <w:p>
            <w:pPr>
              <w:spacing w:after="40"/>
            </w:pPr>
            <w:r>
              <w:rPr>
                <w:b w:val="0"/>
                <w:sz w:val="18"/>
              </w:rPr>
              <w:t>R6　范围与标注</w:t>
            </w:r>
          </w:p>
        </w:tc>
        <w:tc>
          <w:tcPr>
            <w:tcW w:type="dxa" w:w="4649"/>
          </w:tcPr>
          <w:p>
            <w:pPr>
              <w:spacing w:after="40"/>
            </w:pPr>
            <w:r>
              <w:rPr>
                <w:b w:val="0"/>
                <w:sz w:val="18"/>
              </w:rPr>
              <w:t>是否属于 AAIG 应掌握的范围；单一法域内容（如美国）是否已标 US-specific；术语是否是公认术语，还是我自己的叫法（如 representation drift、data contract、continuous assurance）。</w:t>
            </w:r>
          </w:p>
        </w:tc>
        <w:tc>
          <w:tcPr>
            <w:tcW w:type="dxa" w:w="4422"/>
          </w:tcPr>
          <w:p>
            <w:pPr>
              <w:spacing w:after="40"/>
            </w:pPr>
            <w:r>
              <w:rPr>
                <w:b w:val="0"/>
                <w:sz w:val="18"/>
              </w:rPr>
              <w:t>属于 AI 治理通用概念；非通用术语已被你接受或应改成公认说法。</w:t>
            </w:r>
          </w:p>
        </w:tc>
        <w:tc>
          <w:tcPr>
            <w:tcW w:type="dxa" w:w="3855"/>
          </w:tcPr>
          <w:p>
            <w:pPr>
              <w:spacing w:after="40"/>
            </w:pPr>
            <w:r>
              <w:rPr>
                <w:b w:val="0"/>
                <w:sz w:val="18"/>
              </w:rPr>
              <w:t>写明：保留 / 加标注 / 改术语 / 降为拓展 / 删除。</w:t>
            </w:r>
          </w:p>
        </w:tc>
      </w:tr>
      <w:tr>
        <w:trPr>
          <w:cantSplit/>
        </w:trPr>
        <w:tc>
          <w:tcPr>
            <w:tcW w:type="dxa" w:w="1814"/>
          </w:tcPr>
          <w:p>
            <w:pPr>
              <w:spacing w:after="40"/>
            </w:pPr>
            <w:r>
              <w:rPr>
                <w:b w:val="0"/>
                <w:sz w:val="18"/>
              </w:rPr>
              <w:t>R7　中立、不夸大</w:t>
            </w:r>
          </w:p>
        </w:tc>
        <w:tc>
          <w:tcPr>
            <w:tcW w:type="dxa" w:w="4649"/>
          </w:tcPr>
          <w:p>
            <w:pPr>
              <w:spacing w:after="40"/>
            </w:pPr>
            <w:r>
              <w:rPr>
                <w:b w:val="0"/>
                <w:sz w:val="18"/>
              </w:rPr>
              <w:t>措辞是否保留了来源里的限定条件；是否把"我整理的做法"写成了"来源说的"；是否使用来源没有的绝对化说法。</w:t>
            </w:r>
          </w:p>
        </w:tc>
        <w:tc>
          <w:tcPr>
            <w:tcW w:type="dxa" w:w="4422"/>
          </w:tcPr>
          <w:p>
            <w:pPr>
              <w:spacing w:after="40"/>
            </w:pPr>
            <w:r>
              <w:rPr>
                <w:b w:val="0"/>
                <w:sz w:val="18"/>
              </w:rPr>
              <w:t>"必须""不得"等词与来源一致；ISACA 倾向的答案与原文规定已区分开。</w:t>
            </w:r>
          </w:p>
        </w:tc>
        <w:tc>
          <w:tcPr>
            <w:tcW w:type="dxa" w:w="3855"/>
          </w:tcPr>
          <w:p>
            <w:pPr>
              <w:spacing w:after="40"/>
            </w:pPr>
            <w:r>
              <w:rPr>
                <w:b w:val="0"/>
                <w:sz w:val="18"/>
              </w:rPr>
              <w:t>指出被夸大的句子，并写明应改成"通常/建议"还是删除。</w:t>
            </w:r>
          </w:p>
        </w:tc>
      </w:tr>
    </w:tbl>
    <w:p>
      <w:pPr>
        <w:spacing w:after="60"/>
      </w:pPr>
      <w:r>
        <w:rPr>
          <w:b w:val="0"/>
        </w:rPr>
      </w:r>
    </w:p>
    <w:p>
      <w:pPr>
        <w:spacing w:after="60"/>
      </w:pPr>
      <w:r>
        <w:rPr>
          <w:b/>
        </w:rPr>
        <w:t>每张卡的最终决定（请在卡片的复核栏勾选一个）：</w:t>
      </w:r>
    </w:p>
    <w:tbl>
      <w:tblPr>
        <w:tblStyle w:val="TableGrid"/>
        <w:tblW w:type="auto" w:w="0"/>
        <w:tblLayout w:type="fixed"/>
        <w:tblLook w:firstColumn="1" w:firstRow="1" w:lastColumn="0" w:lastRow="0" w:noHBand="0" w:noVBand="1" w:val="04A0"/>
      </w:tblPr>
      <w:tblGrid>
        <w:gridCol w:w="4675"/>
        <w:gridCol w:w="4675"/>
        <w:gridCol w:w="4675"/>
      </w:tblGrid>
      <w:tr>
        <w:trPr>
          <w:tblHeader/>
        </w:trPr>
        <w:tc>
          <w:tcPr>
            <w:tcW w:type="dxa" w:w="1701"/>
            <w:shd w:val="clear" w:color="auto" w:fill="D9E2F3"/>
          </w:tcPr>
          <w:p>
            <w:pPr>
              <w:spacing w:after="40"/>
            </w:pPr>
            <w:r>
              <w:rPr>
                <w:b/>
                <w:sz w:val="18"/>
              </w:rPr>
              <w:t>决定</w:t>
            </w:r>
          </w:p>
        </w:tc>
        <w:tc>
          <w:tcPr>
            <w:tcW w:type="dxa" w:w="4535"/>
            <w:shd w:val="clear" w:color="auto" w:fill="D9E2F3"/>
          </w:tcPr>
          <w:p>
            <w:pPr>
              <w:spacing w:after="40"/>
            </w:pPr>
            <w:r>
              <w:rPr>
                <w:b/>
                <w:sz w:val="18"/>
              </w:rPr>
              <w:t>含义</w:t>
            </w:r>
          </w:p>
        </w:tc>
        <w:tc>
          <w:tcPr>
            <w:tcW w:type="dxa" w:w="10772"/>
            <w:shd w:val="clear" w:color="auto" w:fill="D9E2F3"/>
          </w:tcPr>
          <w:p>
            <w:pPr>
              <w:spacing w:after="40"/>
            </w:pPr>
            <w:r>
              <w:rPr>
                <w:b/>
                <w:sz w:val="18"/>
              </w:rPr>
              <w:t>我收到后会怎么做</w:t>
            </w:r>
          </w:p>
        </w:tc>
      </w:tr>
      <w:tr>
        <w:trPr>
          <w:cantSplit/>
        </w:trPr>
        <w:tc>
          <w:tcPr>
            <w:tcW w:type="dxa" w:w="1701"/>
          </w:tcPr>
          <w:p>
            <w:pPr>
              <w:spacing w:after="40"/>
            </w:pPr>
            <w:r>
              <w:rPr>
                <w:b w:val="0"/>
                <w:sz w:val="18"/>
              </w:rPr>
              <w:t>通过</w:t>
            </w:r>
          </w:p>
        </w:tc>
        <w:tc>
          <w:tcPr>
            <w:tcW w:type="dxa" w:w="4535"/>
          </w:tcPr>
          <w:p>
            <w:pPr>
              <w:spacing w:after="40"/>
            </w:pPr>
            <w:r>
              <w:rPr>
                <w:b w:val="0"/>
                <w:sz w:val="18"/>
              </w:rPr>
              <w:t>R1–R7 都没有问题。</w:t>
            </w:r>
          </w:p>
        </w:tc>
        <w:tc>
          <w:tcPr>
            <w:tcW w:type="dxa" w:w="10772"/>
          </w:tcPr>
          <w:p>
            <w:pPr>
              <w:spacing w:after="40"/>
            </w:pPr>
            <w:r>
              <w:rPr>
                <w:b w:val="0"/>
                <w:sz w:val="18"/>
              </w:rPr>
              <w:t>移除该卡的 "Pending verification" 标签（仅限你同时确认了 R1 和 R2 的卡）。元数据里的 reviewStatus 仍保持"未复核"，除非你给我复核人姓名和日期并要求我写入。</w:t>
            </w:r>
          </w:p>
        </w:tc>
      </w:tr>
      <w:tr>
        <w:trPr>
          <w:cantSplit/>
        </w:trPr>
        <w:tc>
          <w:tcPr>
            <w:tcW w:type="dxa" w:w="1701"/>
          </w:tcPr>
          <w:p>
            <w:pPr>
              <w:spacing w:after="40"/>
            </w:pPr>
            <w:r>
              <w:rPr>
                <w:b w:val="0"/>
                <w:sz w:val="18"/>
              </w:rPr>
              <w:t>修改</w:t>
            </w:r>
          </w:p>
        </w:tc>
        <w:tc>
          <w:tcPr>
            <w:tcW w:type="dxa" w:w="4535"/>
          </w:tcPr>
          <w:p>
            <w:pPr>
              <w:spacing w:after="40"/>
            </w:pPr>
            <w:r>
              <w:rPr>
                <w:b w:val="0"/>
                <w:sz w:val="18"/>
              </w:rPr>
              <w:t>内容方向对，但需要改动；请在意见栏写明改成什么。</w:t>
            </w:r>
          </w:p>
        </w:tc>
        <w:tc>
          <w:tcPr>
            <w:tcW w:type="dxa" w:w="10772"/>
          </w:tcPr>
          <w:p>
            <w:pPr>
              <w:spacing w:after="40"/>
            </w:pPr>
            <w:r>
              <w:rPr>
                <w:b w:val="0"/>
                <w:sz w:val="18"/>
              </w:rPr>
              <w:t>按你写的改；你没写具体文字的，我会改完后列出改动，请你再看一次。</w:t>
            </w:r>
          </w:p>
        </w:tc>
      </w:tr>
      <w:tr>
        <w:trPr>
          <w:cantSplit/>
        </w:trPr>
        <w:tc>
          <w:tcPr>
            <w:tcW w:type="dxa" w:w="1701"/>
          </w:tcPr>
          <w:p>
            <w:pPr>
              <w:spacing w:after="40"/>
            </w:pPr>
            <w:r>
              <w:rPr>
                <w:b w:val="0"/>
                <w:sz w:val="18"/>
              </w:rPr>
              <w:t>待核验</w:t>
            </w:r>
          </w:p>
        </w:tc>
        <w:tc>
          <w:tcPr>
            <w:tcW w:type="dxa" w:w="4535"/>
          </w:tcPr>
          <w:p>
            <w:pPr>
              <w:spacing w:after="40"/>
            </w:pPr>
            <w:r>
              <w:rPr>
                <w:b w:val="0"/>
                <w:sz w:val="18"/>
              </w:rPr>
              <w:t>你手头没有一手来源，无法判断；请写明缺什么。</w:t>
            </w:r>
          </w:p>
        </w:tc>
        <w:tc>
          <w:tcPr>
            <w:tcW w:type="dxa" w:w="10772"/>
          </w:tcPr>
          <w:p>
            <w:pPr>
              <w:spacing w:after="40"/>
            </w:pPr>
            <w:r>
              <w:rPr>
                <w:b w:val="0"/>
                <w:sz w:val="18"/>
              </w:rPr>
              <w:t>保留 "Pending verification"，列入证据待补清单。</w:t>
            </w:r>
          </w:p>
        </w:tc>
      </w:tr>
      <w:tr>
        <w:trPr>
          <w:cantSplit/>
        </w:trPr>
        <w:tc>
          <w:tcPr>
            <w:tcW w:type="dxa" w:w="1701"/>
          </w:tcPr>
          <w:p>
            <w:pPr>
              <w:spacing w:after="40"/>
            </w:pPr>
            <w:r>
              <w:rPr>
                <w:b w:val="0"/>
                <w:sz w:val="18"/>
              </w:rPr>
              <w:t>删除</w:t>
            </w:r>
          </w:p>
        </w:tc>
        <w:tc>
          <w:tcPr>
            <w:tcW w:type="dxa" w:w="4535"/>
          </w:tcPr>
          <w:p>
            <w:pPr>
              <w:spacing w:after="40"/>
            </w:pPr>
            <w:r>
              <w:rPr>
                <w:b w:val="0"/>
                <w:sz w:val="18"/>
              </w:rPr>
              <w:t>不应出现在题库。</w:t>
            </w:r>
          </w:p>
        </w:tc>
        <w:tc>
          <w:tcPr>
            <w:tcW w:type="dxa" w:w="10772"/>
          </w:tcPr>
          <w:p>
            <w:pPr>
              <w:spacing w:after="40"/>
            </w:pPr>
            <w:r>
              <w:rPr>
                <w:b w:val="0"/>
                <w:sz w:val="18"/>
              </w:rPr>
              <w:t>该卡从题库中移除，已有的掌握度记录会失效，我会在记录中注明。</w:t>
            </w:r>
          </w:p>
        </w:tc>
      </w:tr>
    </w:tbl>
    <w:p>
      <w:r>
        <w:br w:type="page"/>
      </w:r>
    </w:p>
    <w:p>
      <w:pPr>
        <w:pStyle w:val="Heading1"/>
      </w:pPr>
      <w:r>
        <w:t>第二部分　需要你表态的具体问题</w:t>
      </w:r>
    </w:p>
    <w:p>
      <w:pPr>
        <w:pStyle w:val="Heading2"/>
      </w:pPr>
      <w:r>
        <w:t>Q1　我自己不确定的点（每条请选一个）</w:t>
      </w:r>
    </w:p>
    <w:p>
      <w:pPr>
        <w:spacing w:after="60"/>
      </w:pPr>
      <w:r>
        <w:rPr>
          <w:b w:val="0"/>
          <w:sz w:val="18"/>
        </w:rPr>
        <w:t>下表只列出我自己对来源或措辞没有把握的卡。每条的具体内容见第三部分对应卡片（卡内用 ⚑ 重复了同一条）。右侧请勾选。</w:t>
      </w:r>
    </w:p>
    <w:tbl>
      <w:tblPr>
        <w:tblStyle w:val="TableGrid"/>
        <w:tblW w:type="auto" w:w="0"/>
        <w:tblLayout w:type="fixed"/>
        <w:tblLook w:firstColumn="1" w:firstRow="1" w:lastColumn="0" w:lastRow="0" w:noHBand="0" w:noVBand="1" w:val="04A0"/>
      </w:tblPr>
      <w:tblGrid>
        <w:gridCol w:w="4675"/>
        <w:gridCol w:w="4675"/>
        <w:gridCol w:w="4675"/>
      </w:tblGrid>
      <w:tr>
        <w:trPr>
          <w:tblHeader/>
        </w:trPr>
        <w:tc>
          <w:tcPr>
            <w:tcW w:type="dxa" w:w="1134"/>
            <w:shd w:val="clear" w:color="auto" w:fill="FCE4D6"/>
          </w:tcPr>
          <w:p>
            <w:pPr>
              <w:spacing w:after="40"/>
            </w:pPr>
            <w:r>
              <w:rPr>
                <w:b/>
                <w:sz w:val="17"/>
              </w:rPr>
              <w:t>卡片</w:t>
            </w:r>
          </w:p>
        </w:tc>
        <w:tc>
          <w:tcPr>
            <w:tcW w:type="dxa" w:w="9751"/>
            <w:shd w:val="clear" w:color="auto" w:fill="FCE4D6"/>
          </w:tcPr>
          <w:p>
            <w:pPr>
              <w:spacing w:after="40"/>
            </w:pPr>
            <w:r>
              <w:rPr>
                <w:b/>
                <w:sz w:val="17"/>
              </w:rPr>
              <w:t>我的疑点</w:t>
            </w:r>
          </w:p>
        </w:tc>
        <w:tc>
          <w:tcPr>
            <w:tcW w:type="dxa" w:w="3742"/>
            <w:shd w:val="clear" w:color="auto" w:fill="FCE4D6"/>
          </w:tcPr>
          <w:p>
            <w:pPr>
              <w:spacing w:after="40"/>
            </w:pPr>
            <w:r>
              <w:rPr>
                <w:b/>
                <w:sz w:val="17"/>
              </w:rPr>
              <w:t>你的表态</w:t>
            </w:r>
          </w:p>
        </w:tc>
      </w:tr>
      <w:tr>
        <w:trPr>
          <w:cantSplit/>
        </w:trPr>
        <w:tc>
          <w:tcPr>
            <w:tcW w:type="dxa" w:w="1134"/>
          </w:tcPr>
          <w:p>
            <w:pPr>
              <w:spacing w:after="40"/>
            </w:pPr>
            <w:r>
              <w:rPr>
                <w:b w:val="0"/>
                <w:sz w:val="17"/>
              </w:rPr>
              <w:t>fc-12</w:t>
            </w:r>
          </w:p>
        </w:tc>
        <w:tc>
          <w:tcPr>
            <w:tcW w:type="dxa" w:w="9751"/>
          </w:tcPr>
          <w:p>
            <w:pPr>
              <w:spacing w:after="40"/>
            </w:pPr>
            <w:r>
              <w:rPr>
                <w:b w:val="0"/>
                <w:sz w:val="17"/>
              </w:rPr>
              <w:t>来源 Gama 等 2014（ACM Computing Surveys）凭记忆写，未核对原文；这是 10-14 复核里的"待补证"项。</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fc-04</w:t>
            </w:r>
          </w:p>
        </w:tc>
        <w:tc>
          <w:tcPr>
            <w:tcW w:type="dxa" w:w="9751"/>
          </w:tcPr>
          <w:p>
            <w:pPr>
              <w:spacing w:after="40"/>
            </w:pPr>
            <w:r>
              <w:rPr>
                <w:b w:val="0"/>
                <w:sz w:val="17"/>
              </w:rPr>
              <w:t>出处 COBIT 2019 EDM03 与"治理机构或最高管理层设定"的措辞，请核对。</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fc-32</w:t>
            </w:r>
          </w:p>
        </w:tc>
        <w:tc>
          <w:tcPr>
            <w:tcW w:type="dxa" w:w="9751"/>
          </w:tcPr>
          <w:p>
            <w:pPr>
              <w:spacing w:after="40"/>
            </w:pPr>
            <w:r>
              <w:rPr>
                <w:b w:val="0"/>
                <w:sz w:val="17"/>
              </w:rPr>
              <w:t>ISO/IEC 42001 第 6.1.3 条 SoA 的描述，请对照正版。</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fc-10</w:t>
            </w:r>
          </w:p>
        </w:tc>
        <w:tc>
          <w:tcPr>
            <w:tcW w:type="dxa" w:w="9751"/>
          </w:tcPr>
          <w:p>
            <w:pPr>
              <w:spacing w:after="40"/>
            </w:pPr>
            <w:r>
              <w:rPr>
                <w:b w:val="0"/>
                <w:sz w:val="17"/>
              </w:rPr>
              <w:t>Directive 2019/1937 与 AI Act 第 87 条的对应关系，我没有原文可核。</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fc-19</w:t>
            </w:r>
          </w:p>
        </w:tc>
        <w:tc>
          <w:tcPr>
            <w:tcW w:type="dxa" w:w="9751"/>
          </w:tcPr>
          <w:p>
            <w:pPr>
              <w:spacing w:after="40"/>
            </w:pPr>
            <w:r>
              <w:rPr>
                <w:b w:val="0"/>
                <w:sz w:val="17"/>
              </w:rPr>
              <w:t>要点不再含欧盟间接歧视说明（移入背面括号），请确认背面仍准确；"US-specific"标签是否合适。</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fc-26</w:t>
            </w:r>
          </w:p>
        </w:tc>
        <w:tc>
          <w:tcPr>
            <w:tcW w:type="dxa" w:w="9751"/>
          </w:tcPr>
          <w:p>
            <w:pPr>
              <w:spacing w:after="40"/>
            </w:pPr>
            <w:r>
              <w:rPr>
                <w:b w:val="0"/>
                <w:sz w:val="17"/>
              </w:rPr>
              <w:t>第一张只保留"什么是自动化偏见"的定义；第 14(4)(b) 条和第 26(2) 条的引用请核对。</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fc-38</w:t>
            </w:r>
          </w:p>
        </w:tc>
        <w:tc>
          <w:tcPr>
            <w:tcW w:type="dxa" w:w="9751"/>
          </w:tcPr>
          <w:p>
            <w:pPr>
              <w:spacing w:after="40"/>
            </w:pPr>
            <w:r>
              <w:rPr>
                <w:b w:val="0"/>
                <w:sz w:val="17"/>
              </w:rPr>
              <w:t>缩短而非拆分；"2、10、15 天"的时限请逐项核对 AI Act 第 73 条。</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fc-15</w:t>
            </w:r>
          </w:p>
        </w:tc>
        <w:tc>
          <w:tcPr>
            <w:tcW w:type="dxa" w:w="9751"/>
          </w:tcPr>
          <w:p>
            <w:pPr>
              <w:spacing w:after="40"/>
            </w:pPr>
            <w:r>
              <w:rPr>
                <w:b w:val="0"/>
                <w:sz w:val="17"/>
              </w:rPr>
              <w:t>缩短而非拆分；请确认缩短后没有丢掉关键限定。</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fc-34</w:t>
            </w:r>
          </w:p>
        </w:tc>
        <w:tc>
          <w:tcPr>
            <w:tcW w:type="dxa" w:w="9751"/>
          </w:tcPr>
          <w:p>
            <w:pPr>
              <w:spacing w:after="40"/>
            </w:pPr>
            <w:r>
              <w:rPr>
                <w:b w:val="0"/>
                <w:sz w:val="17"/>
              </w:rPr>
              <w:t>第 53、55 条与 10^25 FLOPs 阈值，请核对。</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fc-07b</w:t>
            </w:r>
          </w:p>
        </w:tc>
        <w:tc>
          <w:tcPr>
            <w:tcW w:type="dxa" w:w="9751"/>
          </w:tcPr>
          <w:p>
            <w:pPr>
              <w:spacing w:after="40"/>
            </w:pPr>
            <w:r>
              <w:rPr>
                <w:b w:val="0"/>
                <w:sz w:val="17"/>
              </w:rPr>
              <w:t>Caremark 内容我读起来准确，未对照判例；已标 US-specific。</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fc-41</w:t>
            </w:r>
          </w:p>
        </w:tc>
        <w:tc>
          <w:tcPr>
            <w:tcW w:type="dxa" w:w="9751"/>
          </w:tcPr>
          <w:p>
            <w:pPr>
              <w:spacing w:after="40"/>
            </w:pPr>
            <w:r>
              <w:rPr>
                <w:b w:val="0"/>
                <w:sz w:val="17"/>
              </w:rPr>
              <w:t>GOVERN 1.3 是否对应"战略一致"我不确定；COBIT EDM02 的指向请核对。</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fc-42</w:t>
            </w:r>
          </w:p>
        </w:tc>
        <w:tc>
          <w:tcPr>
            <w:tcW w:type="dxa" w:w="9751"/>
          </w:tcPr>
          <w:p>
            <w:pPr>
              <w:spacing w:after="40"/>
            </w:pPr>
            <w:r>
              <w:rPr>
                <w:b w:val="0"/>
                <w:sz w:val="17"/>
              </w:rPr>
              <w:t>COBIT 2019 EDM02 与 APO05（组合管理）作为"选择标准"出处是否贴切。</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fc-43</w:t>
            </w:r>
          </w:p>
        </w:tc>
        <w:tc>
          <w:tcPr>
            <w:tcW w:type="dxa" w:w="9751"/>
          </w:tcPr>
          <w:p>
            <w:pPr>
              <w:spacing w:after="40"/>
            </w:pPr>
            <w:r>
              <w:rPr>
                <w:b w:val="0"/>
                <w:sz w:val="17"/>
              </w:rPr>
              <w:t>质量维度清单是通用做法，Art. 10 没有逐项列出这六个维度；请确认"Commonly"的表述可接受，MAP 2.3 对应是否合适。</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fc-44</w:t>
            </w:r>
          </w:p>
        </w:tc>
        <w:tc>
          <w:tcPr>
            <w:tcW w:type="dxa" w:w="9751"/>
          </w:tcPr>
          <w:p>
            <w:pPr>
              <w:spacing w:after="40"/>
            </w:pPr>
            <w:r>
              <w:rPr>
                <w:b w:val="0"/>
                <w:sz w:val="17"/>
              </w:rPr>
              <w:t>COBIT 2019 APO14（Managed Data）是否把质量责任归到业务职能，请核对。</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fc-45</w:t>
            </w:r>
          </w:p>
        </w:tc>
        <w:tc>
          <w:tcPr>
            <w:tcW w:type="dxa" w:w="9751"/>
          </w:tcPr>
          <w:p>
            <w:pPr>
              <w:spacing w:after="40"/>
            </w:pPr>
            <w:r>
              <w:rPr>
                <w:b w:val="0"/>
                <w:sz w:val="17"/>
              </w:rPr>
              <w:t>"data contract"不是 NIST 或 ISO 术语，是工程实践用语；MAP 2.3 / MANAGE 4.1 只是相关，并非直接定义。请决定是否保留或降为拓展。</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fc-46</w:t>
            </w:r>
          </w:p>
        </w:tc>
        <w:tc>
          <w:tcPr>
            <w:tcW w:type="dxa" w:w="9751"/>
          </w:tcPr>
          <w:p>
            <w:pPr>
              <w:spacing w:after="40"/>
            </w:pPr>
            <w:r>
              <w:rPr>
                <w:b w:val="0"/>
                <w:sz w:val="17"/>
              </w:rPr>
              <w:t>Art. 12 要求高风险系统自动记录事件；"输入、输出、模型版本、检索来源、人工干预"这个清单是我整理的，不是条文原文。MEASURE 2.8 对应是否贴切请核对。</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fc-47</w:t>
            </w:r>
          </w:p>
        </w:tc>
        <w:tc>
          <w:tcPr>
            <w:tcW w:type="dxa" w:w="9751"/>
          </w:tcPr>
          <w:p>
            <w:pPr>
              <w:spacing w:after="40"/>
            </w:pPr>
            <w:r>
              <w:rPr>
                <w:b w:val="0"/>
                <w:sz w:val="17"/>
              </w:rPr>
              <w:t>"部署者至少保留六个月日志"出自我对 Art. 26(6) 的记忆，需对照原文；Art. 19 是提供者的日志保存义务，请确认引用组合。</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fc-48</w:t>
            </w:r>
          </w:p>
        </w:tc>
        <w:tc>
          <w:tcPr>
            <w:tcW w:type="dxa" w:w="9751"/>
          </w:tcPr>
          <w:p>
            <w:pPr>
              <w:spacing w:after="40"/>
            </w:pPr>
            <w:r>
              <w:rPr>
                <w:b w:val="0"/>
                <w:sz w:val="17"/>
              </w:rPr>
              <w:t>"continuous assurance"不是 NIST 或 IIA 术语；背面把第二、三道防线的做法放在一起，请确认符合 ISACA 的说法。</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fc-49</w:t>
            </w:r>
          </w:p>
        </w:tc>
        <w:tc>
          <w:tcPr>
            <w:tcW w:type="dxa" w:w="9751"/>
          </w:tcPr>
          <w:p>
            <w:pPr>
              <w:spacing w:after="40"/>
            </w:pPr>
            <w:r>
              <w:rPr>
                <w:b w:val="0"/>
                <w:sz w:val="17"/>
              </w:rPr>
              <w:t>COBIT EDM02 与 NIST MAP 3.1 的对应是否贴切。</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fc-50</w:t>
            </w:r>
          </w:p>
        </w:tc>
        <w:tc>
          <w:tcPr>
            <w:tcW w:type="dxa" w:w="9751"/>
          </w:tcPr>
          <w:p>
            <w:pPr>
              <w:spacing w:after="40"/>
            </w:pPr>
            <w:r>
              <w:rPr>
                <w:b w:val="0"/>
                <w:sz w:val="17"/>
              </w:rPr>
              <w:t>卡片只有一句话；请判断是否内容太少、应并入 fc-49。</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fc-51</w:t>
            </w:r>
          </w:p>
        </w:tc>
        <w:tc>
          <w:tcPr>
            <w:tcW w:type="dxa" w:w="9751"/>
          </w:tcPr>
          <w:p>
            <w:pPr>
              <w:spacing w:after="40"/>
            </w:pPr>
            <w:r>
              <w:rPr>
                <w:b w:val="0"/>
                <w:sz w:val="17"/>
              </w:rPr>
              <w:t>GOVERN 1.3 与 MANAGE 2.4 是否对应"超出容忍度时的处置"请核对；"不得事后调高容忍度"是 ISACA 倾向的答案，不是来源原文。</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fc-52</w:t>
            </w:r>
          </w:p>
        </w:tc>
        <w:tc>
          <w:tcPr>
            <w:tcW w:type="dxa" w:w="9751"/>
          </w:tcPr>
          <w:p>
            <w:pPr>
              <w:spacing w:after="40"/>
            </w:pPr>
            <w:r>
              <w:rPr>
                <w:b w:val="0"/>
                <w:sz w:val="17"/>
              </w:rPr>
              <w:t>"变更需要批准和记录"的措辞是我补的，请核对 EDM03 与 IIA 文件是否支持。</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fc-53</w:t>
            </w:r>
          </w:p>
        </w:tc>
        <w:tc>
          <w:tcPr>
            <w:tcW w:type="dxa" w:w="9751"/>
          </w:tcPr>
          <w:p>
            <w:pPr>
              <w:spacing w:after="40"/>
            </w:pPr>
            <w:r>
              <w:rPr>
                <w:b w:val="0"/>
                <w:sz w:val="17"/>
              </w:rPr>
              <w:t>GOVERN 1.6 是 AI 系统清单的条款，我较有把握；ISO/IEC 42001 Annex A 没有指到具体编号，需对照正版。清单中"数据来源、链接到 model card"等项是我整理的。</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fc-54</w:t>
            </w:r>
          </w:p>
        </w:tc>
        <w:tc>
          <w:tcPr>
            <w:tcW w:type="dxa" w:w="9751"/>
          </w:tcPr>
          <w:p>
            <w:pPr>
              <w:spacing w:after="40"/>
            </w:pPr>
            <w:r>
              <w:rPr>
                <w:b w:val="0"/>
                <w:sz w:val="17"/>
              </w:rPr>
              <w:t>"程序采购检查和云账单审查"是我举的发现办法，不是来源原文。</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fc-55</w:t>
            </w:r>
          </w:p>
        </w:tc>
        <w:tc>
          <w:tcPr>
            <w:tcW w:type="dxa" w:w="9751"/>
          </w:tcPr>
          <w:p>
            <w:pPr>
              <w:spacing w:after="40"/>
            </w:pPr>
            <w:r>
              <w:rPr>
                <w:b w:val="0"/>
                <w:sz w:val="17"/>
              </w:rPr>
              <w:t>GOVERN 1.7（退役与下线流程）的对应请核对；"保留文档至保留期、不立即删除记录"是我的推论，来源没有明说。</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fc-56</w:t>
            </w:r>
          </w:p>
        </w:tc>
        <w:tc>
          <w:tcPr>
            <w:tcW w:type="dxa" w:w="9751"/>
          </w:tcPr>
          <w:p>
            <w:pPr>
              <w:spacing w:after="40"/>
            </w:pPr>
            <w:r>
              <w:rPr>
                <w:b w:val="0"/>
                <w:sz w:val="17"/>
              </w:rPr>
              <w:t>Art. 35(1)(3)(b)（大规模处理特殊类别数据须做 DPIA）较有把握；"必须在处理开始前完成"请核对 Art. 35(1)。AI Act 与 DPIA 的衔接我没有写。</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fc-57</w:t>
            </w:r>
          </w:p>
        </w:tc>
        <w:tc>
          <w:tcPr>
            <w:tcW w:type="dxa" w:w="9751"/>
          </w:tcPr>
          <w:p>
            <w:pPr>
              <w:spacing w:after="40"/>
            </w:pPr>
            <w:r>
              <w:rPr>
                <w:b w:val="0"/>
                <w:sz w:val="17"/>
              </w:rPr>
              <w:t>Art. 5(1)(b) 与 Art. 6(4)（兼容性考量因素）请核对；已改为"用 Art. 6(4) 的因素评估兼容性，并记录结果和所依赖的合法基础"。</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fc-58</w:t>
            </w:r>
          </w:p>
        </w:tc>
        <w:tc>
          <w:tcPr>
            <w:tcW w:type="dxa" w:w="9751"/>
          </w:tcPr>
          <w:p>
            <w:pPr>
              <w:spacing w:after="40"/>
            </w:pPr>
            <w:r>
              <w:rPr>
                <w:b w:val="0"/>
                <w:sz w:val="17"/>
              </w:rPr>
              <w:t>"representation drift"不是 NIST 的正式术语，是我对"服务人群变化导致训练数据不再代表"的叫法；请决定术语是否可用。</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fc-59</w:t>
            </w:r>
          </w:p>
        </w:tc>
        <w:tc>
          <w:tcPr>
            <w:tcW w:type="dxa" w:w="9751"/>
          </w:tcPr>
          <w:p>
            <w:pPr>
              <w:spacing w:after="40"/>
            </w:pPr>
            <w:r>
              <w:rPr>
                <w:b w:val="0"/>
                <w:sz w:val="17"/>
              </w:rPr>
              <w:t>MEASURE 2.11 与 NIST SP 1270 请核对；"让受影响社区参与定义公平标准"是否是来源里的说法。</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fc-60</w:t>
            </w:r>
          </w:p>
        </w:tc>
        <w:tc>
          <w:tcPr>
            <w:tcW w:type="dxa" w:w="9751"/>
          </w:tcPr>
          <w:p>
            <w:pPr>
              <w:spacing w:after="40"/>
            </w:pPr>
            <w:r>
              <w:rPr>
                <w:b w:val="0"/>
                <w:sz w:val="17"/>
              </w:rPr>
              <w:t>MAP 4.1 讲的是法律风险与第三方组件，与"合成数据标记"关系不直接；42001 Annex A.7.5（数据来源）请对照正版。</w:t>
            </w:r>
          </w:p>
        </w:tc>
        <w:tc>
          <w:tcPr>
            <w:tcW w:type="dxa" w:w="3742"/>
          </w:tcPr>
          <w:p>
            <w:pPr>
              <w:spacing w:after="40"/>
            </w:pPr>
            <w:r>
              <w:rPr>
                <w:b w:val="0"/>
                <w:sz w:val="17"/>
              </w:rPr>
              <w:t>□ 来源已核对，保留</w:t>
              <w:br/>
              <w:t>□ 需改（写在卡内意见栏）</w:t>
              <w:br/>
              <w:t>□ 手头无材料，保持"待核验"</w:t>
              <w:br/>
              <w:t>□ 删除</w:t>
            </w:r>
          </w:p>
        </w:tc>
      </w:tr>
      <w:tr>
        <w:trPr>
          <w:cantSplit/>
        </w:trPr>
        <w:tc>
          <w:tcPr>
            <w:tcW w:type="dxa" w:w="1134"/>
          </w:tcPr>
          <w:p>
            <w:pPr>
              <w:spacing w:after="40"/>
            </w:pPr>
            <w:r>
              <w:rPr>
                <w:b w:val="0"/>
                <w:sz w:val="17"/>
              </w:rPr>
              <w:t>fc-61</w:t>
            </w:r>
          </w:p>
        </w:tc>
        <w:tc>
          <w:tcPr>
            <w:tcW w:type="dxa" w:w="9751"/>
          </w:tcPr>
          <w:p>
            <w:pPr>
              <w:spacing w:after="40"/>
            </w:pPr>
            <w:r>
              <w:rPr>
                <w:b w:val="0"/>
                <w:sz w:val="17"/>
              </w:rPr>
              <w:t>GDPR Recital 26 与 MEASURE 2.10 请核对；"攻击测试"的具体做法是我整理的。</w:t>
            </w:r>
          </w:p>
        </w:tc>
        <w:tc>
          <w:tcPr>
            <w:tcW w:type="dxa" w:w="3742"/>
          </w:tcPr>
          <w:p>
            <w:pPr>
              <w:spacing w:after="40"/>
            </w:pPr>
            <w:r>
              <w:rPr>
                <w:b w:val="0"/>
                <w:sz w:val="17"/>
              </w:rPr>
              <w:t>□ 来源已核对，保留</w:t>
              <w:br/>
              <w:t>□ 需改（写在卡内意见栏）</w:t>
              <w:br/>
              <w:t>□ 手头无材料，保持"待核验"</w:t>
              <w:br/>
              <w:t>□ 删除</w:t>
            </w:r>
          </w:p>
        </w:tc>
      </w:tr>
    </w:tbl>
    <w:p>
      <w:r>
        <w:br w:type="page"/>
      </w:r>
    </w:p>
    <w:p>
      <w:pPr>
        <w:pStyle w:val="Heading2"/>
      </w:pPr>
      <w:r>
        <w:t>Q2　其他需要你判断的事项</w:t>
      </w:r>
    </w:p>
    <w:tbl>
      <w:tblPr>
        <w:tblStyle w:val="TableGrid"/>
        <w:tblW w:type="auto" w:w="0"/>
        <w:tblLayout w:type="fixed"/>
        <w:tblLook w:firstColumn="1" w:firstRow="1" w:lastColumn="0" w:lastRow="0" w:noHBand="0" w:noVBand="1" w:val="04A0"/>
      </w:tblPr>
      <w:tblGrid>
        <w:gridCol w:w="3506"/>
        <w:gridCol w:w="3506"/>
        <w:gridCol w:w="3506"/>
        <w:gridCol w:w="3506"/>
      </w:tblGrid>
      <w:tr>
        <w:trPr>
          <w:tblHeader/>
        </w:trPr>
        <w:tc>
          <w:tcPr>
            <w:tcW w:type="dxa" w:w="794"/>
            <w:shd w:val="clear" w:color="auto" w:fill="D9E2F3"/>
          </w:tcPr>
          <w:p>
            <w:pPr>
              <w:spacing w:after="40"/>
            </w:pPr>
            <w:r>
              <w:rPr>
                <w:b/>
                <w:sz w:val="18"/>
              </w:rPr>
              <w:t>编号</w:t>
            </w:r>
          </w:p>
        </w:tc>
        <w:tc>
          <w:tcPr>
            <w:tcW w:type="dxa" w:w="2494"/>
            <w:shd w:val="clear" w:color="auto" w:fill="D9E2F3"/>
          </w:tcPr>
          <w:p>
            <w:pPr>
              <w:spacing w:after="40"/>
            </w:pPr>
            <w:r>
              <w:rPr>
                <w:b/>
                <w:sz w:val="18"/>
              </w:rPr>
              <w:t>事项</w:t>
            </w:r>
          </w:p>
        </w:tc>
        <w:tc>
          <w:tcPr>
            <w:tcW w:type="dxa" w:w="6576"/>
            <w:shd w:val="clear" w:color="auto" w:fill="D9E2F3"/>
          </w:tcPr>
          <w:p>
            <w:pPr>
              <w:spacing w:after="40"/>
            </w:pPr>
            <w:r>
              <w:rPr>
                <w:b/>
                <w:sz w:val="18"/>
              </w:rPr>
              <w:t>说明</w:t>
            </w:r>
          </w:p>
        </w:tc>
        <w:tc>
          <w:tcPr>
            <w:tcW w:type="dxa" w:w="4762"/>
            <w:shd w:val="clear" w:color="auto" w:fill="D9E2F3"/>
          </w:tcPr>
          <w:p>
            <w:pPr>
              <w:spacing w:after="40"/>
            </w:pPr>
            <w:r>
              <w:rPr>
                <w:b/>
                <w:sz w:val="18"/>
              </w:rPr>
              <w:t>你的选择</w:t>
            </w:r>
          </w:p>
        </w:tc>
      </w:tr>
      <w:tr>
        <w:trPr>
          <w:cantSplit/>
        </w:trPr>
        <w:tc>
          <w:tcPr>
            <w:tcW w:type="dxa" w:w="794"/>
          </w:tcPr>
          <w:p>
            <w:pPr>
              <w:spacing w:after="40"/>
            </w:pPr>
            <w:r>
              <w:rPr>
                <w:b w:val="0"/>
                <w:sz w:val="18"/>
              </w:rPr>
              <w:t>Q2</w:t>
            </w:r>
          </w:p>
        </w:tc>
        <w:tc>
          <w:tcPr>
            <w:tcW w:type="dxa" w:w="2494"/>
          </w:tcPr>
          <w:p>
            <w:pPr>
              <w:spacing w:after="40"/>
            </w:pPr>
            <w:r>
              <w:rPr>
                <w:b w:val="0"/>
                <w:sz w:val="18"/>
              </w:rPr>
              <w:t>术语是否接受</w:t>
            </w:r>
          </w:p>
        </w:tc>
        <w:tc>
          <w:tcPr>
            <w:tcW w:type="dxa" w:w="6576"/>
          </w:tcPr>
          <w:p>
            <w:pPr>
              <w:spacing w:after="40"/>
            </w:pPr>
            <w:r>
              <w:rPr>
                <w:b w:val="0"/>
                <w:sz w:val="18"/>
              </w:rPr>
              <w:t>representation drift（fc-58）、data contract（fc-45）、continuous assurance（fc-48）都不是 NIST/ISO 的正式术语，是行业或我自己的叫法。</w:t>
            </w:r>
          </w:p>
        </w:tc>
        <w:tc>
          <w:tcPr>
            <w:tcW w:type="dxa" w:w="4762"/>
          </w:tcPr>
          <w:p>
            <w:pPr>
              <w:spacing w:after="40"/>
            </w:pPr>
            <w:r>
              <w:rPr>
                <w:b w:val="0"/>
                <w:sz w:val="18"/>
              </w:rPr>
              <w:t>□ 保留，作为通用说法　□ 保留，但在卡内注明"行业用语"　□ 改成来源里的术语：____　□ 删除</w:t>
            </w:r>
          </w:p>
        </w:tc>
      </w:tr>
      <w:tr>
        <w:trPr>
          <w:cantSplit/>
        </w:trPr>
        <w:tc>
          <w:tcPr>
            <w:tcW w:type="dxa" w:w="794"/>
          </w:tcPr>
          <w:p>
            <w:pPr>
              <w:spacing w:after="40"/>
            </w:pPr>
            <w:r>
              <w:rPr>
                <w:b w:val="0"/>
                <w:sz w:val="18"/>
              </w:rPr>
              <w:t>Q3</w:t>
            </w:r>
          </w:p>
        </w:tc>
        <w:tc>
          <w:tcPr>
            <w:tcW w:type="dxa" w:w="2494"/>
          </w:tcPr>
          <w:p>
            <w:pPr>
              <w:spacing w:after="40"/>
            </w:pPr>
            <w:r>
              <w:rPr>
                <w:b w:val="0"/>
                <w:sz w:val="18"/>
              </w:rPr>
              <w:t>fc-50 是否并入 fc-49</w:t>
            </w:r>
          </w:p>
        </w:tc>
        <w:tc>
          <w:tcPr>
            <w:tcW w:type="dxa" w:w="6576"/>
          </w:tcPr>
          <w:p>
            <w:pPr>
              <w:spacing w:after="40"/>
            </w:pPr>
            <w:r>
              <w:rPr>
                <w:b w:val="0"/>
                <w:sz w:val="18"/>
              </w:rPr>
              <w:t>fc-50（为什么要先设基线）只有一句话，与 fc-49（价值跟踪）高度相关。</w:t>
            </w:r>
          </w:p>
        </w:tc>
        <w:tc>
          <w:tcPr>
            <w:tcW w:type="dxa" w:w="4762"/>
          </w:tcPr>
          <w:p>
            <w:pPr>
              <w:spacing w:after="40"/>
            </w:pPr>
            <w:r>
              <w:rPr>
                <w:b w:val="0"/>
                <w:sz w:val="18"/>
              </w:rPr>
              <w:t>□ 保留两张　□ 并入 fc-49　□ 删除 fc-50</w:t>
            </w:r>
          </w:p>
        </w:tc>
      </w:tr>
      <w:tr>
        <w:trPr>
          <w:cantSplit/>
        </w:trPr>
        <w:tc>
          <w:tcPr>
            <w:tcW w:type="dxa" w:w="794"/>
          </w:tcPr>
          <w:p>
            <w:pPr>
              <w:spacing w:after="40"/>
            </w:pPr>
            <w:r>
              <w:rPr>
                <w:b w:val="0"/>
                <w:sz w:val="18"/>
              </w:rPr>
              <w:t>Q4</w:t>
            </w:r>
          </w:p>
        </w:tc>
        <w:tc>
          <w:tcPr>
            <w:tcW w:type="dxa" w:w="2494"/>
          </w:tcPr>
          <w:p>
            <w:pPr>
              <w:spacing w:after="40"/>
            </w:pPr>
            <w:r>
              <w:rPr>
                <w:b w:val="0"/>
                <w:sz w:val="18"/>
              </w:rPr>
              <w:t>新卡的"六个月"（fc-47）</w:t>
            </w:r>
          </w:p>
        </w:tc>
        <w:tc>
          <w:tcPr>
            <w:tcW w:type="dxa" w:w="6576"/>
          </w:tcPr>
          <w:p>
            <w:pPr>
              <w:spacing w:after="40"/>
            </w:pPr>
            <w:r>
              <w:rPr>
                <w:b w:val="0"/>
                <w:sz w:val="18"/>
              </w:rPr>
              <w:t>如果你核实 Art. 26(6) 的"至少六个月"成立，该卡可去掉待核验；如果措辞不同，请写出原文表述。</w:t>
            </w:r>
          </w:p>
        </w:tc>
        <w:tc>
          <w:tcPr>
            <w:tcW w:type="dxa" w:w="4762"/>
          </w:tcPr>
          <w:p>
            <w:pPr>
              <w:spacing w:after="40"/>
            </w:pPr>
            <w:r>
              <w:rPr>
                <w:b w:val="0"/>
                <w:sz w:val="18"/>
              </w:rPr>
              <w:t>□ 成立　□ 措辞不同：____　□ 无法核对</w:t>
            </w:r>
          </w:p>
        </w:tc>
      </w:tr>
      <w:tr>
        <w:trPr>
          <w:cantSplit/>
        </w:trPr>
        <w:tc>
          <w:tcPr>
            <w:tcW w:type="dxa" w:w="794"/>
          </w:tcPr>
          <w:p>
            <w:pPr>
              <w:spacing w:after="40"/>
            </w:pPr>
            <w:r>
              <w:rPr>
                <w:b w:val="0"/>
                <w:sz w:val="18"/>
              </w:rPr>
              <w:t>Q5</w:t>
            </w:r>
          </w:p>
        </w:tc>
        <w:tc>
          <w:tcPr>
            <w:tcW w:type="dxa" w:w="2494"/>
          </w:tcPr>
          <w:p>
            <w:pPr>
              <w:spacing w:after="40"/>
            </w:pPr>
            <w:r>
              <w:rPr>
                <w:b w:val="0"/>
                <w:sz w:val="18"/>
              </w:rPr>
              <w:t>是否写入复核人信息</w:t>
            </w:r>
          </w:p>
        </w:tc>
        <w:tc>
          <w:tcPr>
            <w:tcW w:type="dxa" w:w="6576"/>
          </w:tcPr>
          <w:p>
            <w:pPr>
              <w:spacing w:after="40"/>
            </w:pPr>
            <w:r>
              <w:rPr>
                <w:b w:val="0"/>
                <w:sz w:val="18"/>
              </w:rPr>
              <w:t>当前所有卡片的 reviewStatus 都是 unreviewed，我没有写入任何人的身份。若你同意把复核人和日期写入元数据，请提供姓名（或"某某，ISACA 认证/资质说明"）和日期。</w:t>
            </w:r>
          </w:p>
        </w:tc>
        <w:tc>
          <w:tcPr>
            <w:tcW w:type="dxa" w:w="4762"/>
          </w:tcPr>
          <w:p>
            <w:pPr>
              <w:spacing w:after="40"/>
            </w:pPr>
            <w:r>
              <w:rPr>
                <w:b w:val="0"/>
                <w:sz w:val="18"/>
              </w:rPr>
              <w:t>□ 不写入　□ 写入：姓名____ 日期____ 资质说明____</w:t>
            </w:r>
          </w:p>
        </w:tc>
      </w:tr>
      <w:tr>
        <w:trPr>
          <w:cantSplit/>
        </w:trPr>
        <w:tc>
          <w:tcPr>
            <w:tcW w:type="dxa" w:w="794"/>
          </w:tcPr>
          <w:p>
            <w:pPr>
              <w:spacing w:after="40"/>
            </w:pPr>
            <w:r>
              <w:rPr>
                <w:b w:val="0"/>
                <w:sz w:val="18"/>
              </w:rPr>
              <w:t>Q6</w:t>
            </w:r>
          </w:p>
        </w:tc>
        <w:tc>
          <w:tcPr>
            <w:tcW w:type="dxa" w:w="2494"/>
          </w:tcPr>
          <w:p>
            <w:pPr>
              <w:spacing w:after="40"/>
            </w:pPr>
            <w:r>
              <w:rPr>
                <w:b w:val="0"/>
                <w:sz w:val="18"/>
              </w:rPr>
              <w:t>D2 卡片比例</w:t>
            </w:r>
          </w:p>
        </w:tc>
        <w:tc>
          <w:tcPr>
            <w:tcW w:type="dxa" w:w="6576"/>
          </w:tcPr>
          <w:p>
            <w:pPr>
              <w:spacing w:after="40"/>
            </w:pPr>
            <w:r>
              <w:rPr>
                <w:b w:val="0"/>
                <w:sz w:val="18"/>
              </w:rPr>
              <w:t>现在 D2 有 29 张（约 29%）。D1 29、D3 31、legacy D4 的 10 张按你的归类后在 D1/D3。</w:t>
            </w:r>
          </w:p>
        </w:tc>
        <w:tc>
          <w:tcPr>
            <w:tcW w:type="dxa" w:w="4762"/>
          </w:tcPr>
          <w:p>
            <w:pPr>
              <w:spacing w:after="40"/>
            </w:pPr>
            <w:r>
              <w:rPr>
                <w:b w:val="0"/>
                <w:sz w:val="18"/>
              </w:rPr>
              <w:t>□ 比例可以　□ D2 还应再增加：____ 张，主题：____</w:t>
            </w:r>
          </w:p>
        </w:tc>
      </w:tr>
    </w:tbl>
    <w:p>
      <w:pPr>
        <w:spacing w:after="60"/>
      </w:pPr>
      <w:r>
        <w:rPr>
          <w:b w:val="0"/>
        </w:rPr>
      </w:r>
    </w:p>
    <w:p>
      <w:pPr>
        <w:pStyle w:val="Heading2"/>
      </w:pPr>
      <w:r>
        <w:t>这份册子之后我会怎么处理</w:t>
      </w:r>
    </w:p>
    <w:p>
      <w:pPr>
        <w:pStyle w:val="ListBullet"/>
        <w:spacing w:after="40"/>
      </w:pPr>
      <w:r>
        <w:t>你返回后，我只按你勾选的决定改卡；你选"通过"的卡，我只移除待核验标签，不动文字。</w:t>
      </w:r>
    </w:p>
    <w:p>
      <w:pPr>
        <w:pStyle w:val="ListBullet"/>
        <w:spacing w:after="40"/>
      </w:pPr>
      <w:r>
        <w:t>你选"修改"但没写具体文字的，我会改完后把"改前/改后"列出来让你确认，不会静默改。</w:t>
      </w:r>
    </w:p>
    <w:p>
      <w:pPr>
        <w:pStyle w:val="ListBullet"/>
        <w:spacing w:after="40"/>
      </w:pPr>
      <w:r>
        <w:t>我不会在你确认来源之前，把任何新卡写成"已核验"或在 sourceUrl 里补链接。</w:t>
      </w:r>
    </w:p>
    <w:p>
      <w:r>
        <w:br w:type="page"/>
      </w:r>
    </w:p>
    <w:p>
      <w:pPr>
        <w:pStyle w:val="Heading1"/>
      </w:pPr>
      <w:r>
        <w:t>第三部分　99 张卡的完整内容与复核栏</w:t>
      </w:r>
    </w:p>
    <w:p>
      <w:pPr>
        <w:spacing w:after="60"/>
      </w:pPr>
      <w:r>
        <w:rPr>
          <w:b w:val="0"/>
          <w:sz w:val="18"/>
        </w:rPr>
        <w:t>每张卡的单元格里：topic 与 domain、正面、背面、要点、来源。⚑ 是我在第二部分 Q1 里标出的疑点。复核栏的 R1–R7：□ 通过 / ✗ 不通过 / ? 无法判断。</w:t>
      </w:r>
    </w:p>
    <w:p>
      <w:pPr>
        <w:pStyle w:val="Heading2"/>
      </w:pPr>
      <w:r>
        <w:t>A　新增卡（21 张，全部由我撰写，状态：待核验）</w:t>
      </w:r>
    </w:p>
    <w:tbl>
      <w:tblPr>
        <w:tblStyle w:val="TableGrid"/>
        <w:tblW w:type="auto" w:w="0"/>
        <w:tblLayout w:type="fixed"/>
        <w:tblLook w:firstColumn="1" w:firstRow="1" w:lastColumn="0" w:lastRow="0" w:noHBand="0" w:noVBand="1" w:val="04A0"/>
      </w:tblPr>
      <w:tblGrid>
        <w:gridCol w:w="2338"/>
        <w:gridCol w:w="2338"/>
        <w:gridCol w:w="2338"/>
        <w:gridCol w:w="2338"/>
        <w:gridCol w:w="2338"/>
        <w:gridCol w:w="2338"/>
      </w:tblGrid>
      <w:tr>
        <w:trPr>
          <w:tblHeader/>
        </w:trPr>
        <w:tc>
          <w:tcPr>
            <w:tcW w:type="dxa" w:w="1474"/>
            <w:shd w:val="clear" w:color="auto" w:fill="FFF2CC"/>
          </w:tcPr>
          <w:p>
            <w:pPr>
              <w:spacing w:after="40"/>
            </w:pPr>
            <w:r>
              <w:rPr>
                <w:b/>
                <w:sz w:val="18"/>
              </w:rPr>
              <w:t>卡片</w:t>
            </w:r>
          </w:p>
        </w:tc>
        <w:tc>
          <w:tcPr>
            <w:tcW w:type="dxa" w:w="2041"/>
            <w:shd w:val="clear" w:color="auto" w:fill="FFF2CC"/>
          </w:tcPr>
          <w:p>
            <w:pPr>
              <w:spacing w:after="40"/>
            </w:pPr>
            <w:r>
              <w:rPr>
                <w:b/>
                <w:sz w:val="18"/>
              </w:rPr>
              <w:t>正面</w:t>
            </w:r>
          </w:p>
        </w:tc>
        <w:tc>
          <w:tcPr>
            <w:tcW w:type="dxa" w:w="4195"/>
            <w:shd w:val="clear" w:color="auto" w:fill="FFF2CC"/>
          </w:tcPr>
          <w:p>
            <w:pPr>
              <w:spacing w:after="40"/>
            </w:pPr>
            <w:r>
              <w:rPr>
                <w:b/>
                <w:sz w:val="18"/>
              </w:rPr>
              <w:t>背面</w:t>
            </w:r>
          </w:p>
        </w:tc>
        <w:tc>
          <w:tcPr>
            <w:tcW w:type="dxa" w:w="1814"/>
            <w:shd w:val="clear" w:color="auto" w:fill="FFF2CC"/>
          </w:tcPr>
          <w:p>
            <w:pPr>
              <w:spacing w:after="40"/>
            </w:pPr>
            <w:r>
              <w:rPr>
                <w:b/>
                <w:sz w:val="18"/>
              </w:rPr>
              <w:t>要点</w:t>
            </w:r>
          </w:p>
        </w:tc>
        <w:tc>
          <w:tcPr>
            <w:tcW w:type="dxa" w:w="2041"/>
            <w:shd w:val="clear" w:color="auto" w:fill="FFF2CC"/>
          </w:tcPr>
          <w:p>
            <w:pPr>
              <w:spacing w:after="40"/>
            </w:pPr>
            <w:r>
              <w:rPr>
                <w:b/>
                <w:sz w:val="18"/>
              </w:rPr>
              <w:t>来源</w:t>
            </w:r>
          </w:p>
        </w:tc>
        <w:tc>
          <w:tcPr>
            <w:tcW w:type="dxa" w:w="2948"/>
            <w:shd w:val="clear" w:color="auto" w:fill="FFF2CC"/>
          </w:tcPr>
          <w:p>
            <w:pPr>
              <w:spacing w:after="40"/>
            </w:pPr>
            <w:r>
              <w:rPr>
                <w:b/>
                <w:sz w:val="18"/>
              </w:rPr>
              <w:t>复核栏</w:t>
            </w:r>
          </w:p>
        </w:tc>
      </w:tr>
      <w:tr>
        <w:trPr>
          <w:cantSplit/>
        </w:trPr>
        <w:tc>
          <w:tcPr>
            <w:tcW w:type="dxa" w:w="1474"/>
          </w:tcPr>
          <w:p>
            <w:pPr>
              <w:spacing w:after="40"/>
            </w:pPr>
            <w:r>
              <w:rPr>
                <w:b/>
                <w:sz w:val="18"/>
              </w:rPr>
              <w:t>fc-41</w:t>
            </w:r>
          </w:p>
          <w:p>
            <w:pPr>
              <w:spacing w:after="40"/>
            </w:pPr>
            <w:r>
              <w:rPr>
                <w:b w:val="0"/>
                <w:sz w:val="17"/>
              </w:rPr>
              <w:t>Strategic alignment of AI initiatives</w:t>
            </w:r>
          </w:p>
          <w:p>
            <w:pPr>
              <w:spacing w:after="40"/>
            </w:pPr>
            <w:r>
              <w:rPr>
                <w:b w:val="0"/>
                <w:color w:val="5A5A5A"/>
                <w:sz w:val="17"/>
              </w:rPr>
              <w:t>D1</w:t>
            </w:r>
          </w:p>
          <w:p>
            <w:pPr>
              <w:spacing w:after="40"/>
            </w:pPr>
            <w:r>
              <w:rPr>
                <w:b/>
                <w:color w:val="C05000"/>
                <w:sz w:val="17"/>
              </w:rPr>
              <w:t>待核验</w:t>
            </w:r>
          </w:p>
        </w:tc>
        <w:tc>
          <w:tcPr>
            <w:tcW w:type="dxa" w:w="2041"/>
          </w:tcPr>
          <w:p>
            <w:pPr>
              <w:spacing w:after="40"/>
            </w:pPr>
            <w:r>
              <w:rPr>
                <w:b w:val="0"/>
                <w:sz w:val="18"/>
              </w:rPr>
              <w:t>How can an organization show that an AI initiative is strategically aligned?</w:t>
            </w:r>
          </w:p>
        </w:tc>
        <w:tc>
          <w:tcPr>
            <w:tcW w:type="dxa" w:w="4195"/>
          </w:tcPr>
          <w:p>
            <w:pPr>
              <w:spacing w:after="40"/>
            </w:pPr>
            <w:r>
              <w:rPr>
                <w:b w:val="0"/>
                <w:sz w:val="18"/>
              </w:rPr>
              <w:t>Link each initiative to a named strategic objective, a measurable outcome and an accountable sponsor; review the AI portfolio against strategy periodically; stop or redirect initiatives that no longer support the objectives.</w:t>
            </w:r>
          </w:p>
          <w:p>
            <w:pPr>
              <w:spacing w:after="40"/>
            </w:pPr>
            <w:r>
              <w:rPr>
                <w:b w:val="0"/>
                <w:color w:val="787878"/>
                <w:sz w:val="16"/>
              </w:rPr>
              <w:t>（224 字）</w:t>
            </w:r>
          </w:p>
          <w:p>
            <w:pPr>
              <w:spacing w:after="40"/>
            </w:pPr>
            <w:r>
              <w:rPr>
                <w:b/>
                <w:color w:val="C00000"/>
                <w:sz w:val="17"/>
              </w:rPr>
              <w:t>⚑ GOVERN 1.3 是否对应"战略一致"我不确定；COBIT EDM02 的指向请核对。</w:t>
            </w:r>
          </w:p>
        </w:tc>
        <w:tc>
          <w:tcPr>
            <w:tcW w:type="dxa" w:w="1814"/>
          </w:tcPr>
          <w:p>
            <w:pPr>
              <w:spacing w:after="40"/>
            </w:pPr>
            <w:r>
              <w:rPr>
                <w:b w:val="0"/>
                <w:sz w:val="18"/>
              </w:rPr>
              <w:t>Alignment means a traceable link from each initiative to an objective, outcome and sponsor.</w:t>
            </w:r>
          </w:p>
        </w:tc>
        <w:tc>
          <w:tcPr>
            <w:tcW w:type="dxa" w:w="2041"/>
          </w:tcPr>
          <w:p>
            <w:pPr>
              <w:spacing w:after="40"/>
            </w:pPr>
            <w:r>
              <w:rPr>
                <w:b w:val="0"/>
                <w:sz w:val="17"/>
              </w:rPr>
              <w:t>COBIT 2019 EDM02; NIST AI RMF 1.0 GOVERN 1.3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fc-42</w:t>
            </w:r>
          </w:p>
          <w:p>
            <w:pPr>
              <w:spacing w:after="40"/>
            </w:pPr>
            <w:r>
              <w:rPr>
                <w:b w:val="0"/>
                <w:sz w:val="17"/>
              </w:rPr>
              <w:t>Prioritizing AI initiatives</w:t>
            </w:r>
          </w:p>
          <w:p>
            <w:pPr>
              <w:spacing w:after="40"/>
            </w:pPr>
            <w:r>
              <w:rPr>
                <w:b w:val="0"/>
                <w:color w:val="5A5A5A"/>
                <w:sz w:val="17"/>
              </w:rPr>
              <w:t>D1</w:t>
            </w:r>
          </w:p>
          <w:p>
            <w:pPr>
              <w:spacing w:after="40"/>
            </w:pPr>
            <w:r>
              <w:rPr>
                <w:b/>
                <w:color w:val="C05000"/>
                <w:sz w:val="17"/>
              </w:rPr>
              <w:t>待核验</w:t>
            </w:r>
          </w:p>
        </w:tc>
        <w:tc>
          <w:tcPr>
            <w:tcW w:type="dxa" w:w="2041"/>
          </w:tcPr>
          <w:p>
            <w:pPr>
              <w:spacing w:after="40"/>
            </w:pPr>
            <w:r>
              <w:rPr>
                <w:b w:val="0"/>
                <w:sz w:val="18"/>
              </w:rPr>
              <w:t>What criteria should be used to choose among competing AI initiatives?</w:t>
            </w:r>
          </w:p>
        </w:tc>
        <w:tc>
          <w:tcPr>
            <w:tcW w:type="dxa" w:w="4195"/>
          </w:tcPr>
          <w:p>
            <w:pPr>
              <w:spacing w:after="40"/>
            </w:pPr>
            <w:r>
              <w:rPr>
                <w:b w:val="0"/>
                <w:sz w:val="18"/>
              </w:rPr>
              <w:t>Score each on strategic fit, expected value, risk and delivery capacity using common criteria. Sponsor enthusiasm, lowest cost or technological novelty are not reliable indicators of benefit.</w:t>
            </w:r>
          </w:p>
          <w:p>
            <w:pPr>
              <w:spacing w:after="40"/>
            </w:pPr>
            <w:r>
              <w:rPr>
                <w:b w:val="0"/>
                <w:color w:val="787878"/>
                <w:sz w:val="16"/>
              </w:rPr>
              <w:t>（191 字）</w:t>
            </w:r>
          </w:p>
          <w:p>
            <w:pPr>
              <w:spacing w:after="40"/>
            </w:pPr>
            <w:r>
              <w:rPr>
                <w:b/>
                <w:color w:val="C00000"/>
                <w:sz w:val="17"/>
              </w:rPr>
              <w:t>⚑ COBIT 2019 EDM02 与 APO05（组合管理）作为"选择标准"出处是否贴切。</w:t>
            </w:r>
          </w:p>
        </w:tc>
        <w:tc>
          <w:tcPr>
            <w:tcW w:type="dxa" w:w="1814"/>
          </w:tcPr>
          <w:p>
            <w:pPr>
              <w:spacing w:after="40"/>
            </w:pPr>
            <w:r>
              <w:rPr>
                <w:b w:val="0"/>
                <w:sz w:val="18"/>
              </w:rPr>
              <w:t>Choose with common criteria: fit, value, risk and delivery capacity.</w:t>
            </w:r>
          </w:p>
        </w:tc>
        <w:tc>
          <w:tcPr>
            <w:tcW w:type="dxa" w:w="2041"/>
          </w:tcPr>
          <w:p>
            <w:pPr>
              <w:spacing w:after="40"/>
            </w:pPr>
            <w:r>
              <w:rPr>
                <w:b w:val="0"/>
                <w:sz w:val="17"/>
              </w:rPr>
              <w:t>COBIT 2019 EDM02 &amp; APO05</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fc-43</w:t>
            </w:r>
          </w:p>
          <w:p>
            <w:pPr>
              <w:spacing w:after="40"/>
            </w:pPr>
            <w:r>
              <w:rPr>
                <w:b w:val="0"/>
                <w:sz w:val="17"/>
              </w:rPr>
              <w:t>Data quality dimensions</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Which quality dimensions matter for AI training data?</w:t>
            </w:r>
          </w:p>
        </w:tc>
        <w:tc>
          <w:tcPr>
            <w:tcW w:type="dxa" w:w="4195"/>
          </w:tcPr>
          <w:p>
            <w:pPr>
              <w:spacing w:after="40"/>
            </w:pPr>
            <w:r>
              <w:rPr>
                <w:b w:val="0"/>
                <w:sz w:val="18"/>
              </w:rPr>
              <w:t>Commonly: completeness, accuracy, consistency, timeliness, validity and uniqueness, plus relevance and representativeness for the intended use. Quality is judged against the intended purpose, not in the abstract.</w:t>
            </w:r>
          </w:p>
          <w:p>
            <w:pPr>
              <w:spacing w:after="40"/>
            </w:pPr>
            <w:r>
              <w:rPr>
                <w:b w:val="0"/>
                <w:color w:val="787878"/>
                <w:sz w:val="16"/>
              </w:rPr>
              <w:t>（212 字）</w:t>
            </w:r>
          </w:p>
          <w:p>
            <w:pPr>
              <w:spacing w:after="40"/>
            </w:pPr>
            <w:r>
              <w:rPr>
                <w:b/>
                <w:color w:val="C00000"/>
                <w:sz w:val="17"/>
              </w:rPr>
              <w:t>⚑ 质量维度清单是通用做法，Art. 10 没有逐项列出这六个维度；请确认"Commonly"的表述可接受，MAP 2.3 对应是否合适。</w:t>
            </w:r>
          </w:p>
        </w:tc>
        <w:tc>
          <w:tcPr>
            <w:tcW w:type="dxa" w:w="1814"/>
          </w:tcPr>
          <w:p>
            <w:pPr>
              <w:spacing w:after="40"/>
            </w:pPr>
            <w:r>
              <w:rPr>
                <w:b w:val="0"/>
                <w:sz w:val="18"/>
              </w:rPr>
              <w:t>Judge data quality against the intended use.</w:t>
            </w:r>
          </w:p>
        </w:tc>
        <w:tc>
          <w:tcPr>
            <w:tcW w:type="dxa" w:w="2041"/>
          </w:tcPr>
          <w:p>
            <w:pPr>
              <w:spacing w:after="40"/>
            </w:pPr>
            <w:r>
              <w:rPr>
                <w:b w:val="0"/>
                <w:sz w:val="17"/>
              </w:rPr>
              <w:t>EU AI Act Art. 10; NIST AI RMF 1.0 MAP 2.3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fc-44</w:t>
            </w:r>
          </w:p>
          <w:p>
            <w:pPr>
              <w:spacing w:after="40"/>
            </w:pPr>
            <w:r>
              <w:rPr>
                <w:b w:val="0"/>
                <w:sz w:val="17"/>
              </w:rPr>
              <w:t>Data quality ownership</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Who should own the quality of data used by an AI system?</w:t>
            </w:r>
          </w:p>
        </w:tc>
        <w:tc>
          <w:tcPr>
            <w:tcW w:type="dxa" w:w="4195"/>
          </w:tcPr>
          <w:p>
            <w:pPr>
              <w:spacing w:after="40"/>
            </w:pPr>
            <w:r>
              <w:rPr>
                <w:b w:val="0"/>
                <w:sz w:val="18"/>
              </w:rPr>
              <w:t>The business function that creates and depends on the data should own its quality, with data governance providing standards and support. It should not rest only with the team that trains the model or the team that hosts the data.</w:t>
            </w:r>
          </w:p>
          <w:p>
            <w:pPr>
              <w:spacing w:after="40"/>
            </w:pPr>
            <w:r>
              <w:rPr>
                <w:b w:val="0"/>
                <w:color w:val="787878"/>
                <w:sz w:val="16"/>
              </w:rPr>
              <w:t>（229 字）</w:t>
            </w:r>
          </w:p>
          <w:p>
            <w:pPr>
              <w:spacing w:after="40"/>
            </w:pPr>
            <w:r>
              <w:rPr>
                <w:b/>
                <w:color w:val="C00000"/>
                <w:sz w:val="17"/>
              </w:rPr>
              <w:t>⚑ COBIT 2019 APO14（Managed Data）是否把质量责任归到业务职能，请核对。</w:t>
            </w:r>
          </w:p>
        </w:tc>
        <w:tc>
          <w:tcPr>
            <w:tcW w:type="dxa" w:w="1814"/>
          </w:tcPr>
          <w:p>
            <w:pPr>
              <w:spacing w:after="40"/>
            </w:pPr>
            <w:r>
              <w:rPr>
                <w:b w:val="0"/>
                <w:sz w:val="18"/>
              </w:rPr>
              <w:t>Data quality belongs to the business function that creates and uses the data.</w:t>
            </w:r>
          </w:p>
        </w:tc>
        <w:tc>
          <w:tcPr>
            <w:tcW w:type="dxa" w:w="2041"/>
          </w:tcPr>
          <w:p>
            <w:pPr>
              <w:spacing w:after="40"/>
            </w:pPr>
            <w:r>
              <w:rPr>
                <w:b w:val="0"/>
                <w:sz w:val="17"/>
              </w:rPr>
              <w:t>COBIT 2019 APO14; NIST AI RMF 1.0 GOVERN 2.1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fc-45</w:t>
            </w:r>
          </w:p>
          <w:p>
            <w:pPr>
              <w:spacing w:after="40"/>
            </w:pPr>
            <w:r>
              <w:rPr>
                <w:b w:val="0"/>
                <w:sz w:val="17"/>
              </w:rPr>
              <w:t>Data contracts</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How does a data contract protect an AI system from bad input data?</w:t>
            </w:r>
          </w:p>
        </w:tc>
        <w:tc>
          <w:tcPr>
            <w:tcW w:type="dxa" w:w="4195"/>
          </w:tcPr>
          <w:p>
            <w:pPr>
              <w:spacing w:after="40"/>
            </w:pPr>
            <w:r>
              <w:rPr>
                <w:b w:val="0"/>
                <w:sz w:val="18"/>
              </w:rPr>
              <w:t>A data contract states the expected structure, units, ranges and meaning of a data feed and is checked automatically when data arrives. It stops changes, such as a switch of units, from silently reaching the model.</w:t>
            </w:r>
          </w:p>
          <w:p>
            <w:pPr>
              <w:spacing w:after="40"/>
            </w:pPr>
            <w:r>
              <w:rPr>
                <w:b w:val="0"/>
                <w:color w:val="787878"/>
                <w:sz w:val="16"/>
              </w:rPr>
              <w:t>（214 字）</w:t>
            </w:r>
          </w:p>
          <w:p>
            <w:pPr>
              <w:spacing w:after="40"/>
            </w:pPr>
            <w:r>
              <w:rPr>
                <w:b/>
                <w:color w:val="C00000"/>
                <w:sz w:val="17"/>
              </w:rPr>
              <w:t>⚑ "data contract"不是 NIST 或 ISO 术语，是工程实践用语；MAP 2.3 / MANAGE 4.1 只是相关，并非直接定义。请决定是否保留或降为拓展。</w:t>
            </w:r>
          </w:p>
        </w:tc>
        <w:tc>
          <w:tcPr>
            <w:tcW w:type="dxa" w:w="1814"/>
          </w:tcPr>
          <w:p>
            <w:pPr>
              <w:spacing w:after="40"/>
            </w:pPr>
            <w:r>
              <w:rPr>
                <w:b w:val="0"/>
                <w:sz w:val="18"/>
              </w:rPr>
              <w:t>A data contract is checked at ingestion so bad input never reaches the model.</w:t>
            </w:r>
          </w:p>
        </w:tc>
        <w:tc>
          <w:tcPr>
            <w:tcW w:type="dxa" w:w="2041"/>
          </w:tcPr>
          <w:p>
            <w:pPr>
              <w:spacing w:after="40"/>
            </w:pPr>
            <w:r>
              <w:rPr>
                <w:b w:val="0"/>
                <w:sz w:val="17"/>
              </w:rPr>
              <w:t>NIST AI RMF 1.0 MAP 2.3 &amp; MANAGE 4.1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fc-46</w:t>
            </w:r>
          </w:p>
          <w:p>
            <w:pPr>
              <w:spacing w:after="40"/>
            </w:pPr>
            <w:r>
              <w:rPr>
                <w:b w:val="0"/>
                <w:sz w:val="17"/>
              </w:rPr>
              <w:t>Logging for investigation</w:t>
            </w:r>
          </w:p>
          <w:p>
            <w:pPr>
              <w:spacing w:after="40"/>
            </w:pPr>
            <w:r>
              <w:rPr>
                <w:b w:val="0"/>
                <w:color w:val="5A5A5A"/>
                <w:sz w:val="17"/>
              </w:rPr>
              <w:t>D3</w:t>
            </w:r>
          </w:p>
          <w:p>
            <w:pPr>
              <w:spacing w:after="40"/>
            </w:pPr>
            <w:r>
              <w:rPr>
                <w:b/>
                <w:color w:val="C05000"/>
                <w:sz w:val="17"/>
              </w:rPr>
              <w:t>待核验</w:t>
            </w:r>
          </w:p>
        </w:tc>
        <w:tc>
          <w:tcPr>
            <w:tcW w:type="dxa" w:w="2041"/>
          </w:tcPr>
          <w:p>
            <w:pPr>
              <w:spacing w:after="40"/>
            </w:pPr>
            <w:r>
              <w:rPr>
                <w:b w:val="0"/>
                <w:sz w:val="18"/>
              </w:rPr>
              <w:t>What should AI system logs capture to support an investigation?</w:t>
            </w:r>
          </w:p>
        </w:tc>
        <w:tc>
          <w:tcPr>
            <w:tcW w:type="dxa" w:w="4195"/>
          </w:tcPr>
          <w:p>
            <w:pPr>
              <w:spacing w:after="40"/>
            </w:pPr>
            <w:r>
              <w:rPr>
                <w:b w:val="0"/>
                <w:sz w:val="18"/>
              </w:rPr>
              <w:t>Inputs, outputs, the model version, retrieved sources where applicable, and human overrides. The records should let investigators trace a specific output back to its cause.</w:t>
            </w:r>
          </w:p>
          <w:p>
            <w:pPr>
              <w:spacing w:after="40"/>
            </w:pPr>
            <w:r>
              <w:rPr>
                <w:b w:val="0"/>
                <w:color w:val="787878"/>
                <w:sz w:val="16"/>
              </w:rPr>
              <w:t>（172 字）</w:t>
            </w:r>
          </w:p>
          <w:p>
            <w:pPr>
              <w:spacing w:after="40"/>
            </w:pPr>
            <w:r>
              <w:rPr>
                <w:b/>
                <w:color w:val="C00000"/>
                <w:sz w:val="17"/>
              </w:rPr>
              <w:t>⚑ Art. 12 要求高风险系统自动记录事件；"输入、输出、模型版本、检索来源、人工干预"这个清单是我整理的，不是条文原文。MEASURE 2.8 对应是否贴切请核对。</w:t>
            </w:r>
          </w:p>
        </w:tc>
        <w:tc>
          <w:tcPr>
            <w:tcW w:type="dxa" w:w="1814"/>
          </w:tcPr>
          <w:p>
            <w:pPr>
              <w:spacing w:after="40"/>
            </w:pPr>
            <w:r>
              <w:rPr>
                <w:b w:val="0"/>
                <w:sz w:val="18"/>
              </w:rPr>
              <w:t>Log enough to trace one output to its inputs, version, sources and overrides.</w:t>
            </w:r>
          </w:p>
        </w:tc>
        <w:tc>
          <w:tcPr>
            <w:tcW w:type="dxa" w:w="2041"/>
          </w:tcPr>
          <w:p>
            <w:pPr>
              <w:spacing w:after="40"/>
            </w:pPr>
            <w:r>
              <w:rPr>
                <w:b w:val="0"/>
                <w:sz w:val="17"/>
              </w:rPr>
              <w:t>EU AI Act Art. 12; NIST AI RMF 1.0 MEASURE 2.8</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fc-47</w:t>
            </w:r>
          </w:p>
          <w:p>
            <w:pPr>
              <w:spacing w:after="40"/>
            </w:pPr>
            <w:r>
              <w:rPr>
                <w:b w:val="0"/>
                <w:sz w:val="17"/>
              </w:rPr>
              <w:t>Log retention</w:t>
            </w:r>
          </w:p>
          <w:p>
            <w:pPr>
              <w:spacing w:after="40"/>
            </w:pPr>
            <w:r>
              <w:rPr>
                <w:b w:val="0"/>
                <w:color w:val="5A5A5A"/>
                <w:sz w:val="17"/>
              </w:rPr>
              <w:t>D3</w:t>
            </w:r>
          </w:p>
          <w:p>
            <w:pPr>
              <w:spacing w:after="40"/>
            </w:pPr>
            <w:r>
              <w:rPr>
                <w:b/>
                <w:color w:val="C05000"/>
                <w:sz w:val="17"/>
              </w:rPr>
              <w:t>待核验</w:t>
            </w:r>
          </w:p>
        </w:tc>
        <w:tc>
          <w:tcPr>
            <w:tcW w:type="dxa" w:w="2041"/>
          </w:tcPr>
          <w:p>
            <w:pPr>
              <w:spacing w:after="40"/>
            </w:pPr>
            <w:r>
              <w:rPr>
                <w:b w:val="0"/>
                <w:sz w:val="18"/>
              </w:rPr>
              <w:t>How long should AI system logs be retained?</w:t>
            </w:r>
          </w:p>
        </w:tc>
        <w:tc>
          <w:tcPr>
            <w:tcW w:type="dxa" w:w="4195"/>
          </w:tcPr>
          <w:p>
            <w:pPr>
              <w:spacing w:after="40"/>
            </w:pPr>
            <w:r>
              <w:rPr>
                <w:b w:val="0"/>
                <w:sz w:val="18"/>
              </w:rPr>
              <w:t>For a period set by risk, purpose and legal requirements, not by storage cost. Under EU AI Act Art. 26(6), deployers of high-risk systems keep the logs they control for a period appropriate to the intended purpose, at least six months unless other law provides otherwise.</w:t>
            </w:r>
          </w:p>
          <w:p>
            <w:pPr>
              <w:spacing w:after="40"/>
            </w:pPr>
            <w:r>
              <w:rPr>
                <w:b w:val="0"/>
                <w:color w:val="787878"/>
                <w:sz w:val="16"/>
              </w:rPr>
              <w:t>（271 字）</w:t>
            </w:r>
          </w:p>
          <w:p>
            <w:pPr>
              <w:spacing w:after="40"/>
            </w:pPr>
            <w:r>
              <w:rPr>
                <w:b/>
                <w:color w:val="C00000"/>
                <w:sz w:val="17"/>
              </w:rPr>
              <w:t>⚑ "部署者至少保留六个月日志"出自我对 Art. 26(6) 的记忆，需对照原文；Art. 19 是提供者的日志保存义务，请确认引用组合。</w:t>
            </w:r>
          </w:p>
        </w:tc>
        <w:tc>
          <w:tcPr>
            <w:tcW w:type="dxa" w:w="1814"/>
          </w:tcPr>
          <w:p>
            <w:pPr>
              <w:spacing w:after="40"/>
            </w:pPr>
            <w:r>
              <w:rPr>
                <w:b w:val="0"/>
                <w:sz w:val="18"/>
              </w:rPr>
              <w:t>Retention follows risk and law; high-risk deployers keep logs at least six months (Art. 26(6)).</w:t>
            </w:r>
          </w:p>
        </w:tc>
        <w:tc>
          <w:tcPr>
            <w:tcW w:type="dxa" w:w="2041"/>
          </w:tcPr>
          <w:p>
            <w:pPr>
              <w:spacing w:after="40"/>
            </w:pPr>
            <w:r>
              <w:rPr>
                <w:b w:val="0"/>
                <w:sz w:val="17"/>
              </w:rPr>
              <w:t>EU AI Act Arts. 12, 19 &amp; 26(6)</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fc-48</w:t>
            </w:r>
          </w:p>
          <w:p>
            <w:pPr>
              <w:spacing w:after="40"/>
            </w:pPr>
            <w:r>
              <w:rPr>
                <w:b w:val="0"/>
                <w:sz w:val="17"/>
              </w:rPr>
              <w:t>Continuous assurance</w:t>
            </w:r>
          </w:p>
          <w:p>
            <w:pPr>
              <w:spacing w:after="40"/>
            </w:pPr>
            <w:r>
              <w:rPr>
                <w:b w:val="0"/>
                <w:color w:val="5A5A5A"/>
                <w:sz w:val="17"/>
              </w:rPr>
              <w:t>D3</w:t>
            </w:r>
          </w:p>
          <w:p>
            <w:pPr>
              <w:spacing w:after="40"/>
            </w:pPr>
            <w:r>
              <w:rPr>
                <w:b/>
                <w:color w:val="C05000"/>
                <w:sz w:val="17"/>
              </w:rPr>
              <w:t>待核验</w:t>
            </w:r>
          </w:p>
        </w:tc>
        <w:tc>
          <w:tcPr>
            <w:tcW w:type="dxa" w:w="2041"/>
          </w:tcPr>
          <w:p>
            <w:pPr>
              <w:spacing w:after="40"/>
            </w:pPr>
            <w:r>
              <w:rPr>
                <w:b w:val="0"/>
                <w:sz w:val="18"/>
              </w:rPr>
              <w:t>What is continuous assurance for AI systems?</w:t>
            </w:r>
          </w:p>
        </w:tc>
        <w:tc>
          <w:tcPr>
            <w:tcW w:type="dxa" w:w="4195"/>
          </w:tcPr>
          <w:p>
            <w:pPr>
              <w:spacing w:after="40"/>
            </w:pPr>
            <w:r>
              <w:rPr>
                <w:b w:val="0"/>
                <w:sz w:val="18"/>
              </w:rPr>
              <w:t>Ongoing automated monitoring that alerts owners when metrics cross agreed thresholds, plus independent periodic review: the second line challenges and internal audit tests controls by sampling. Self-assessment by the project team alone is not enough.</w:t>
            </w:r>
          </w:p>
          <w:p>
            <w:pPr>
              <w:spacing w:after="40"/>
            </w:pPr>
            <w:r>
              <w:rPr>
                <w:b w:val="0"/>
                <w:color w:val="787878"/>
                <w:sz w:val="16"/>
              </w:rPr>
              <w:t>（250 字）</w:t>
            </w:r>
          </w:p>
          <w:p>
            <w:pPr>
              <w:spacing w:after="40"/>
            </w:pPr>
            <w:r>
              <w:rPr>
                <w:b/>
                <w:color w:val="C00000"/>
                <w:sz w:val="17"/>
              </w:rPr>
              <w:t>⚑ "continuous assurance"不是 NIST 或 IIA 术语；背面把第二、三道防线的做法放在一起，请确认符合 ISACA 的说法。</w:t>
            </w:r>
          </w:p>
        </w:tc>
        <w:tc>
          <w:tcPr>
            <w:tcW w:type="dxa" w:w="1814"/>
          </w:tcPr>
          <w:p>
            <w:pPr>
              <w:spacing w:after="40"/>
            </w:pPr>
            <w:r>
              <w:rPr>
                <w:b w:val="0"/>
                <w:sz w:val="18"/>
              </w:rPr>
              <w:t>Combine automated threshold monitoring with independent second- and third-line review.</w:t>
            </w:r>
          </w:p>
        </w:tc>
        <w:tc>
          <w:tcPr>
            <w:tcW w:type="dxa" w:w="2041"/>
          </w:tcPr>
          <w:p>
            <w:pPr>
              <w:spacing w:after="40"/>
            </w:pPr>
            <w:r>
              <w:rPr>
                <w:b w:val="0"/>
                <w:sz w:val="17"/>
              </w:rPr>
              <w:t>IIA Three Lines Model (2020); NIST AI RMF 1.0 MANAGE 4.1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fc-49</w:t>
            </w:r>
          </w:p>
          <w:p>
            <w:pPr>
              <w:spacing w:after="40"/>
            </w:pPr>
            <w:r>
              <w:rPr>
                <w:b w:val="0"/>
                <w:sz w:val="17"/>
              </w:rPr>
              <w:t>Tracking realized value</w:t>
            </w:r>
          </w:p>
          <w:p>
            <w:pPr>
              <w:spacing w:after="40"/>
            </w:pPr>
            <w:r>
              <w:rPr>
                <w:b w:val="0"/>
                <w:color w:val="5A5A5A"/>
                <w:sz w:val="17"/>
              </w:rPr>
              <w:t>D3</w:t>
            </w:r>
          </w:p>
          <w:p>
            <w:pPr>
              <w:spacing w:after="40"/>
            </w:pPr>
            <w:r>
              <w:rPr>
                <w:b/>
                <w:color w:val="C05000"/>
                <w:sz w:val="17"/>
              </w:rPr>
              <w:t>待核验</w:t>
            </w:r>
          </w:p>
        </w:tc>
        <w:tc>
          <w:tcPr>
            <w:tcW w:type="dxa" w:w="2041"/>
          </w:tcPr>
          <w:p>
            <w:pPr>
              <w:spacing w:after="40"/>
            </w:pPr>
            <w:r>
              <w:rPr>
                <w:b w:val="0"/>
                <w:sz w:val="18"/>
              </w:rPr>
              <w:t>How should value realization be tracked after an AI system goes live?</w:t>
            </w:r>
          </w:p>
        </w:tc>
        <w:tc>
          <w:tcPr>
            <w:tcW w:type="dxa" w:w="4195"/>
          </w:tcPr>
          <w:p>
            <w:pPr>
              <w:spacing w:after="40"/>
            </w:pPr>
            <w:r>
              <w:rPr>
                <w:b w:val="0"/>
                <w:sz w:val="18"/>
              </w:rPr>
              <w:t>Compare outcomes with the pre-deployment baseline at set checkpoints, name an owner accountable for the benefits, and stop or redirect the initiative if results stay below agreed thresholds.</w:t>
            </w:r>
          </w:p>
          <w:p>
            <w:pPr>
              <w:spacing w:after="40"/>
            </w:pPr>
            <w:r>
              <w:rPr>
                <w:b w:val="0"/>
                <w:color w:val="787878"/>
                <w:sz w:val="16"/>
              </w:rPr>
              <w:t>（190 字）</w:t>
            </w:r>
          </w:p>
          <w:p>
            <w:pPr>
              <w:spacing w:after="40"/>
            </w:pPr>
            <w:r>
              <w:rPr>
                <w:b/>
                <w:color w:val="C00000"/>
                <w:sz w:val="17"/>
              </w:rPr>
              <w:t>⚑ COBIT EDM02 与 NIST MAP 3.1 的对应是否贴切。</w:t>
            </w:r>
          </w:p>
        </w:tc>
        <w:tc>
          <w:tcPr>
            <w:tcW w:type="dxa" w:w="1814"/>
          </w:tcPr>
          <w:p>
            <w:pPr>
              <w:spacing w:after="40"/>
            </w:pPr>
            <w:r>
              <w:rPr>
                <w:b w:val="0"/>
                <w:sz w:val="18"/>
              </w:rPr>
              <w:t>Measure realized benefits against the baseline, with a named benefit owner.</w:t>
            </w:r>
          </w:p>
        </w:tc>
        <w:tc>
          <w:tcPr>
            <w:tcW w:type="dxa" w:w="2041"/>
          </w:tcPr>
          <w:p>
            <w:pPr>
              <w:spacing w:after="40"/>
            </w:pPr>
            <w:r>
              <w:rPr>
                <w:b w:val="0"/>
                <w:sz w:val="17"/>
              </w:rPr>
              <w:t>COBIT 2019 EDM02; NIST AI RMF 1.0 MAP 3.1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fc-50</w:t>
            </w:r>
          </w:p>
          <w:p>
            <w:pPr>
              <w:spacing w:after="40"/>
            </w:pPr>
            <w:r>
              <w:rPr>
                <w:b w:val="0"/>
                <w:sz w:val="17"/>
              </w:rPr>
              <w:t>Baseline before deployment</w:t>
            </w:r>
          </w:p>
          <w:p>
            <w:pPr>
              <w:spacing w:after="40"/>
            </w:pPr>
            <w:r>
              <w:rPr>
                <w:b w:val="0"/>
                <w:color w:val="5A5A5A"/>
                <w:sz w:val="17"/>
              </w:rPr>
              <w:t>D3</w:t>
            </w:r>
          </w:p>
          <w:p>
            <w:pPr>
              <w:spacing w:after="40"/>
            </w:pPr>
            <w:r>
              <w:rPr>
                <w:b/>
                <w:color w:val="C05000"/>
                <w:sz w:val="17"/>
              </w:rPr>
              <w:t>待核验</w:t>
            </w:r>
          </w:p>
        </w:tc>
        <w:tc>
          <w:tcPr>
            <w:tcW w:type="dxa" w:w="2041"/>
          </w:tcPr>
          <w:p>
            <w:pPr>
              <w:spacing w:after="40"/>
            </w:pPr>
            <w:r>
              <w:rPr>
                <w:b w:val="0"/>
                <w:sz w:val="18"/>
              </w:rPr>
              <w:t>Why set a baseline before deploying an AI system?</w:t>
            </w:r>
          </w:p>
        </w:tc>
        <w:tc>
          <w:tcPr>
            <w:tcW w:type="dxa" w:w="4195"/>
          </w:tcPr>
          <w:p>
            <w:pPr>
              <w:spacing w:after="40"/>
            </w:pPr>
            <w:r>
              <w:rPr>
                <w:b w:val="0"/>
                <w:sz w:val="18"/>
              </w:rPr>
              <w:t>Without a baseline, the benefits promised in the business case cannot be verified later, because there is nothing to compare the results with.</w:t>
            </w:r>
          </w:p>
          <w:p>
            <w:pPr>
              <w:spacing w:after="40"/>
            </w:pPr>
            <w:r>
              <w:rPr>
                <w:b w:val="0"/>
                <w:color w:val="787878"/>
                <w:sz w:val="16"/>
              </w:rPr>
              <w:t>（142 字）</w:t>
            </w:r>
          </w:p>
          <w:p>
            <w:pPr>
              <w:spacing w:after="40"/>
            </w:pPr>
            <w:r>
              <w:rPr>
                <w:b/>
                <w:color w:val="C00000"/>
                <w:sz w:val="17"/>
              </w:rPr>
              <w:t>⚑ 卡片只有一句话；请判断是否内容太少、应并入 fc-49。</w:t>
            </w:r>
          </w:p>
        </w:tc>
        <w:tc>
          <w:tcPr>
            <w:tcW w:type="dxa" w:w="1814"/>
          </w:tcPr>
          <w:p>
            <w:pPr>
              <w:spacing w:after="40"/>
            </w:pPr>
            <w:r>
              <w:rPr>
                <w:b w:val="0"/>
                <w:sz w:val="18"/>
              </w:rPr>
              <w:t>No baseline, no proof of value.</w:t>
            </w:r>
          </w:p>
        </w:tc>
        <w:tc>
          <w:tcPr>
            <w:tcW w:type="dxa" w:w="2041"/>
          </w:tcPr>
          <w:p>
            <w:pPr>
              <w:spacing w:after="40"/>
            </w:pPr>
            <w:r>
              <w:rPr>
                <w:b w:val="0"/>
                <w:sz w:val="17"/>
              </w:rPr>
              <w:t>COBIT 2019 EDM02</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fc-51</w:t>
            </w:r>
          </w:p>
          <w:p>
            <w:pPr>
              <w:spacing w:after="40"/>
            </w:pPr>
            <w:r>
              <w:rPr>
                <w:b w:val="0"/>
                <w:sz w:val="17"/>
              </w:rPr>
              <w:t>Responding to a tolerance breach</w:t>
            </w:r>
          </w:p>
          <w:p>
            <w:pPr>
              <w:spacing w:after="40"/>
            </w:pPr>
            <w:r>
              <w:rPr>
                <w:b w:val="0"/>
                <w:color w:val="5A5A5A"/>
                <w:sz w:val="17"/>
              </w:rPr>
              <w:t>D1</w:t>
            </w:r>
          </w:p>
          <w:p>
            <w:pPr>
              <w:spacing w:after="40"/>
            </w:pPr>
            <w:r>
              <w:rPr>
                <w:b/>
                <w:color w:val="C05000"/>
                <w:sz w:val="17"/>
              </w:rPr>
              <w:t>待核验</w:t>
            </w:r>
          </w:p>
        </w:tc>
        <w:tc>
          <w:tcPr>
            <w:tcW w:type="dxa" w:w="2041"/>
          </w:tcPr>
          <w:p>
            <w:pPr>
              <w:spacing w:after="40"/>
            </w:pPr>
            <w:r>
              <w:rPr>
                <w:b w:val="0"/>
                <w:sz w:val="18"/>
              </w:rPr>
              <w:t>What should happen when an AI system breaches a risk tolerance?</w:t>
            </w:r>
          </w:p>
        </w:tc>
        <w:tc>
          <w:tcPr>
            <w:tcW w:type="dxa" w:w="4195"/>
          </w:tcPr>
          <w:p>
            <w:pPr>
              <w:spacing w:after="40"/>
            </w:pPr>
            <w:r>
              <w:rPr>
                <w:b w:val="0"/>
                <w:sz w:val="18"/>
              </w:rPr>
              <w:t>Escalate through the agreed route, activate the predefined fallback, and investigate the cause. The tolerance is not raised after the breach, and the first line does not adjust it on its own.</w:t>
            </w:r>
          </w:p>
          <w:p>
            <w:pPr>
              <w:spacing w:after="40"/>
            </w:pPr>
            <w:r>
              <w:rPr>
                <w:b w:val="0"/>
                <w:color w:val="787878"/>
                <w:sz w:val="16"/>
              </w:rPr>
              <w:t>（191 字）</w:t>
            </w:r>
          </w:p>
          <w:p>
            <w:pPr>
              <w:spacing w:after="40"/>
            </w:pPr>
            <w:r>
              <w:rPr>
                <w:b/>
                <w:color w:val="C00000"/>
                <w:sz w:val="17"/>
              </w:rPr>
              <w:t>⚑ GOVERN 1.3 与 MANAGE 2.4 是否对应"超出容忍度时的处置"请核对；"不得事后调高容忍度"是 ISACA 倾向的答案，不是来源原文。</w:t>
            </w:r>
          </w:p>
        </w:tc>
        <w:tc>
          <w:tcPr>
            <w:tcW w:type="dxa" w:w="1814"/>
          </w:tcPr>
          <w:p>
            <w:pPr>
              <w:spacing w:after="40"/>
            </w:pPr>
            <w:r>
              <w:rPr>
                <w:b w:val="0"/>
                <w:sz w:val="18"/>
              </w:rPr>
              <w:t>Escalate and fall back; never move the limit after a breach.</w:t>
            </w:r>
          </w:p>
        </w:tc>
        <w:tc>
          <w:tcPr>
            <w:tcW w:type="dxa" w:w="2041"/>
          </w:tcPr>
          <w:p>
            <w:pPr>
              <w:spacing w:after="40"/>
            </w:pPr>
            <w:r>
              <w:rPr>
                <w:b w:val="0"/>
                <w:sz w:val="17"/>
              </w:rPr>
              <w:t>NIST AI RMF 1.0 GOVERN 1.3 &amp; MANAGE 2.4; COBIT 2019 EDM03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fc-52</w:t>
            </w:r>
          </w:p>
          <w:p>
            <w:pPr>
              <w:spacing w:after="40"/>
            </w:pPr>
            <w:r>
              <w:rPr>
                <w:b w:val="0"/>
                <w:sz w:val="17"/>
              </w:rPr>
              <w:t>Authority over risk appetite</w:t>
            </w:r>
          </w:p>
          <w:p>
            <w:pPr>
              <w:spacing w:after="40"/>
            </w:pPr>
            <w:r>
              <w:rPr>
                <w:b w:val="0"/>
                <w:color w:val="5A5A5A"/>
                <w:sz w:val="17"/>
              </w:rPr>
              <w:t>D1</w:t>
            </w:r>
          </w:p>
          <w:p>
            <w:pPr>
              <w:spacing w:after="40"/>
            </w:pPr>
            <w:r>
              <w:rPr>
                <w:b/>
                <w:color w:val="C05000"/>
                <w:sz w:val="17"/>
              </w:rPr>
              <w:t>待核验</w:t>
            </w:r>
          </w:p>
        </w:tc>
        <w:tc>
          <w:tcPr>
            <w:tcW w:type="dxa" w:w="2041"/>
          </w:tcPr>
          <w:p>
            <w:pPr>
              <w:spacing w:after="40"/>
            </w:pPr>
            <w:r>
              <w:rPr>
                <w:b w:val="0"/>
                <w:sz w:val="18"/>
              </w:rPr>
              <w:t>Who has authority to set and change AI risk appetite and tolerance?</w:t>
            </w:r>
          </w:p>
        </w:tc>
        <w:tc>
          <w:tcPr>
            <w:tcW w:type="dxa" w:w="4195"/>
          </w:tcPr>
          <w:p>
            <w:pPr>
              <w:spacing w:after="40"/>
            </w:pPr>
            <w:r>
              <w:rPr>
                <w:b w:val="0"/>
                <w:sz w:val="18"/>
              </w:rPr>
              <w:t>The governing body and senior management set them, and changes need approval and a record. The first line cannot change them unilaterally.</w:t>
            </w:r>
          </w:p>
          <w:p>
            <w:pPr>
              <w:spacing w:after="40"/>
            </w:pPr>
            <w:r>
              <w:rPr>
                <w:b w:val="0"/>
                <w:color w:val="787878"/>
                <w:sz w:val="16"/>
              </w:rPr>
              <w:t>（138 字）</w:t>
            </w:r>
          </w:p>
          <w:p>
            <w:pPr>
              <w:spacing w:after="40"/>
            </w:pPr>
            <w:r>
              <w:rPr>
                <w:b/>
                <w:color w:val="C00000"/>
                <w:sz w:val="17"/>
              </w:rPr>
              <w:t>⚑ "变更需要批准和记录"的措辞是我补的，请核对 EDM03 与 IIA 文件是否支持。</w:t>
            </w:r>
          </w:p>
        </w:tc>
        <w:tc>
          <w:tcPr>
            <w:tcW w:type="dxa" w:w="1814"/>
          </w:tcPr>
          <w:p>
            <w:pPr>
              <w:spacing w:after="40"/>
            </w:pPr>
            <w:r>
              <w:rPr>
                <w:b w:val="0"/>
                <w:sz w:val="18"/>
              </w:rPr>
              <w:t>Appetite and tolerance are set at the top; the first line cannot change them alone.</w:t>
            </w:r>
          </w:p>
        </w:tc>
        <w:tc>
          <w:tcPr>
            <w:tcW w:type="dxa" w:w="2041"/>
          </w:tcPr>
          <w:p>
            <w:pPr>
              <w:spacing w:after="40"/>
            </w:pPr>
            <w:r>
              <w:rPr>
                <w:b w:val="0"/>
                <w:sz w:val="17"/>
              </w:rPr>
              <w:t>COBIT 2019 EDM03; IIA Three Lines Model (2020)</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fc-53</w:t>
            </w:r>
          </w:p>
          <w:p>
            <w:pPr>
              <w:spacing w:after="40"/>
            </w:pPr>
            <w:r>
              <w:rPr>
                <w:b w:val="0"/>
                <w:sz w:val="17"/>
              </w:rPr>
              <w:t>AI inventory: what to record</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What should an AI inventory record for each system?</w:t>
            </w:r>
          </w:p>
        </w:tc>
        <w:tc>
          <w:tcPr>
            <w:tcW w:type="dxa" w:w="4195"/>
          </w:tcPr>
          <w:p>
            <w:pPr>
              <w:spacing w:after="40"/>
            </w:pPr>
            <w:r>
              <w:rPr>
                <w:b w:val="0"/>
                <w:sz w:val="18"/>
              </w:rPr>
              <w:t>A named accountable owner, the intended purpose, risk tier, data sources, model or vendor and version, deployment status, and links to the model card and key approvals. Without an owner and a risk tier the inventory cannot direct oversight.</w:t>
            </w:r>
          </w:p>
          <w:p>
            <w:pPr>
              <w:spacing w:after="40"/>
            </w:pPr>
            <w:r>
              <w:rPr>
                <w:b w:val="0"/>
                <w:color w:val="787878"/>
                <w:sz w:val="16"/>
              </w:rPr>
              <w:t>（240 字）</w:t>
            </w:r>
          </w:p>
          <w:p>
            <w:pPr>
              <w:spacing w:after="40"/>
            </w:pPr>
            <w:r>
              <w:rPr>
                <w:b/>
                <w:color w:val="C00000"/>
                <w:sz w:val="17"/>
              </w:rPr>
              <w:t>⚑ GOVERN 1.6 是 AI 系统清单的条款，我较有把握；ISO/IEC 42001 Annex A 没有指到具体编号，需对照正版。清单中"数据来源、链接到 model card"等项是我整理的。</w:t>
            </w:r>
          </w:p>
        </w:tc>
        <w:tc>
          <w:tcPr>
            <w:tcW w:type="dxa" w:w="1814"/>
          </w:tcPr>
          <w:p>
            <w:pPr>
              <w:spacing w:after="40"/>
            </w:pPr>
            <w:r>
              <w:rPr>
                <w:b w:val="0"/>
                <w:sz w:val="18"/>
              </w:rPr>
              <w:t>Record owner, purpose, risk tier, data, version, status and links to approvals.</w:t>
            </w:r>
          </w:p>
        </w:tc>
        <w:tc>
          <w:tcPr>
            <w:tcW w:type="dxa" w:w="2041"/>
          </w:tcPr>
          <w:p>
            <w:pPr>
              <w:spacing w:after="40"/>
            </w:pPr>
            <w:r>
              <w:rPr>
                <w:b w:val="0"/>
                <w:sz w:val="17"/>
              </w:rPr>
              <w:t>NIST AI RMF 1.0 GOVERN 1.6; ISO/IEC 42001:2023 Annex A (verify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fc-54</w:t>
            </w:r>
          </w:p>
          <w:p>
            <w:pPr>
              <w:spacing w:after="40"/>
            </w:pPr>
            <w:r>
              <w:rPr>
                <w:b w:val="0"/>
                <w:sz w:val="17"/>
              </w:rPr>
              <w:t>AI inventory: embedded and third-party AI</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Why must an AI inventory cover embedded and third-party AI features?</w:t>
            </w:r>
          </w:p>
        </w:tc>
        <w:tc>
          <w:tcPr>
            <w:tcW w:type="dxa" w:w="4195"/>
          </w:tcPr>
          <w:p>
            <w:pPr>
              <w:spacing w:after="40"/>
            </w:pPr>
            <w:r>
              <w:rPr>
                <w:b w:val="0"/>
                <w:sz w:val="18"/>
              </w:rPr>
              <w:t>Staff often use AI features built into purchased software that the organization did not build or register. An inventory that lists only in-house systems misses them, so its scope must state whether embedded AI counts and how it will be found, for example through procurement checks and cloud billing review.</w:t>
            </w:r>
          </w:p>
          <w:p>
            <w:pPr>
              <w:spacing w:after="40"/>
            </w:pPr>
            <w:r>
              <w:rPr>
                <w:b w:val="0"/>
                <w:color w:val="787878"/>
                <w:sz w:val="16"/>
              </w:rPr>
              <w:t>（307 字）</w:t>
            </w:r>
          </w:p>
          <w:p>
            <w:pPr>
              <w:spacing w:after="40"/>
            </w:pPr>
            <w:r>
              <w:rPr>
                <w:b/>
                <w:color w:val="C00000"/>
                <w:sz w:val="17"/>
              </w:rPr>
              <w:t>⚑ "程序采购检查和云账单审查"是我举的发现办法，不是来源原文。</w:t>
            </w:r>
          </w:p>
        </w:tc>
        <w:tc>
          <w:tcPr>
            <w:tcW w:type="dxa" w:w="1814"/>
          </w:tcPr>
          <w:p>
            <w:pPr>
              <w:spacing w:after="40"/>
            </w:pPr>
            <w:r>
              <w:rPr>
                <w:b w:val="0"/>
                <w:sz w:val="18"/>
              </w:rPr>
              <w:t>Define whether embedded AI is in scope, and how it will be found.</w:t>
            </w:r>
          </w:p>
        </w:tc>
        <w:tc>
          <w:tcPr>
            <w:tcW w:type="dxa" w:w="2041"/>
          </w:tcPr>
          <w:p>
            <w:pPr>
              <w:spacing w:after="40"/>
            </w:pPr>
            <w:r>
              <w:rPr>
                <w:b w:val="0"/>
                <w:sz w:val="17"/>
              </w:rPr>
              <w:t>NIST AI RMF 1.0 GOVERN 1.6</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fc-55</w:t>
            </w:r>
          </w:p>
          <w:p>
            <w:pPr>
              <w:spacing w:after="40"/>
            </w:pPr>
            <w:r>
              <w:rPr>
                <w:b w:val="0"/>
                <w:sz w:val="17"/>
              </w:rPr>
              <w:t>AI inventory: retiring a system</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How should a retired AI system be handled in the inventory?</w:t>
            </w:r>
          </w:p>
        </w:tc>
        <w:tc>
          <w:tcPr>
            <w:tcW w:type="dxa" w:w="4195"/>
          </w:tcPr>
          <w:p>
            <w:pPr>
              <w:spacing w:after="40"/>
            </w:pPr>
            <w:r>
              <w:rPr>
                <w:b w:val="0"/>
                <w:sz w:val="18"/>
              </w:rPr>
              <w:t>Confirm that use has actually stopped, update the system's status, and keep its documentation for the retention period. Do not delete the record straight away, because it is the audit trail for decisions the system made.</w:t>
            </w:r>
          </w:p>
          <w:p>
            <w:pPr>
              <w:spacing w:after="40"/>
            </w:pPr>
            <w:r>
              <w:rPr>
                <w:b w:val="0"/>
                <w:color w:val="787878"/>
                <w:sz w:val="16"/>
              </w:rPr>
              <w:t>（220 字）</w:t>
            </w:r>
          </w:p>
          <w:p>
            <w:pPr>
              <w:spacing w:after="40"/>
            </w:pPr>
            <w:r>
              <w:rPr>
                <w:b/>
                <w:color w:val="C00000"/>
                <w:sz w:val="17"/>
              </w:rPr>
              <w:t>⚑ GOVERN 1.7（退役与下线流程）的对应请核对；"保留文档至保留期、不立即删除记录"是我的推论，来源没有明说。</w:t>
            </w:r>
          </w:p>
        </w:tc>
        <w:tc>
          <w:tcPr>
            <w:tcW w:type="dxa" w:w="1814"/>
          </w:tcPr>
          <w:p>
            <w:pPr>
              <w:spacing w:after="40"/>
            </w:pPr>
            <w:r>
              <w:rPr>
                <w:b w:val="0"/>
                <w:sz w:val="18"/>
              </w:rPr>
              <w:t>Retire the status, keep the record: it is the audit trail.</w:t>
            </w:r>
          </w:p>
        </w:tc>
        <w:tc>
          <w:tcPr>
            <w:tcW w:type="dxa" w:w="2041"/>
          </w:tcPr>
          <w:p>
            <w:pPr>
              <w:spacing w:after="40"/>
            </w:pPr>
            <w:r>
              <w:rPr>
                <w:b w:val="0"/>
                <w:sz w:val="17"/>
              </w:rPr>
              <w:t>NIST AI RMF 1.0 GOVERN 1.7</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fc-56</w:t>
            </w:r>
          </w:p>
          <w:p>
            <w:pPr>
              <w:spacing w:after="40"/>
            </w:pPr>
            <w:r>
              <w:rPr>
                <w:b w:val="0"/>
                <w:sz w:val="17"/>
              </w:rPr>
              <w:t>DPIA for high-risk AI processing</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When must a data protection impact assessment (DPIA) be carried out for AI that processes personal data?</w:t>
            </w:r>
          </w:p>
        </w:tc>
        <w:tc>
          <w:tcPr>
            <w:tcW w:type="dxa" w:w="4195"/>
          </w:tcPr>
          <w:p>
            <w:pPr>
              <w:spacing w:after="40"/>
            </w:pPr>
            <w:r>
              <w:rPr>
                <w:b w:val="0"/>
                <w:sz w:val="18"/>
              </w:rPr>
              <w:t>Under GDPR Art. 35, a DPIA is required before processing that is likely to result in a high risk to individuals, for example large-scale processing of special-category data such as health data. It must be completed before the processing starts, not after go-live.</w:t>
            </w:r>
          </w:p>
          <w:p>
            <w:pPr>
              <w:spacing w:after="40"/>
            </w:pPr>
            <w:r>
              <w:rPr>
                <w:b w:val="0"/>
                <w:color w:val="787878"/>
                <w:sz w:val="16"/>
              </w:rPr>
              <w:t>（263 字）</w:t>
            </w:r>
          </w:p>
          <w:p>
            <w:pPr>
              <w:spacing w:after="40"/>
            </w:pPr>
            <w:r>
              <w:rPr>
                <w:b/>
                <w:color w:val="C00000"/>
                <w:sz w:val="17"/>
              </w:rPr>
              <w:t>⚑ Art. 35(1)(3)(b)（大规模处理特殊类别数据须做 DPIA）较有把握；"必须在处理开始前完成"请核对 Art. 35(1)。AI Act 与 DPIA 的衔接我没有写。</w:t>
            </w:r>
          </w:p>
        </w:tc>
        <w:tc>
          <w:tcPr>
            <w:tcW w:type="dxa" w:w="1814"/>
          </w:tcPr>
          <w:p>
            <w:pPr>
              <w:spacing w:after="40"/>
            </w:pPr>
            <w:r>
              <w:rPr>
                <w:b w:val="0"/>
                <w:sz w:val="18"/>
              </w:rPr>
              <w:t>Do the DPIA before high-risk processing begins, not after launch.</w:t>
            </w:r>
          </w:p>
        </w:tc>
        <w:tc>
          <w:tcPr>
            <w:tcW w:type="dxa" w:w="2041"/>
          </w:tcPr>
          <w:p>
            <w:pPr>
              <w:spacing w:after="40"/>
            </w:pPr>
            <w:r>
              <w:rPr>
                <w:b w:val="0"/>
                <w:sz w:val="17"/>
              </w:rPr>
              <w:t>GDPR Art. 35(1) &amp; (3)(b)</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fc-57</w:t>
            </w:r>
          </w:p>
          <w:p>
            <w:pPr>
              <w:spacing w:after="40"/>
            </w:pPr>
            <w:r>
              <w:rPr>
                <w:b w:val="0"/>
                <w:sz w:val="17"/>
              </w:rPr>
              <w:t>Purpose limitation when reusing data</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What does purpose limitation mean when reusing personal data to train an AI model?</w:t>
            </w:r>
          </w:p>
        </w:tc>
        <w:tc>
          <w:tcPr>
            <w:tcW w:type="dxa" w:w="4195"/>
          </w:tcPr>
          <w:p>
            <w:pPr>
              <w:spacing w:after="40"/>
            </w:pPr>
            <w:r>
              <w:rPr>
                <w:b w:val="0"/>
                <w:sz w:val="18"/>
              </w:rPr>
              <w:t>Personal data collected for one purpose must not be reused in a way that is incompatible with it (GDPR Art. 5(1)(b)). Before reusing it for training, assess whether the new purpose is compatible with the original one using the Art. 6(4) factors, and record the result and the lawful basis relied on.</w:t>
            </w:r>
          </w:p>
          <w:p>
            <w:pPr>
              <w:spacing w:after="40"/>
            </w:pPr>
            <w:r>
              <w:rPr>
                <w:b w:val="0"/>
                <w:color w:val="787878"/>
                <w:sz w:val="16"/>
              </w:rPr>
              <w:t>（299 字）</w:t>
            </w:r>
          </w:p>
          <w:p>
            <w:pPr>
              <w:spacing w:after="40"/>
            </w:pPr>
            <w:r>
              <w:rPr>
                <w:b/>
                <w:color w:val="C00000"/>
                <w:sz w:val="17"/>
              </w:rPr>
              <w:t>⚑ Art. 5(1)(b) 与 Art. 6(4)（兼容性考量因素）请核对；已改为"用 Art. 6(4) 的因素评估兼容性，并记录结果和所依赖的合法基础"。</w:t>
            </w:r>
          </w:p>
        </w:tc>
        <w:tc>
          <w:tcPr>
            <w:tcW w:type="dxa" w:w="1814"/>
          </w:tcPr>
          <w:p>
            <w:pPr>
              <w:spacing w:after="40"/>
            </w:pPr>
            <w:r>
              <w:rPr>
                <w:b w:val="0"/>
                <w:sz w:val="18"/>
              </w:rPr>
              <w:t>Check that the new training purpose is compatible with the original purpose.</w:t>
            </w:r>
          </w:p>
        </w:tc>
        <w:tc>
          <w:tcPr>
            <w:tcW w:type="dxa" w:w="2041"/>
          </w:tcPr>
          <w:p>
            <w:pPr>
              <w:spacing w:after="40"/>
            </w:pPr>
            <w:r>
              <w:rPr>
                <w:b w:val="0"/>
                <w:sz w:val="17"/>
              </w:rPr>
              <w:t>GDPR Art. 5(1)(b) &amp; Art. 6(4)</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fc-58</w:t>
            </w:r>
          </w:p>
          <w:p>
            <w:pPr>
              <w:spacing w:after="40"/>
            </w:pPr>
            <w:r>
              <w:rPr>
                <w:b w:val="0"/>
                <w:sz w:val="17"/>
              </w:rPr>
              <w:t>Representation drift</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What is representation drift in an AI system?</w:t>
            </w:r>
          </w:p>
        </w:tc>
        <w:tc>
          <w:tcPr>
            <w:tcW w:type="dxa" w:w="4195"/>
          </w:tcPr>
          <w:p>
            <w:pPr>
              <w:spacing w:after="40"/>
            </w:pPr>
            <w:r>
              <w:rPr>
                <w:b w:val="0"/>
                <w:sz w:val="18"/>
              </w:rPr>
              <w:t>The population the system serves changes while the model stays the same, so its training data no longer represents the people now being scored. Performance can fall first for the new group, which overall accuracy can hide.</w:t>
            </w:r>
          </w:p>
          <w:p>
            <w:pPr>
              <w:spacing w:after="40"/>
            </w:pPr>
            <w:r>
              <w:rPr>
                <w:b w:val="0"/>
                <w:color w:val="787878"/>
                <w:sz w:val="16"/>
              </w:rPr>
              <w:t>（222 字）</w:t>
            </w:r>
          </w:p>
          <w:p>
            <w:pPr>
              <w:spacing w:after="40"/>
            </w:pPr>
            <w:r>
              <w:rPr>
                <w:b/>
                <w:color w:val="C00000"/>
                <w:sz w:val="17"/>
              </w:rPr>
              <w:t>⚑ "representation drift"不是 NIST 的正式术语，是我对"服务人群变化导致训练数据不再代表"的叫法；请决定术语是否可用。</w:t>
            </w:r>
          </w:p>
        </w:tc>
        <w:tc>
          <w:tcPr>
            <w:tcW w:type="dxa" w:w="1814"/>
          </w:tcPr>
          <w:p>
            <w:pPr>
              <w:spacing w:after="40"/>
            </w:pPr>
            <w:r>
              <w:rPr>
                <w:b w:val="0"/>
                <w:sz w:val="18"/>
              </w:rPr>
              <w:t>Representation drift means the served population no longer matches the training data.</w:t>
            </w:r>
          </w:p>
        </w:tc>
        <w:tc>
          <w:tcPr>
            <w:tcW w:type="dxa" w:w="2041"/>
          </w:tcPr>
          <w:p>
            <w:pPr>
              <w:spacing w:after="40"/>
            </w:pPr>
            <w:r>
              <w:rPr>
                <w:b w:val="0"/>
                <w:sz w:val="17"/>
              </w:rPr>
              <w:t>NIST AI RMF 1.0 MAP 2.3 &amp; MEASURE 2.4</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fc-59</w:t>
            </w:r>
          </w:p>
          <w:p>
            <w:pPr>
              <w:spacing w:after="40"/>
            </w:pPr>
            <w:r>
              <w:rPr>
                <w:b w:val="0"/>
                <w:sz w:val="17"/>
              </w:rPr>
              <w:t>Group-level fairness testing</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Why must AI fairness be tested by group and not only by overall accuracy?</w:t>
            </w:r>
          </w:p>
        </w:tc>
        <w:tc>
          <w:tcPr>
            <w:tcW w:type="dxa" w:w="4195"/>
          </w:tcPr>
          <w:p>
            <w:pPr>
              <w:spacing w:after="40"/>
            </w:pPr>
            <w:r>
              <w:rPr>
                <w:b w:val="0"/>
                <w:sz w:val="18"/>
              </w:rPr>
              <w:t>High overall accuracy can hide large differences in error rates between groups. Test outcomes for each relevant group in the deployment context, involve affected communities in defining fairness criteria, and repeat the test after material changes to the data or the model.</w:t>
            </w:r>
          </w:p>
          <w:p>
            <w:pPr>
              <w:spacing w:after="40"/>
            </w:pPr>
            <w:r>
              <w:rPr>
                <w:b w:val="0"/>
                <w:color w:val="787878"/>
                <w:sz w:val="16"/>
              </w:rPr>
              <w:t>（273 字）</w:t>
            </w:r>
          </w:p>
          <w:p>
            <w:pPr>
              <w:spacing w:after="40"/>
            </w:pPr>
            <w:r>
              <w:rPr>
                <w:b/>
                <w:color w:val="C00000"/>
                <w:sz w:val="17"/>
              </w:rPr>
              <w:t>⚑ MEASURE 2.11 与 NIST SP 1270 请核对；"让受影响社区参与定义公平标准"是否是来源里的说法。</w:t>
            </w:r>
          </w:p>
        </w:tc>
        <w:tc>
          <w:tcPr>
            <w:tcW w:type="dxa" w:w="1814"/>
          </w:tcPr>
          <w:p>
            <w:pPr>
              <w:spacing w:after="40"/>
            </w:pPr>
            <w:r>
              <w:rPr>
                <w:b w:val="0"/>
                <w:sz w:val="18"/>
              </w:rPr>
              <w:t>Test outcomes by group; overall accuracy can hide unfairness.</w:t>
            </w:r>
          </w:p>
        </w:tc>
        <w:tc>
          <w:tcPr>
            <w:tcW w:type="dxa" w:w="2041"/>
          </w:tcPr>
          <w:p>
            <w:pPr>
              <w:spacing w:after="40"/>
            </w:pPr>
            <w:r>
              <w:rPr>
                <w:b w:val="0"/>
                <w:sz w:val="17"/>
              </w:rPr>
              <w:t>NIST AI RMF 1.0 MEASURE 2.11; NIST SP 1270</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fc-60</w:t>
            </w:r>
          </w:p>
          <w:p>
            <w:pPr>
              <w:spacing w:after="40"/>
            </w:pPr>
            <w:r>
              <w:rPr>
                <w:b w:val="0"/>
                <w:sz w:val="17"/>
              </w:rPr>
              <w:t>Synthetic data: keeping it distinguishable</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How should synthetic data be kept distinguishable from real data?</w:t>
            </w:r>
          </w:p>
        </w:tc>
        <w:tc>
          <w:tcPr>
            <w:tcW w:type="dxa" w:w="4195"/>
          </w:tcPr>
          <w:p>
            <w:pPr>
              <w:spacing w:after="40"/>
            </w:pPr>
            <w:r>
              <w:rPr>
                <w:b w:val="0"/>
                <w:sz w:val="18"/>
              </w:rPr>
              <w:t>Tag synthetic records when they are created and carry the tag through every dataset version, so later analysis can separate their effect and lineage can show which records were generated.</w:t>
            </w:r>
          </w:p>
          <w:p>
            <w:pPr>
              <w:spacing w:after="40"/>
            </w:pPr>
            <w:r>
              <w:rPr>
                <w:b w:val="0"/>
                <w:color w:val="787878"/>
                <w:sz w:val="16"/>
              </w:rPr>
              <w:t>（187 字）</w:t>
            </w:r>
          </w:p>
          <w:p>
            <w:pPr>
              <w:spacing w:after="40"/>
            </w:pPr>
            <w:r>
              <w:rPr>
                <w:b/>
                <w:color w:val="C00000"/>
                <w:sz w:val="17"/>
              </w:rPr>
              <w:t>⚑ MAP 4.1 讲的是法律风险与第三方组件，与"合成数据标记"关系不直接；42001 Annex A.7.5（数据来源）请对照正版。</w:t>
            </w:r>
          </w:p>
        </w:tc>
        <w:tc>
          <w:tcPr>
            <w:tcW w:type="dxa" w:w="1814"/>
          </w:tcPr>
          <w:p>
            <w:pPr>
              <w:spacing w:after="40"/>
            </w:pPr>
            <w:r>
              <w:rPr>
                <w:b w:val="0"/>
                <w:sz w:val="18"/>
              </w:rPr>
              <w:t>Tag synthetic records at creation and keep the tag in every version.</w:t>
            </w:r>
          </w:p>
        </w:tc>
        <w:tc>
          <w:tcPr>
            <w:tcW w:type="dxa" w:w="2041"/>
          </w:tcPr>
          <w:p>
            <w:pPr>
              <w:spacing w:after="40"/>
            </w:pPr>
            <w:r>
              <w:rPr>
                <w:b w:val="0"/>
                <w:sz w:val="17"/>
              </w:rPr>
              <w:t>NIST AI RMF 1.0 MAP 4.1; ISO/IEC 42001:2023 Annex A.7.5 (verify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fc-61</w:t>
            </w:r>
          </w:p>
          <w:p>
            <w:pPr>
              <w:spacing w:after="40"/>
            </w:pPr>
            <w:r>
              <w:rPr>
                <w:b w:val="0"/>
                <w:sz w:val="17"/>
              </w:rPr>
              <w:t>Synthetic data: testing privacy</w:t>
            </w:r>
          </w:p>
          <w:p>
            <w:pPr>
              <w:spacing w:after="40"/>
            </w:pPr>
            <w:r>
              <w:rPr>
                <w:b w:val="0"/>
                <w:color w:val="5A5A5A"/>
                <w:sz w:val="17"/>
              </w:rPr>
              <w:t>D2</w:t>
            </w:r>
          </w:p>
          <w:p>
            <w:pPr>
              <w:spacing w:after="40"/>
            </w:pPr>
            <w:r>
              <w:rPr>
                <w:b/>
                <w:color w:val="C05000"/>
                <w:sz w:val="17"/>
              </w:rPr>
              <w:t>待核验</w:t>
            </w:r>
          </w:p>
        </w:tc>
        <w:tc>
          <w:tcPr>
            <w:tcW w:type="dxa" w:w="2041"/>
          </w:tcPr>
          <w:p>
            <w:pPr>
              <w:spacing w:after="40"/>
            </w:pPr>
            <w:r>
              <w:rPr>
                <w:b w:val="0"/>
                <w:sz w:val="18"/>
              </w:rPr>
              <w:t>How should the privacy of synthetic data be tested before it is shared?</w:t>
            </w:r>
          </w:p>
        </w:tc>
        <w:tc>
          <w:tcPr>
            <w:tcW w:type="dxa" w:w="4195"/>
          </w:tcPr>
          <w:p>
            <w:pPr>
              <w:spacing w:after="40"/>
            </w:pPr>
            <w:r>
              <w:rPr>
                <w:b w:val="0"/>
                <w:sz w:val="18"/>
              </w:rPr>
              <w:t>Do not assume synthetic data is anonymous. Check for near-duplicates of real records and test whether real individuals can be matched or inferred from it, using attack testing, and record the results before release.</w:t>
            </w:r>
          </w:p>
          <w:p>
            <w:pPr>
              <w:spacing w:after="40"/>
            </w:pPr>
            <w:r>
              <w:rPr>
                <w:b w:val="0"/>
                <w:color w:val="787878"/>
                <w:sz w:val="16"/>
              </w:rPr>
              <w:t>（215 字）</w:t>
            </w:r>
          </w:p>
          <w:p>
            <w:pPr>
              <w:spacing w:after="40"/>
            </w:pPr>
            <w:r>
              <w:rPr>
                <w:b/>
                <w:color w:val="C00000"/>
                <w:sz w:val="17"/>
              </w:rPr>
              <w:t>⚑ GDPR Recital 26 与 MEASURE 2.10 请核对；"攻击测试"的具体做法是我整理的。</w:t>
            </w:r>
          </w:p>
        </w:tc>
        <w:tc>
          <w:tcPr>
            <w:tcW w:type="dxa" w:w="1814"/>
          </w:tcPr>
          <w:p>
            <w:pPr>
              <w:spacing w:after="40"/>
            </w:pPr>
            <w:r>
              <w:rPr>
                <w:b w:val="0"/>
                <w:sz w:val="18"/>
              </w:rPr>
              <w:t>Test for matching and inference attacks before sharing synthetic data.</w:t>
            </w:r>
          </w:p>
        </w:tc>
        <w:tc>
          <w:tcPr>
            <w:tcW w:type="dxa" w:w="2041"/>
          </w:tcPr>
          <w:p>
            <w:pPr>
              <w:spacing w:after="40"/>
            </w:pPr>
            <w:r>
              <w:rPr>
                <w:b w:val="0"/>
                <w:sz w:val="17"/>
              </w:rPr>
              <w:t>GDPR Recital 26; NIST AI RMF 1.0 MEASURE 2.10</w:t>
            </w:r>
          </w:p>
        </w:tc>
        <w:tc>
          <w:tcPr>
            <w:tcW w:type="dxa" w:w="2948"/>
          </w:tcPr>
          <w:p>
            <w:pPr>
              <w:spacing w:after="40"/>
            </w:pPr>
            <w:r>
              <w:rPr>
                <w:b w:val="0"/>
                <w:sz w:val="17"/>
              </w:rPr>
              <w:t>R1□ R2□ R3□ R4□ R5□ R6□ R7□</w:t>
              <w:br/>
              <w:br/>
              <w:t>决定：□通过 □修改 □待核验 □删除</w:t>
              <w:br/>
              <w:br/>
              <w:t>意见：</w:t>
            </w:r>
          </w:p>
        </w:tc>
      </w:tr>
    </w:tbl>
    <w:p>
      <w:r>
        <w:br w:type="page"/>
      </w:r>
    </w:p>
    <w:p>
      <w:pPr>
        <w:pStyle w:val="Heading2"/>
      </w:pPr>
      <w:r>
        <w:t>B　拆分后新出现的卡（38 张，由原卡拆出）</w:t>
      </w:r>
    </w:p>
    <w:p>
      <w:pPr>
        <w:spacing w:after="60"/>
      </w:pPr>
      <w:r>
        <w:rPr>
          <w:b w:val="0"/>
          <w:sz w:val="18"/>
        </w:rPr>
        <w:t>这些卡的文字是我基于原卡重写的。重点看 R3：单独看是否完整，合起来是否等于原卡。</w:t>
      </w:r>
    </w:p>
    <w:tbl>
      <w:tblPr>
        <w:tblStyle w:val="TableGrid"/>
        <w:tblW w:type="auto" w:w="0"/>
        <w:tblLayout w:type="fixed"/>
        <w:tblLook w:firstColumn="1" w:firstRow="1" w:lastColumn="0" w:lastRow="0" w:noHBand="0" w:noVBand="1" w:val="04A0"/>
      </w:tblPr>
      <w:tblGrid>
        <w:gridCol w:w="2338"/>
        <w:gridCol w:w="2338"/>
        <w:gridCol w:w="2338"/>
        <w:gridCol w:w="2338"/>
        <w:gridCol w:w="2338"/>
        <w:gridCol w:w="2338"/>
      </w:tblGrid>
      <w:tr>
        <w:trPr>
          <w:tblHeader/>
        </w:trPr>
        <w:tc>
          <w:tcPr>
            <w:tcW w:type="dxa" w:w="1474"/>
            <w:shd w:val="clear" w:color="auto" w:fill="E2EFDA"/>
          </w:tcPr>
          <w:p>
            <w:pPr>
              <w:spacing w:after="40"/>
            </w:pPr>
            <w:r>
              <w:rPr>
                <w:b/>
                <w:sz w:val="18"/>
              </w:rPr>
              <w:t>卡片</w:t>
            </w:r>
          </w:p>
        </w:tc>
        <w:tc>
          <w:tcPr>
            <w:tcW w:type="dxa" w:w="2041"/>
            <w:shd w:val="clear" w:color="auto" w:fill="E2EFDA"/>
          </w:tcPr>
          <w:p>
            <w:pPr>
              <w:spacing w:after="40"/>
            </w:pPr>
            <w:r>
              <w:rPr>
                <w:b/>
                <w:sz w:val="18"/>
              </w:rPr>
              <w:t>正面</w:t>
            </w:r>
          </w:p>
        </w:tc>
        <w:tc>
          <w:tcPr>
            <w:tcW w:type="dxa" w:w="4195"/>
            <w:shd w:val="clear" w:color="auto" w:fill="E2EFDA"/>
          </w:tcPr>
          <w:p>
            <w:pPr>
              <w:spacing w:after="40"/>
            </w:pPr>
            <w:r>
              <w:rPr>
                <w:b/>
                <w:sz w:val="18"/>
              </w:rPr>
              <w:t>背面</w:t>
            </w:r>
          </w:p>
        </w:tc>
        <w:tc>
          <w:tcPr>
            <w:tcW w:type="dxa" w:w="1814"/>
            <w:shd w:val="clear" w:color="auto" w:fill="E2EFDA"/>
          </w:tcPr>
          <w:p>
            <w:pPr>
              <w:spacing w:after="40"/>
            </w:pPr>
            <w:r>
              <w:rPr>
                <w:b/>
                <w:sz w:val="18"/>
              </w:rPr>
              <w:t>要点</w:t>
            </w:r>
          </w:p>
        </w:tc>
        <w:tc>
          <w:tcPr>
            <w:tcW w:type="dxa" w:w="2041"/>
            <w:shd w:val="clear" w:color="auto" w:fill="E2EFDA"/>
          </w:tcPr>
          <w:p>
            <w:pPr>
              <w:spacing w:after="40"/>
            </w:pPr>
            <w:r>
              <w:rPr>
                <w:b/>
                <w:sz w:val="18"/>
              </w:rPr>
              <w:t>来源</w:t>
            </w:r>
          </w:p>
        </w:tc>
        <w:tc>
          <w:tcPr>
            <w:tcW w:type="dxa" w:w="2948"/>
            <w:shd w:val="clear" w:color="auto" w:fill="E2EFDA"/>
          </w:tcPr>
          <w:p>
            <w:pPr>
              <w:spacing w:after="40"/>
            </w:pPr>
            <w:r>
              <w:rPr>
                <w:b/>
                <w:sz w:val="18"/>
              </w:rPr>
              <w:t>复核栏</w:t>
            </w:r>
          </w:p>
        </w:tc>
      </w:tr>
      <w:tr>
        <w:trPr>
          <w:cantSplit/>
        </w:trPr>
        <w:tc>
          <w:tcPr>
            <w:tcW w:type="dxa" w:w="1474"/>
          </w:tcPr>
          <w:p>
            <w:pPr>
              <w:spacing w:after="40"/>
            </w:pPr>
            <w:r>
              <w:rPr>
                <w:b/>
                <w:sz w:val="18"/>
              </w:rPr>
              <w:t>fc-01b</w:t>
            </w:r>
          </w:p>
          <w:p>
            <w:pPr>
              <w:spacing w:after="40"/>
            </w:pPr>
            <w:r>
              <w:rPr>
                <w:b w:val="0"/>
                <w:sz w:val="17"/>
              </w:rPr>
              <w:t>Three Lines Model: Second Line</w:t>
            </w:r>
          </w:p>
          <w:p>
            <w:pPr>
              <w:spacing w:after="40"/>
            </w:pPr>
            <w:r>
              <w:rPr>
                <w:b w:val="0"/>
                <w:color w:val="5A5A5A"/>
                <w:sz w:val="17"/>
              </w:rPr>
              <w:t>D1</w:t>
            </w:r>
          </w:p>
        </w:tc>
        <w:tc>
          <w:tcPr>
            <w:tcW w:type="dxa" w:w="2041"/>
          </w:tcPr>
          <w:p>
            <w:pPr>
              <w:spacing w:after="40"/>
            </w:pPr>
            <w:r>
              <w:rPr>
                <w:b w:val="0"/>
                <w:sz w:val="18"/>
              </w:rPr>
              <w:t>Under the IIA Three Lines Model, what is the role of the Second Line in AI governance?</w:t>
            </w:r>
          </w:p>
        </w:tc>
        <w:tc>
          <w:tcPr>
            <w:tcW w:type="dxa" w:w="4195"/>
          </w:tcPr>
          <w:p>
            <w:pPr>
              <w:spacing w:after="40"/>
            </w:pPr>
            <w:r>
              <w:rPr>
                <w:b w:val="0"/>
                <w:sz w:val="18"/>
              </w:rPr>
              <w:t>The Second Line is enterprise risk management and AI compliance, which is also part of management. It provides complementary expertise, sets risk frameworks, policies and thresholds within delegated authority, monitors compliance, and gives objective, credible challenge to First Line decisions.</w:t>
            </w:r>
          </w:p>
          <w:p>
            <w:pPr>
              <w:spacing w:after="40"/>
            </w:pPr>
            <w:r>
              <w:rPr>
                <w:b w:val="0"/>
                <w:color w:val="787878"/>
                <w:sz w:val="16"/>
              </w:rPr>
              <w:t>（295 字）</w:t>
            </w:r>
          </w:p>
        </w:tc>
        <w:tc>
          <w:tcPr>
            <w:tcW w:type="dxa" w:w="1814"/>
          </w:tcPr>
          <w:p>
            <w:pPr>
              <w:spacing w:after="40"/>
            </w:pPr>
            <w:r>
              <w:rPr>
                <w:b w:val="0"/>
                <w:sz w:val="18"/>
              </w:rPr>
              <w:t>The Second Line sets policy and challenges the First Line, within delegated authority.</w:t>
            </w:r>
          </w:p>
        </w:tc>
        <w:tc>
          <w:tcPr>
            <w:tcW w:type="dxa" w:w="2041"/>
          </w:tcPr>
          <w:p>
            <w:pPr>
              <w:spacing w:after="40"/>
            </w:pPr>
            <w:r>
              <w:rPr>
                <w:b w:val="0"/>
                <w:sz w:val="17"/>
              </w:rPr>
              <w:t>The IIA's Three Lines Model (July 2020), Principles 1–5; NIST AI RMF 1.0 GOVERN 1.2 &amp; 1.3.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fc-01c</w:t>
            </w:r>
          </w:p>
          <w:p>
            <w:pPr>
              <w:spacing w:after="40"/>
            </w:pPr>
            <w:r>
              <w:rPr>
                <w:b w:val="0"/>
                <w:sz w:val="17"/>
              </w:rPr>
              <w:t>Three Lines Model: Third Line</w:t>
            </w:r>
          </w:p>
          <w:p>
            <w:pPr>
              <w:spacing w:after="40"/>
            </w:pPr>
            <w:r>
              <w:rPr>
                <w:b w:val="0"/>
                <w:color w:val="5A5A5A"/>
                <w:sz w:val="17"/>
              </w:rPr>
              <w:t>D1</w:t>
            </w:r>
          </w:p>
        </w:tc>
        <w:tc>
          <w:tcPr>
            <w:tcW w:type="dxa" w:w="2041"/>
          </w:tcPr>
          <w:p>
            <w:pPr>
              <w:spacing w:after="40"/>
            </w:pPr>
            <w:r>
              <w:rPr>
                <w:b w:val="0"/>
                <w:sz w:val="18"/>
              </w:rPr>
              <w:t>Under the IIA Three Lines Model, what is the role of the Third Line in AI governance?</w:t>
            </w:r>
          </w:p>
        </w:tc>
        <w:tc>
          <w:tcPr>
            <w:tcW w:type="dxa" w:w="4195"/>
          </w:tcPr>
          <w:p>
            <w:pPr>
              <w:spacing w:after="40"/>
            </w:pPr>
            <w:r>
              <w:rPr>
                <w:b w:val="0"/>
                <w:sz w:val="18"/>
              </w:rPr>
              <w:t>The Third Line is Internal Audit. It stays independent of management, reports to the Governing Body or Audit Committee, and gives independent, objective assurance on whether AI governance and risk management are adequate and effective.</w:t>
            </w:r>
          </w:p>
          <w:p>
            <w:pPr>
              <w:spacing w:after="40"/>
            </w:pPr>
            <w:r>
              <w:rPr>
                <w:b w:val="0"/>
                <w:color w:val="787878"/>
                <w:sz w:val="16"/>
              </w:rPr>
              <w:t>（235 字）</w:t>
            </w:r>
          </w:p>
        </w:tc>
        <w:tc>
          <w:tcPr>
            <w:tcW w:type="dxa" w:w="1814"/>
          </w:tcPr>
          <w:p>
            <w:pPr>
              <w:spacing w:after="40"/>
            </w:pPr>
            <w:r>
              <w:rPr>
                <w:b w:val="0"/>
                <w:sz w:val="18"/>
              </w:rPr>
              <w:t>Only the Third Line is independent of management; it gives assurance, not management.</w:t>
            </w:r>
          </w:p>
        </w:tc>
        <w:tc>
          <w:tcPr>
            <w:tcW w:type="dxa" w:w="2041"/>
          </w:tcPr>
          <w:p>
            <w:pPr>
              <w:spacing w:after="40"/>
            </w:pPr>
            <w:r>
              <w:rPr>
                <w:b w:val="0"/>
                <w:sz w:val="17"/>
              </w:rPr>
              <w:t>The IIA's Three Lines Model (July 2020), Principles 1–5; NIST AI RMF 1.0 GOVERN 1.2 &amp; 1.3.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fc-03b</w:t>
            </w:r>
          </w:p>
          <w:p>
            <w:pPr>
              <w:spacing w:after="40"/>
            </w:pPr>
            <w:r>
              <w:rPr>
                <w:b w:val="0"/>
                <w:sz w:val="17"/>
              </w:rPr>
              <w:t>AI Acceptable Use Policy: oversight and incidents</w:t>
            </w:r>
          </w:p>
          <w:p>
            <w:pPr>
              <w:spacing w:after="40"/>
            </w:pPr>
            <w:r>
              <w:rPr>
                <w:b w:val="0"/>
                <w:color w:val="5A5A5A"/>
                <w:sz w:val="17"/>
              </w:rPr>
              <w:t>D1</w:t>
            </w:r>
          </w:p>
        </w:tc>
        <w:tc>
          <w:tcPr>
            <w:tcW w:type="dxa" w:w="2041"/>
          </w:tcPr>
          <w:p>
            <w:pPr>
              <w:spacing w:after="40"/>
            </w:pPr>
            <w:r>
              <w:rPr>
                <w:b w:val="0"/>
                <w:sz w:val="18"/>
              </w:rPr>
              <w:t>What should an AI Acceptable Use Policy require for human oversight and incident reporting?</w:t>
            </w:r>
          </w:p>
        </w:tc>
        <w:tc>
          <w:tcPr>
            <w:tcW w:type="dxa" w:w="4195"/>
          </w:tcPr>
          <w:p>
            <w:pPr>
              <w:spacing w:after="40"/>
            </w:pPr>
            <w:r>
              <w:rPr>
                <w:b w:val="0"/>
                <w:sz w:val="18"/>
              </w:rPr>
              <w:t>1. Risk-proportionate human oversight: verification and review requirements calibrated to the impact of the use case. 2. Incident and escalation protocols: clear channels for reporting suspected data leakage, security vulnerabilities, bias or harmful outputs.</w:t>
            </w:r>
          </w:p>
          <w:p>
            <w:pPr>
              <w:spacing w:after="40"/>
            </w:pPr>
            <w:r>
              <w:rPr>
                <w:b w:val="0"/>
                <w:color w:val="787878"/>
                <w:sz w:val="16"/>
              </w:rPr>
              <w:t>（259 字）</w:t>
            </w:r>
          </w:p>
        </w:tc>
        <w:tc>
          <w:tcPr>
            <w:tcW w:type="dxa" w:w="1814"/>
          </w:tcPr>
          <w:p>
            <w:pPr>
              <w:spacing w:after="40"/>
            </w:pPr>
            <w:r>
              <w:rPr>
                <w:b w:val="0"/>
                <w:sz w:val="18"/>
              </w:rPr>
              <w:t>An AUP ties human review to impact and gives staff a clear way to report problems.</w:t>
            </w:r>
          </w:p>
        </w:tc>
        <w:tc>
          <w:tcPr>
            <w:tcW w:type="dxa" w:w="2041"/>
          </w:tcPr>
          <w:p>
            <w:pPr>
              <w:spacing w:after="40"/>
            </w:pPr>
            <w:r>
              <w:rPr>
                <w:b w:val="0"/>
                <w:sz w:val="17"/>
              </w:rPr>
              <w:t>GDPR Arts. 5 &amp; 6; NIST AI 600-1 GOVERN 1.2; ISO/IEC 42001:2023 (verify policy clauses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fc-06b</w:t>
            </w:r>
          </w:p>
          <w:p>
            <w:pPr>
              <w:spacing w:after="40"/>
            </w:pPr>
            <w:r>
              <w:rPr>
                <w:b w:val="0"/>
                <w:sz w:val="17"/>
              </w:rPr>
              <w:t>Shadow AI: governance response</w:t>
            </w:r>
          </w:p>
          <w:p>
            <w:pPr>
              <w:spacing w:after="40"/>
            </w:pPr>
            <w:r>
              <w:rPr>
                <w:b w:val="0"/>
                <w:color w:val="5A5A5A"/>
                <w:sz w:val="17"/>
              </w:rPr>
              <w:t>D1</w:t>
            </w:r>
          </w:p>
        </w:tc>
        <w:tc>
          <w:tcPr>
            <w:tcW w:type="dxa" w:w="2041"/>
          </w:tcPr>
          <w:p>
            <w:pPr>
              <w:spacing w:after="40"/>
            </w:pPr>
            <w:r>
              <w:rPr>
                <w:b w:val="0"/>
                <w:sz w:val="18"/>
              </w:rPr>
              <w:t>How should an organization manage Shadow AI without stifling innovation?</w:t>
            </w:r>
          </w:p>
        </w:tc>
        <w:tc>
          <w:tcPr>
            <w:tcW w:type="dxa" w:w="4195"/>
          </w:tcPr>
          <w:p>
            <w:pPr>
              <w:spacing w:after="40"/>
            </w:pPr>
            <w:r>
              <w:rPr>
                <w:b w:val="0"/>
                <w:sz w:val="18"/>
              </w:rPr>
              <w:t>Combine three things: 1) assess unsanctioned use and contain urgent data exposure with discovery controls suited to the environment (software inventories, expense or procurement reviews, CASB/SWG telemetry); 2) provide vetted, secure enterprise AI alternatives with contractual data-privacy protections; 3) enforce clear acceptable-use policies with role-appropriate training.</w:t>
            </w:r>
          </w:p>
          <w:p>
            <w:pPr>
              <w:spacing w:after="40"/>
            </w:pPr>
            <w:r>
              <w:rPr>
                <w:b w:val="0"/>
                <w:color w:val="787878"/>
                <w:sz w:val="16"/>
              </w:rPr>
              <w:t>（376 字）</w:t>
            </w:r>
          </w:p>
        </w:tc>
        <w:tc>
          <w:tcPr>
            <w:tcW w:type="dxa" w:w="1814"/>
          </w:tcPr>
          <w:p>
            <w:pPr>
              <w:spacing w:after="40"/>
            </w:pPr>
            <w:r>
              <w:rPr>
                <w:b w:val="0"/>
                <w:sz w:val="18"/>
              </w:rPr>
              <w:t>Pair clear use rules and discovery controls with approved, secure alternatives.</w:t>
            </w:r>
          </w:p>
        </w:tc>
        <w:tc>
          <w:tcPr>
            <w:tcW w:type="dxa" w:w="2041"/>
          </w:tcPr>
          <w:p>
            <w:pPr>
              <w:spacing w:after="40"/>
            </w:pPr>
            <w:r>
              <w:rPr>
                <w:b w:val="0"/>
                <w:sz w:val="17"/>
              </w:rPr>
              <w:t>NIST AI 600-1 GOVERN 1.2 &amp; 1.6; ISO/IEC 42001:2023 (verify Annex A controls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fc-07b</w:t>
            </w:r>
          </w:p>
          <w:p>
            <w:pPr>
              <w:spacing w:after="40"/>
            </w:pPr>
            <w:r>
              <w:rPr>
                <w:b w:val="0"/>
                <w:sz w:val="17"/>
              </w:rPr>
              <w:t>Board Oversight: Caremark duty (US)</w:t>
            </w:r>
          </w:p>
          <w:p>
            <w:pPr>
              <w:spacing w:after="40"/>
            </w:pPr>
            <w:r>
              <w:rPr>
                <w:b w:val="0"/>
                <w:color w:val="5A5A5A"/>
                <w:sz w:val="17"/>
              </w:rPr>
              <w:t>D1</w:t>
            </w:r>
          </w:p>
          <w:p>
            <w:pPr>
              <w:spacing w:after="40"/>
            </w:pPr>
            <w:r>
              <w:rPr>
                <w:b/>
                <w:color w:val="C05000"/>
                <w:sz w:val="17"/>
              </w:rPr>
              <w:t>US-specific</w:t>
            </w:r>
          </w:p>
        </w:tc>
        <w:tc>
          <w:tcPr>
            <w:tcW w:type="dxa" w:w="2041"/>
          </w:tcPr>
          <w:p>
            <w:pPr>
              <w:spacing w:after="40"/>
            </w:pPr>
            <w:r>
              <w:rPr>
                <w:b w:val="0"/>
                <w:sz w:val="18"/>
              </w:rPr>
              <w:t>What does the Caremark doctrine require of directors on oversight systems (US, Delaware)?</w:t>
            </w:r>
          </w:p>
        </w:tc>
        <w:tc>
          <w:tcPr>
            <w:tcW w:type="dxa" w:w="4195"/>
          </w:tcPr>
          <w:p>
            <w:pPr>
              <w:spacing w:after="40"/>
            </w:pPr>
            <w:r>
              <w:rPr>
                <w:b w:val="0"/>
                <w:sz w:val="18"/>
              </w:rPr>
              <w:t>Under Delaware corporate law (In re Caremark, 1996), directors must make a good-faith effort to ensure that a reasonable board-level information and reporting system exists, and that it is monitored for mission-critical compliance and safety risks.</w:t>
            </w:r>
          </w:p>
          <w:p>
            <w:pPr>
              <w:spacing w:after="40"/>
            </w:pPr>
            <w:r>
              <w:rPr>
                <w:b w:val="0"/>
                <w:color w:val="787878"/>
                <w:sz w:val="16"/>
              </w:rPr>
              <w:t>（248 字）</w:t>
            </w:r>
          </w:p>
          <w:p>
            <w:pPr>
              <w:spacing w:after="40"/>
            </w:pPr>
            <w:r>
              <w:rPr>
                <w:b/>
                <w:color w:val="C00000"/>
                <w:sz w:val="17"/>
              </w:rPr>
              <w:t>⚑ Caremark 内容我读起来准确，未对照判例；已标 US-specific。</w:t>
            </w:r>
          </w:p>
        </w:tc>
        <w:tc>
          <w:tcPr>
            <w:tcW w:type="dxa" w:w="1814"/>
          </w:tcPr>
          <w:p>
            <w:pPr>
              <w:spacing w:after="40"/>
            </w:pPr>
            <w:r>
              <w:rPr>
                <w:b w:val="0"/>
                <w:sz w:val="18"/>
              </w:rPr>
              <w:t>Caremark requires directors to maintain and monitor a board-level reporting system.</w:t>
            </w:r>
          </w:p>
        </w:tc>
        <w:tc>
          <w:tcPr>
            <w:tcW w:type="dxa" w:w="2041"/>
          </w:tcPr>
          <w:p>
            <w:pPr>
              <w:spacing w:after="40"/>
            </w:pPr>
            <w:r>
              <w:rPr>
                <w:b w:val="0"/>
                <w:sz w:val="17"/>
              </w:rPr>
              <w:t>In re Caremark Int'l Inc. Deriv. Litig., 698 A.2d 959 (Del. Ch. 1996).</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fc-08b</w:t>
            </w:r>
          </w:p>
          <w:p>
            <w:pPr>
              <w:spacing w:after="40"/>
            </w:pPr>
            <w:r>
              <w:rPr>
                <w:b w:val="0"/>
                <w:sz w:val="17"/>
              </w:rPr>
              <w:t>AI Ethics Advisory Board</w:t>
            </w:r>
          </w:p>
          <w:p>
            <w:pPr>
              <w:spacing w:after="40"/>
            </w:pPr>
            <w:r>
              <w:rPr>
                <w:b w:val="0"/>
                <w:color w:val="5A5A5A"/>
                <w:sz w:val="17"/>
              </w:rPr>
              <w:t>D1</w:t>
            </w:r>
          </w:p>
        </w:tc>
        <w:tc>
          <w:tcPr>
            <w:tcW w:type="dxa" w:w="2041"/>
          </w:tcPr>
          <w:p>
            <w:pPr>
              <w:spacing w:after="40"/>
            </w:pPr>
            <w:r>
              <w:rPr>
                <w:b w:val="0"/>
                <w:sz w:val="18"/>
              </w:rPr>
              <w:t>What is the role of an AI Ethics Advisory Board, compared with a steering committee?</w:t>
            </w:r>
          </w:p>
        </w:tc>
        <w:tc>
          <w:tcPr>
            <w:tcW w:type="dxa" w:w="4195"/>
          </w:tcPr>
          <w:p>
            <w:pPr>
              <w:spacing w:after="40"/>
            </w:pPr>
            <w:r>
              <w:rPr>
                <w:b w:val="0"/>
                <w:sz w:val="18"/>
              </w:rPr>
              <w:t>A consultative body, often with multidisciplinary or external ethicists, domain experts and stakeholder representatives. It provides independent ethical evaluations, socio-technical impact reviews and advice to leadership or the steering committee. It advises, whereas the steering committee holds the decision rights.</w:t>
            </w:r>
          </w:p>
          <w:p>
            <w:pPr>
              <w:spacing w:after="40"/>
            </w:pPr>
            <w:r>
              <w:rPr>
                <w:b w:val="0"/>
                <w:color w:val="787878"/>
                <w:sz w:val="16"/>
              </w:rPr>
              <w:t>（318 字）</w:t>
            </w:r>
          </w:p>
        </w:tc>
        <w:tc>
          <w:tcPr>
            <w:tcW w:type="dxa" w:w="1814"/>
          </w:tcPr>
          <w:p>
            <w:pPr>
              <w:spacing w:after="40"/>
            </w:pPr>
            <w:r>
              <w:rPr>
                <w:b w:val="0"/>
                <w:sz w:val="18"/>
              </w:rPr>
              <w:t>An ethics board advises; the steering committee decides.</w:t>
            </w:r>
          </w:p>
        </w:tc>
        <w:tc>
          <w:tcPr>
            <w:tcW w:type="dxa" w:w="2041"/>
          </w:tcPr>
          <w:p>
            <w:pPr>
              <w:spacing w:after="40"/>
            </w:pPr>
            <w:r>
              <w:rPr>
                <w:b w:val="0"/>
                <w:sz w:val="17"/>
              </w:rPr>
              <w:t>NIST AI RMF 1.0 GOVERN 1.2, 2.1 &amp; 3.1; IIA Three Lines Model (2020) Principles 2 &amp; 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fc-11b</w:t>
            </w:r>
          </w:p>
          <w:p>
            <w:pPr>
              <w:spacing w:after="40"/>
            </w:pPr>
            <w:r>
              <w:rPr>
                <w:b w:val="0"/>
                <w:sz w:val="17"/>
              </w:rPr>
              <w:t>Model Card contents</w:t>
            </w:r>
          </w:p>
          <w:p>
            <w:pPr>
              <w:spacing w:after="40"/>
            </w:pPr>
            <w:r>
              <w:rPr>
                <w:b w:val="0"/>
                <w:color w:val="5A5A5A"/>
                <w:sz w:val="17"/>
              </w:rPr>
              <w:t>D2</w:t>
            </w:r>
          </w:p>
        </w:tc>
        <w:tc>
          <w:tcPr>
            <w:tcW w:type="dxa" w:w="2041"/>
          </w:tcPr>
          <w:p>
            <w:pPr>
              <w:spacing w:after="40"/>
            </w:pPr>
            <w:r>
              <w:rPr>
                <w:b w:val="0"/>
                <w:sz w:val="18"/>
              </w:rPr>
              <w:t>What core elements does a Model Card typically document?</w:t>
            </w:r>
          </w:p>
        </w:tc>
        <w:tc>
          <w:tcPr>
            <w:tcW w:type="dxa" w:w="4195"/>
          </w:tcPr>
          <w:p>
            <w:pPr>
              <w:spacing w:after="40"/>
            </w:pPr>
            <w:r>
              <w:rPr>
                <w:b w:val="0"/>
                <w:sz w:val="18"/>
              </w:rPr>
              <w:t>1. Model details, accountable owner, version history and risk tier; 2. Intended use cases and explicit out-of-scope or prohibited uses; 3. Training and evaluation data provenance, assumptions and known limitations; 4. Disaggregated performance benchmarks, fairness and bias evaluations across subgroups, and ethical or safety considerations.</w:t>
            </w:r>
          </w:p>
          <w:p>
            <w:pPr>
              <w:spacing w:after="40"/>
            </w:pPr>
            <w:r>
              <w:rPr>
                <w:b w:val="0"/>
                <w:color w:val="787878"/>
                <w:sz w:val="16"/>
              </w:rPr>
              <w:t>（341 字）</w:t>
            </w:r>
          </w:p>
        </w:tc>
        <w:tc>
          <w:tcPr>
            <w:tcW w:type="dxa" w:w="1814"/>
          </w:tcPr>
          <w:p>
            <w:pPr>
              <w:spacing w:after="40"/>
            </w:pPr>
            <w:r>
              <w:rPr>
                <w:b w:val="0"/>
                <w:sz w:val="18"/>
              </w:rPr>
              <w:t>Model cards cover purpose, limits, data, disaggregated results, risk tier and ownership.</w:t>
            </w:r>
          </w:p>
        </w:tc>
        <w:tc>
          <w:tcPr>
            <w:tcW w:type="dxa" w:w="2041"/>
          </w:tcPr>
          <w:p>
            <w:pPr>
              <w:spacing w:after="40"/>
            </w:pPr>
            <w:r>
              <w:rPr>
                <w:b w:val="0"/>
                <w:sz w:val="17"/>
              </w:rPr>
              <w:t>Mitchell et al., 'Model Cards for Model Reporting' (arXiv:1810.03993); NIST AI RMF 1.0 GOVERN 1.6, MAP 1.1 &amp; MEASURE 2.8; ISO/IEC 42001:2023 (verify inventory/documentation clauses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fc-13b</w:t>
            </w:r>
          </w:p>
          <w:p>
            <w:pPr>
              <w:spacing w:after="40"/>
            </w:pPr>
            <w:r>
              <w:rPr>
                <w:b w:val="0"/>
                <w:sz w:val="17"/>
              </w:rPr>
              <w:t>Proxy Discrimination: detection</w:t>
            </w:r>
          </w:p>
          <w:p>
            <w:pPr>
              <w:spacing w:after="40"/>
            </w:pPr>
            <w:r>
              <w:rPr>
                <w:b w:val="0"/>
                <w:color w:val="5A5A5A"/>
                <w:sz w:val="17"/>
              </w:rPr>
              <w:t>D2</w:t>
            </w:r>
          </w:p>
        </w:tc>
        <w:tc>
          <w:tcPr>
            <w:tcW w:type="dxa" w:w="2041"/>
          </w:tcPr>
          <w:p>
            <w:pPr>
              <w:spacing w:after="40"/>
            </w:pPr>
            <w:r>
              <w:rPr>
                <w:b w:val="0"/>
                <w:sz w:val="18"/>
              </w:rPr>
              <w:t>Why is proxy discrimination hard to detect?</w:t>
            </w:r>
          </w:p>
        </w:tc>
        <w:tc>
          <w:tcPr>
            <w:tcW w:type="dxa" w:w="4195"/>
          </w:tcPr>
          <w:p>
            <w:pPr>
              <w:spacing w:after="40"/>
            </w:pPr>
            <w:r>
              <w:rPr>
                <w:b w:val="0"/>
                <w:sz w:val="18"/>
              </w:rPr>
              <w:t>Proxy variables are often related to protected characteristics indirectly and non-linearly, so removing the protected attribute does not remove the signal. It is found by testing outcomes by group (for example, disparate impact analysis), not by inspecting the inputs.</w:t>
            </w:r>
          </w:p>
          <w:p>
            <w:pPr>
              <w:spacing w:after="40"/>
            </w:pPr>
            <w:r>
              <w:rPr>
                <w:b w:val="0"/>
                <w:color w:val="787878"/>
                <w:sz w:val="16"/>
              </w:rPr>
              <w:t>（268 字）</w:t>
            </w:r>
          </w:p>
        </w:tc>
        <w:tc>
          <w:tcPr>
            <w:tcW w:type="dxa" w:w="1814"/>
          </w:tcPr>
          <w:p>
            <w:pPr>
              <w:spacing w:after="40"/>
            </w:pPr>
            <w:r>
              <w:rPr>
                <w:b w:val="0"/>
                <w:sz w:val="18"/>
              </w:rPr>
              <w:t>Blinding a model to sensitive attributes is insufficient; test outcomes by group.</w:t>
            </w:r>
          </w:p>
        </w:tc>
        <w:tc>
          <w:tcPr>
            <w:tcW w:type="dxa" w:w="2041"/>
          </w:tcPr>
          <w:p>
            <w:pPr>
              <w:spacing w:after="40"/>
            </w:pPr>
            <w:r>
              <w:rPr>
                <w:b w:val="0"/>
                <w:sz w:val="17"/>
              </w:rPr>
              <w:t>NIST AI RMF MEASURE 2.11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fc-16b</w:t>
            </w:r>
          </w:p>
          <w:p>
            <w:pPr>
              <w:spacing w:after="40"/>
            </w:pPr>
            <w:r>
              <w:rPr>
                <w:b w:val="0"/>
                <w:sz w:val="17"/>
              </w:rPr>
              <w:t>Datasheets for Datasets: limits</w:t>
            </w:r>
          </w:p>
          <w:p>
            <w:pPr>
              <w:spacing w:after="40"/>
            </w:pPr>
            <w:r>
              <w:rPr>
                <w:b w:val="0"/>
                <w:color w:val="5A5A5A"/>
                <w:sz w:val="17"/>
              </w:rPr>
              <w:t>D2</w:t>
            </w:r>
          </w:p>
        </w:tc>
        <w:tc>
          <w:tcPr>
            <w:tcW w:type="dxa" w:w="2041"/>
          </w:tcPr>
          <w:p>
            <w:pPr>
              <w:spacing w:after="40"/>
            </w:pPr>
            <w:r>
              <w:rPr>
                <w:b w:val="0"/>
                <w:sz w:val="18"/>
              </w:rPr>
              <w:t>What does a Datasheet for Datasets not replace?</w:t>
            </w:r>
          </w:p>
        </w:tc>
        <w:tc>
          <w:tcPr>
            <w:tcW w:type="dxa" w:w="4195"/>
          </w:tcPr>
          <w:p>
            <w:pPr>
              <w:spacing w:after="40"/>
            </w:pPr>
            <w:r>
              <w:rPr>
                <w:b w:val="0"/>
                <w:sz w:val="18"/>
              </w:rPr>
              <w:t>It helps practitioners, deployers and auditors assess dataset representativeness, sampling limits and governance gaps. It does not replace separate legal and technical verification of copyright compliance or of statutory data-governance duties such as EU AI Act Article 10.</w:t>
            </w:r>
          </w:p>
          <w:p>
            <w:pPr>
              <w:spacing w:after="40"/>
            </w:pPr>
            <w:r>
              <w:rPr>
                <w:b w:val="0"/>
                <w:color w:val="787878"/>
                <w:sz w:val="16"/>
              </w:rPr>
              <w:t>（273 字）</w:t>
            </w:r>
          </w:p>
        </w:tc>
        <w:tc>
          <w:tcPr>
            <w:tcW w:type="dxa" w:w="1814"/>
          </w:tcPr>
          <w:p>
            <w:pPr>
              <w:spacing w:after="40"/>
            </w:pPr>
            <w:r>
              <w:rPr>
                <w:b w:val="0"/>
                <w:sz w:val="18"/>
              </w:rPr>
              <w:t>A datasheet informs dataset selection; it is not proof of legal compliance.</w:t>
            </w:r>
          </w:p>
        </w:tc>
        <w:tc>
          <w:tcPr>
            <w:tcW w:type="dxa" w:w="2041"/>
          </w:tcPr>
          <w:p>
            <w:pPr>
              <w:spacing w:after="40"/>
            </w:pPr>
            <w:r>
              <w:rPr>
                <w:b w:val="0"/>
                <w:sz w:val="17"/>
              </w:rPr>
              <w:t>Gebru et al., 'Datasheets for Datasets' (arXiv:1803.09010); NIST AI RMF 1.0 MAP 2.3.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fc-17b</w:t>
            </w:r>
          </w:p>
          <w:p>
            <w:pPr>
              <w:spacing w:after="40"/>
            </w:pPr>
            <w:r>
              <w:rPr>
                <w:b w:val="0"/>
                <w:sz w:val="17"/>
              </w:rPr>
              <w:t>Differential Privacy: what it guarantees</w:t>
            </w:r>
          </w:p>
          <w:p>
            <w:pPr>
              <w:spacing w:after="40"/>
            </w:pPr>
            <w:r>
              <w:rPr>
                <w:b w:val="0"/>
                <w:color w:val="5A5A5A"/>
                <w:sz w:val="17"/>
              </w:rPr>
              <w:t>D2</w:t>
            </w:r>
          </w:p>
        </w:tc>
        <w:tc>
          <w:tcPr>
            <w:tcW w:type="dxa" w:w="2041"/>
          </w:tcPr>
          <w:p>
            <w:pPr>
              <w:spacing w:after="40"/>
            </w:pPr>
            <w:r>
              <w:rPr>
                <w:b w:val="0"/>
                <w:sz w:val="18"/>
              </w:rPr>
              <w:t>How should the privacy guarantee of Differential Privacy be understood?</w:t>
            </w:r>
          </w:p>
        </w:tc>
        <w:tc>
          <w:tcPr>
            <w:tcW w:type="dxa" w:w="4195"/>
          </w:tcPr>
          <w:p>
            <w:pPr>
              <w:spacing w:after="40"/>
            </w:pPr>
            <w:r>
              <w:rPr>
                <w:b w:val="0"/>
                <w:sz w:val="18"/>
              </w:rPr>
              <w:t>DP does not promise zero disclosure or eliminate membership inference attacks. It quantifies and bounds incremental privacy loss through parameters such as epsilon and delta, which must be evaluated together with query composition, implementation fidelity and residual inference risks.</w:t>
            </w:r>
          </w:p>
          <w:p>
            <w:pPr>
              <w:spacing w:after="40"/>
            </w:pPr>
            <w:r>
              <w:rPr>
                <w:b w:val="0"/>
                <w:color w:val="787878"/>
                <w:sz w:val="16"/>
              </w:rPr>
              <w:t>（285 字）</w:t>
            </w:r>
          </w:p>
        </w:tc>
        <w:tc>
          <w:tcPr>
            <w:tcW w:type="dxa" w:w="1814"/>
          </w:tcPr>
          <w:p>
            <w:pPr>
              <w:spacing w:after="40"/>
            </w:pPr>
            <w:r>
              <w:rPr>
                <w:b w:val="0"/>
                <w:sz w:val="18"/>
              </w:rPr>
              <w:t>DP bounds and quantifies privacy loss; it does not guarantee zero disclosure.</w:t>
            </w:r>
          </w:p>
        </w:tc>
        <w:tc>
          <w:tcPr>
            <w:tcW w:type="dxa" w:w="2041"/>
          </w:tcPr>
          <w:p>
            <w:pPr>
              <w:spacing w:after="40"/>
            </w:pPr>
            <w:r>
              <w:rPr>
                <w:b w:val="0"/>
                <w:sz w:val="17"/>
              </w:rPr>
              <w:t>NIST SP 800-226 (Guidelines for Evaluating Differential Privacy Guarantees); NIST AI RMF 1.0 MEASURE 2.10.</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fc-18b</w:t>
            </w:r>
          </w:p>
          <w:p>
            <w:pPr>
              <w:spacing w:after="40"/>
            </w:pPr>
            <w:r>
              <w:rPr>
                <w:b w:val="0"/>
                <w:sz w:val="17"/>
              </w:rPr>
              <w:t>Vector Database: data protection</w:t>
            </w:r>
          </w:p>
          <w:p>
            <w:pPr>
              <w:spacing w:after="40"/>
            </w:pPr>
            <w:r>
              <w:rPr>
                <w:b w:val="0"/>
                <w:color w:val="5A5A5A"/>
                <w:sz w:val="17"/>
              </w:rPr>
              <w:t>D2</w:t>
            </w:r>
          </w:p>
        </w:tc>
        <w:tc>
          <w:tcPr>
            <w:tcW w:type="dxa" w:w="2041"/>
          </w:tcPr>
          <w:p>
            <w:pPr>
              <w:spacing w:after="40"/>
            </w:pPr>
            <w:r>
              <w:rPr>
                <w:b w:val="0"/>
                <w:sz w:val="18"/>
              </w:rPr>
              <w:t>How should chunks and embeddings in a vector database be protected?</w:t>
            </w:r>
          </w:p>
        </w:tc>
        <w:tc>
          <w:tcPr>
            <w:tcW w:type="dxa" w:w="4195"/>
          </w:tcPr>
          <w:p>
            <w:pPr>
              <w:spacing w:after="40"/>
            </w:pPr>
            <w:r>
              <w:rPr>
                <w:b w:val="0"/>
                <w:sz w:val="18"/>
              </w:rPr>
              <w:t>Encrypt source text chunks and embedding vectors in transit and at rest, and restrict access to reduce embedding-inversion risk (recovering source content from vectors).</w:t>
            </w:r>
          </w:p>
          <w:p>
            <w:pPr>
              <w:spacing w:after="40"/>
            </w:pPr>
            <w:r>
              <w:rPr>
                <w:b w:val="0"/>
                <w:color w:val="787878"/>
                <w:sz w:val="16"/>
              </w:rPr>
              <w:t>（169 字）</w:t>
            </w:r>
          </w:p>
        </w:tc>
        <w:tc>
          <w:tcPr>
            <w:tcW w:type="dxa" w:w="1814"/>
          </w:tcPr>
          <w:p>
            <w:pPr>
              <w:spacing w:after="40"/>
            </w:pPr>
            <w:r>
              <w:rPr>
                <w:b w:val="0"/>
                <w:sz w:val="18"/>
              </w:rPr>
              <w:t>Protect chunks and embeddings in transit and at rest, and limit who can read them.</w:t>
            </w:r>
          </w:p>
        </w:tc>
        <w:tc>
          <w:tcPr>
            <w:tcW w:type="dxa" w:w="2041"/>
          </w:tcPr>
          <w:p>
            <w:pPr>
              <w:spacing w:after="40"/>
            </w:pPr>
            <w:r>
              <w:rPr>
                <w:b w:val="0"/>
                <w:sz w:val="17"/>
              </w:rPr>
              <w:t>NIST SP 800-218 &amp; SP 800-218A; NIST AI 600-1; GDPR Arts. 5 &amp; 17 (where personal data is processed).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fc-18c</w:t>
            </w:r>
          </w:p>
          <w:p>
            <w:pPr>
              <w:spacing w:after="40"/>
            </w:pPr>
            <w:r>
              <w:rPr>
                <w:b w:val="0"/>
                <w:sz w:val="17"/>
              </w:rPr>
              <w:t>Vector Database: retention and deletion</w:t>
            </w:r>
          </w:p>
          <w:p>
            <w:pPr>
              <w:spacing w:after="40"/>
            </w:pPr>
            <w:r>
              <w:rPr>
                <w:b w:val="0"/>
                <w:color w:val="5A5A5A"/>
                <w:sz w:val="17"/>
              </w:rPr>
              <w:t>D2</w:t>
            </w:r>
          </w:p>
        </w:tc>
        <w:tc>
          <w:tcPr>
            <w:tcW w:type="dxa" w:w="2041"/>
          </w:tcPr>
          <w:p>
            <w:pPr>
              <w:spacing w:after="40"/>
            </w:pPr>
            <w:r>
              <w:rPr>
                <w:b w:val="0"/>
                <w:sz w:val="18"/>
              </w:rPr>
              <w:t>How should retention and deletion be handled across a RAG architecture?</w:t>
            </w:r>
          </w:p>
        </w:tc>
        <w:tc>
          <w:tcPr>
            <w:tcW w:type="dxa" w:w="4195"/>
          </w:tcPr>
          <w:p>
            <w:pPr>
              <w:spacing w:after="40"/>
            </w:pPr>
            <w:r>
              <w:rPr>
                <w:b w:val="0"/>
                <w:sz w:val="18"/>
              </w:rPr>
              <w:t>Propagate retention expiries, updates and applicable statutory erasure requests (e.g., GDPR Article 17) across source repositories, vector indexes, caches and backups, so deleted data does not remain retrievable.</w:t>
            </w:r>
          </w:p>
          <w:p>
            <w:pPr>
              <w:spacing w:after="40"/>
            </w:pPr>
            <w:r>
              <w:rPr>
                <w:b w:val="0"/>
                <w:color w:val="787878"/>
                <w:sz w:val="16"/>
              </w:rPr>
              <w:t>（212 字）</w:t>
            </w:r>
          </w:p>
        </w:tc>
        <w:tc>
          <w:tcPr>
            <w:tcW w:type="dxa" w:w="1814"/>
          </w:tcPr>
          <w:p>
            <w:pPr>
              <w:spacing w:after="40"/>
            </w:pPr>
            <w:r>
              <w:rPr>
                <w:b w:val="0"/>
                <w:sz w:val="18"/>
              </w:rPr>
              <w:t>Deletion must reach the vector index, caches and backups, not just the source.</w:t>
            </w:r>
          </w:p>
        </w:tc>
        <w:tc>
          <w:tcPr>
            <w:tcW w:type="dxa" w:w="2041"/>
          </w:tcPr>
          <w:p>
            <w:pPr>
              <w:spacing w:after="40"/>
            </w:pPr>
            <w:r>
              <w:rPr>
                <w:b w:val="0"/>
                <w:sz w:val="17"/>
              </w:rPr>
              <w:t>NIST SP 800-218 &amp; SP 800-218A; NIST AI 600-1; GDPR Arts. 5 &amp; 17 (where personal data is processed).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fc-20b</w:t>
            </w:r>
          </w:p>
          <w:p>
            <w:pPr>
              <w:spacing w:after="40"/>
            </w:pPr>
            <w:r>
              <w:rPr>
                <w:b w:val="0"/>
                <w:sz w:val="17"/>
              </w:rPr>
              <w:t>Data Minimization: RAG</w:t>
            </w:r>
          </w:p>
          <w:p>
            <w:pPr>
              <w:spacing w:after="40"/>
            </w:pPr>
            <w:r>
              <w:rPr>
                <w:b w:val="0"/>
                <w:color w:val="5A5A5A"/>
                <w:sz w:val="17"/>
              </w:rPr>
              <w:t>D2</w:t>
            </w:r>
          </w:p>
        </w:tc>
        <w:tc>
          <w:tcPr>
            <w:tcW w:type="dxa" w:w="2041"/>
          </w:tcPr>
          <w:p>
            <w:pPr>
              <w:spacing w:after="40"/>
            </w:pPr>
            <w:r>
              <w:rPr>
                <w:b w:val="0"/>
                <w:sz w:val="18"/>
              </w:rPr>
              <w:t>How does data minimization apply to RAG indexing and retrieval?</w:t>
            </w:r>
          </w:p>
        </w:tc>
        <w:tc>
          <w:tcPr>
            <w:tcW w:type="dxa" w:w="4195"/>
          </w:tcPr>
          <w:p>
            <w:pPr>
              <w:spacing w:after="40"/>
            </w:pPr>
            <w:r>
              <w:rPr>
                <w:b w:val="0"/>
                <w:sz w:val="18"/>
              </w:rPr>
              <w:t>Index only authorized, purpose-relevant corpora, and retrieve only the context chunks needed to answer the query, so that personal data is not exposed or processed beyond what the purpose needs.</w:t>
            </w:r>
          </w:p>
          <w:p>
            <w:pPr>
              <w:spacing w:after="40"/>
            </w:pPr>
            <w:r>
              <w:rPr>
                <w:b w:val="0"/>
                <w:color w:val="787878"/>
                <w:sz w:val="16"/>
              </w:rPr>
              <w:t>（194 字）</w:t>
            </w:r>
          </w:p>
        </w:tc>
        <w:tc>
          <w:tcPr>
            <w:tcW w:type="dxa" w:w="1814"/>
          </w:tcPr>
          <w:p>
            <w:pPr>
              <w:spacing w:after="40"/>
            </w:pPr>
            <w:r>
              <w:rPr>
                <w:b w:val="0"/>
                <w:sz w:val="18"/>
              </w:rPr>
              <w:t>Index and retrieve only what the purpose needs.</w:t>
            </w:r>
          </w:p>
        </w:tc>
        <w:tc>
          <w:tcPr>
            <w:tcW w:type="dxa" w:w="2041"/>
          </w:tcPr>
          <w:p>
            <w:pPr>
              <w:spacing w:after="40"/>
            </w:pPr>
            <w:r>
              <w:rPr>
                <w:b w:val="0"/>
                <w:sz w:val="17"/>
              </w:rPr>
              <w:t>GDPR Art. 5(1)(c) &amp; Art. 25; NIST AI 600-1; ISO/IEC 42001:2023 (verify Annex A data controls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fc-20c</w:t>
            </w:r>
          </w:p>
          <w:p>
            <w:pPr>
              <w:spacing w:after="40"/>
            </w:pPr>
            <w:r>
              <w:rPr>
                <w:b w:val="0"/>
                <w:sz w:val="17"/>
              </w:rPr>
              <w:t>Data Minimization: logs and vendors</w:t>
            </w:r>
          </w:p>
          <w:p>
            <w:pPr>
              <w:spacing w:after="40"/>
            </w:pPr>
            <w:r>
              <w:rPr>
                <w:b w:val="0"/>
                <w:color w:val="5A5A5A"/>
                <w:sz w:val="17"/>
              </w:rPr>
              <w:t>D2</w:t>
            </w:r>
          </w:p>
        </w:tc>
        <w:tc>
          <w:tcPr>
            <w:tcW w:type="dxa" w:w="2041"/>
          </w:tcPr>
          <w:p>
            <w:pPr>
              <w:spacing w:after="40"/>
            </w:pPr>
            <w:r>
              <w:rPr>
                <w:b w:val="0"/>
                <w:sz w:val="18"/>
              </w:rPr>
              <w:t>How should prompt logs and vendor use be limited for data minimization?</w:t>
            </w:r>
          </w:p>
        </w:tc>
        <w:tc>
          <w:tcPr>
            <w:tcW w:type="dxa" w:w="4195"/>
          </w:tcPr>
          <w:p>
            <w:pPr>
              <w:spacing w:after="40"/>
            </w:pPr>
            <w:r>
              <w:rPr>
                <w:b w:val="0"/>
                <w:sz w:val="18"/>
              </w:rPr>
              <w:t>Restrict how long prompts and outputs are logged, and contractually prohibit vendors from reusing enterprise prompts for model training.</w:t>
            </w:r>
          </w:p>
          <w:p>
            <w:pPr>
              <w:spacing w:after="40"/>
            </w:pPr>
            <w:r>
              <w:rPr>
                <w:b w:val="0"/>
                <w:color w:val="787878"/>
                <w:sz w:val="16"/>
              </w:rPr>
              <w:t>（136 字）</w:t>
            </w:r>
          </w:p>
        </w:tc>
        <w:tc>
          <w:tcPr>
            <w:tcW w:type="dxa" w:w="1814"/>
          </w:tcPr>
          <w:p>
            <w:pPr>
              <w:spacing w:after="40"/>
            </w:pPr>
            <w:r>
              <w:rPr>
                <w:b w:val="0"/>
                <w:sz w:val="18"/>
              </w:rPr>
              <w:t>Keep prompt logs short-lived and bar vendors from training on your prompts.</w:t>
            </w:r>
          </w:p>
        </w:tc>
        <w:tc>
          <w:tcPr>
            <w:tcW w:type="dxa" w:w="2041"/>
          </w:tcPr>
          <w:p>
            <w:pPr>
              <w:spacing w:after="40"/>
            </w:pPr>
            <w:r>
              <w:rPr>
                <w:b w:val="0"/>
                <w:sz w:val="17"/>
              </w:rPr>
              <w:t>GDPR Art. 5(1)(c) &amp; Art. 25; NIST AI 600-1; ISO/IEC 42001:2023 (verify Annex A data controls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fc-21b</w:t>
            </w:r>
          </w:p>
          <w:p>
            <w:pPr>
              <w:spacing w:after="40"/>
            </w:pPr>
            <w:r>
              <w:rPr>
                <w:b w:val="0"/>
                <w:sz w:val="17"/>
              </w:rPr>
              <w:t>Buy vs. Build: provider obligations (Art. 25)</w:t>
            </w:r>
          </w:p>
          <w:p>
            <w:pPr>
              <w:spacing w:after="40"/>
            </w:pPr>
            <w:r>
              <w:rPr>
                <w:b w:val="0"/>
                <w:color w:val="5A5A5A"/>
                <w:sz w:val="17"/>
              </w:rPr>
              <w:t>D3</w:t>
            </w:r>
          </w:p>
        </w:tc>
        <w:tc>
          <w:tcPr>
            <w:tcW w:type="dxa" w:w="2041"/>
          </w:tcPr>
          <w:p>
            <w:pPr>
              <w:spacing w:after="40"/>
            </w:pPr>
            <w:r>
              <w:rPr>
                <w:b w:val="0"/>
                <w:sz w:val="18"/>
              </w:rPr>
              <w:t>When does a deployer take on provider obligations under EU AI Act Article 25(1)?</w:t>
            </w:r>
          </w:p>
        </w:tc>
        <w:tc>
          <w:tcPr>
            <w:tcW w:type="dxa" w:w="4195"/>
          </w:tcPr>
          <w:p>
            <w:pPr>
              <w:spacing w:after="40"/>
            </w:pPr>
            <w:r>
              <w:rPr>
                <w:b w:val="0"/>
                <w:sz w:val="18"/>
              </w:rPr>
              <w:t>It may be treated as the provider if it (a) puts its name or trademark on an existing high-risk system, (b) substantially modifies an existing high-risk system so that it remains high-risk, or (c) changes the intended purpose of a non-high-risk system so that it becomes high-risk. Vendor documentation and evaluation evidence help clarify the roles.</w:t>
            </w:r>
          </w:p>
          <w:p>
            <w:pPr>
              <w:spacing w:after="40"/>
            </w:pPr>
            <w:r>
              <w:rPr>
                <w:b w:val="0"/>
                <w:color w:val="787878"/>
                <w:sz w:val="16"/>
              </w:rPr>
              <w:t>（350 字）</w:t>
            </w:r>
          </w:p>
        </w:tc>
        <w:tc>
          <w:tcPr>
            <w:tcW w:type="dxa" w:w="1814"/>
          </w:tcPr>
          <w:p>
            <w:pPr>
              <w:spacing w:after="40"/>
            </w:pPr>
            <w:r>
              <w:rPr>
                <w:b w:val="0"/>
                <w:sz w:val="18"/>
              </w:rPr>
              <w:t>Outsourcing model development does not outsource accountability; Art. 25 triggers can make you the provider.</w:t>
            </w:r>
          </w:p>
        </w:tc>
        <w:tc>
          <w:tcPr>
            <w:tcW w:type="dxa" w:w="2041"/>
          </w:tcPr>
          <w:p>
            <w:pPr>
              <w:spacing w:after="40"/>
            </w:pPr>
            <w:r>
              <w:rPr>
                <w:b w:val="0"/>
                <w:sz w:val="17"/>
              </w:rPr>
              <w:t>EU AI Act Arts. 25 &amp; 26.</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fc-21c</w:t>
            </w:r>
          </w:p>
          <w:p>
            <w:pPr>
              <w:spacing w:after="40"/>
            </w:pPr>
            <w:r>
              <w:rPr>
                <w:b w:val="0"/>
                <w:sz w:val="17"/>
              </w:rPr>
              <w:t>Buy vs. Build: exit and cost</w:t>
            </w:r>
          </w:p>
          <w:p>
            <w:pPr>
              <w:spacing w:after="40"/>
            </w:pPr>
            <w:r>
              <w:rPr>
                <w:b w:val="0"/>
                <w:color w:val="5A5A5A"/>
                <w:sz w:val="17"/>
              </w:rPr>
              <w:t>D3</w:t>
            </w:r>
          </w:p>
        </w:tc>
        <w:tc>
          <w:tcPr>
            <w:tcW w:type="dxa" w:w="2041"/>
          </w:tcPr>
          <w:p>
            <w:pPr>
              <w:spacing w:after="40"/>
            </w:pPr>
            <w:r>
              <w:rPr>
                <w:b w:val="0"/>
                <w:sz w:val="18"/>
              </w:rPr>
              <w:t>Which exit and cost factors should a buy-versus-build decision include?</w:t>
            </w:r>
          </w:p>
        </w:tc>
        <w:tc>
          <w:tcPr>
            <w:tcW w:type="dxa" w:w="4195"/>
          </w:tcPr>
          <w:p>
            <w:pPr>
              <w:spacing w:after="40"/>
            </w:pPr>
            <w:r>
              <w:rPr>
                <w:b w:val="0"/>
                <w:sz w:val="18"/>
              </w:rPr>
              <w:t>Vendor concentration and exit resilience: portability of prompts, embeddings and workflows to limit lock-in. Total cost of ownership: full lifecycle licensing, compute, monitoring, assurance and switching costs.</w:t>
            </w:r>
          </w:p>
          <w:p>
            <w:pPr>
              <w:spacing w:after="40"/>
            </w:pPr>
            <w:r>
              <w:rPr>
                <w:b w:val="0"/>
                <w:color w:val="787878"/>
                <w:sz w:val="16"/>
              </w:rPr>
              <w:t>（211 字）</w:t>
            </w:r>
          </w:p>
        </w:tc>
        <w:tc>
          <w:tcPr>
            <w:tcW w:type="dxa" w:w="1814"/>
          </w:tcPr>
          <w:p>
            <w:pPr>
              <w:spacing w:after="40"/>
            </w:pPr>
            <w:r>
              <w:rPr>
                <w:b w:val="0"/>
                <w:sz w:val="18"/>
              </w:rPr>
              <w:t>Include lock-in, exit and lifecycle costs, not just the licence price.</w:t>
            </w:r>
          </w:p>
        </w:tc>
        <w:tc>
          <w:tcPr>
            <w:tcW w:type="dxa" w:w="2041"/>
          </w:tcPr>
          <w:p>
            <w:pPr>
              <w:spacing w:after="40"/>
            </w:pPr>
            <w:r>
              <w:rPr>
                <w:b w:val="0"/>
                <w:sz w:val="17"/>
              </w:rPr>
              <w:t>NIST AI RMF 1.0 GOVERN 6.1 &amp; 6.2; COBIT 2019 BAI03 (verify against licensed text).</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fc-22b</w:t>
            </w:r>
          </w:p>
          <w:p>
            <w:pPr>
              <w:spacing w:after="40"/>
            </w:pPr>
            <w:r>
              <w:rPr>
                <w:b w:val="0"/>
                <w:sz w:val="17"/>
              </w:rPr>
              <w:t>Explainability: risk evaluation</w:t>
            </w:r>
          </w:p>
          <w:p>
            <w:pPr>
              <w:spacing w:after="40"/>
            </w:pPr>
            <w:r>
              <w:rPr>
                <w:b w:val="0"/>
                <w:color w:val="5A5A5A"/>
                <w:sz w:val="17"/>
              </w:rPr>
              <w:t>D3</w:t>
            </w:r>
          </w:p>
        </w:tc>
        <w:tc>
          <w:tcPr>
            <w:tcW w:type="dxa" w:w="2041"/>
          </w:tcPr>
          <w:p>
            <w:pPr>
              <w:spacing w:after="40"/>
            </w:pPr>
            <w:r>
              <w:rPr>
                <w:b w:val="0"/>
                <w:sz w:val="18"/>
              </w:rPr>
              <w:t>Why does explainability matter for evaluating AI risk?</w:t>
            </w:r>
          </w:p>
        </w:tc>
        <w:tc>
          <w:tcPr>
            <w:tcW w:type="dxa" w:w="4195"/>
          </w:tcPr>
          <w:p>
            <w:pPr>
              <w:spacing w:after="40"/>
            </w:pPr>
            <w:r>
              <w:rPr>
                <w:b w:val="0"/>
                <w:sz w:val="18"/>
              </w:rPr>
              <w:t>Explanations let organizations investigate proxy discrimination, bias, model limitations and decision behavior (NIST AI RMF MEASURE 2.8 and 2.9). Complex models are not automatically prohibited, but explanations, documentation and controls must match the use case.</w:t>
            </w:r>
          </w:p>
          <w:p>
            <w:pPr>
              <w:spacing w:after="40"/>
            </w:pPr>
            <w:r>
              <w:rPr>
                <w:b w:val="0"/>
                <w:color w:val="787878"/>
                <w:sz w:val="16"/>
              </w:rPr>
              <w:t>（264 字）</w:t>
            </w:r>
          </w:p>
        </w:tc>
        <w:tc>
          <w:tcPr>
            <w:tcW w:type="dxa" w:w="1814"/>
          </w:tcPr>
          <w:p>
            <w:pPr>
              <w:spacing w:after="40"/>
            </w:pPr>
            <w:r>
              <w:rPr>
                <w:b w:val="0"/>
                <w:sz w:val="18"/>
              </w:rPr>
              <w:t>Explainability supports bias and limitation checks; match it to the use case.</w:t>
            </w:r>
          </w:p>
        </w:tc>
        <w:tc>
          <w:tcPr>
            <w:tcW w:type="dxa" w:w="2041"/>
          </w:tcPr>
          <w:p>
            <w:pPr>
              <w:spacing w:after="40"/>
            </w:pPr>
            <w:r>
              <w:rPr>
                <w:b w:val="0"/>
                <w:sz w:val="17"/>
              </w:rPr>
              <w:t>Regulation (EU) 2024/1689 (EU AI Act) Art. 13 &amp; Art. 86; NIST AI RMF 1.0 MEASURE 2.8 &amp; 2.9.</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fc-22c</w:t>
            </w:r>
          </w:p>
          <w:p>
            <w:pPr>
              <w:spacing w:after="40"/>
            </w:pPr>
            <w:r>
              <w:rPr>
                <w:b w:val="0"/>
                <w:sz w:val="17"/>
              </w:rPr>
              <w:t>Transparency to deployers (Art. 13)</w:t>
            </w:r>
          </w:p>
          <w:p>
            <w:pPr>
              <w:spacing w:after="40"/>
            </w:pPr>
            <w:r>
              <w:rPr>
                <w:b w:val="0"/>
                <w:color w:val="5A5A5A"/>
                <w:sz w:val="17"/>
              </w:rPr>
              <w:t>D3</w:t>
            </w:r>
          </w:p>
        </w:tc>
        <w:tc>
          <w:tcPr>
            <w:tcW w:type="dxa" w:w="2041"/>
          </w:tcPr>
          <w:p>
            <w:pPr>
              <w:spacing w:after="40"/>
            </w:pPr>
            <w:r>
              <w:rPr>
                <w:b w:val="0"/>
                <w:sz w:val="18"/>
              </w:rPr>
              <w:t>How does EU AI Act Article 13 support effective human oversight?</w:t>
            </w:r>
          </w:p>
        </w:tc>
        <w:tc>
          <w:tcPr>
            <w:tcW w:type="dxa" w:w="4195"/>
          </w:tcPr>
          <w:p>
            <w:pPr>
              <w:spacing w:after="40"/>
            </w:pPr>
            <w:r>
              <w:rPr>
                <w:b w:val="0"/>
                <w:sz w:val="18"/>
              </w:rPr>
              <w:t>Art. 13 requires high-risk systems to be transparent enough for deployers to interpret outputs, so reviewers can understand them and intervene appropriately. This is transparency to deployers, which is distinct from individuals' right to explanation under Art. 86.</w:t>
            </w:r>
          </w:p>
          <w:p>
            <w:pPr>
              <w:spacing w:after="40"/>
            </w:pPr>
            <w:r>
              <w:rPr>
                <w:b w:val="0"/>
                <w:color w:val="787878"/>
                <w:sz w:val="16"/>
              </w:rPr>
              <w:t>（264 字）</w:t>
            </w:r>
          </w:p>
        </w:tc>
        <w:tc>
          <w:tcPr>
            <w:tcW w:type="dxa" w:w="1814"/>
          </w:tcPr>
          <w:p>
            <w:pPr>
              <w:spacing w:after="40"/>
            </w:pPr>
            <w:r>
              <w:rPr>
                <w:b w:val="0"/>
                <w:sz w:val="18"/>
              </w:rPr>
              <w:t>Art. 13 is deployer-facing transparency; Art. 86 is the individual's right to explanation.</w:t>
            </w:r>
          </w:p>
        </w:tc>
        <w:tc>
          <w:tcPr>
            <w:tcW w:type="dxa" w:w="2041"/>
          </w:tcPr>
          <w:p>
            <w:pPr>
              <w:spacing w:after="40"/>
            </w:pPr>
            <w:r>
              <w:rPr>
                <w:b w:val="0"/>
                <w:sz w:val="17"/>
              </w:rPr>
              <w:t>Regulation (EU) 2024/1689 (EU AI Act) Art. 13 &amp; Art. 86; NIST AI RMF 1.0 MEASURE 2.8 &amp; 2.9.</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fc-23b</w:t>
            </w:r>
          </w:p>
          <w:p>
            <w:pPr>
              <w:spacing w:after="40"/>
            </w:pPr>
            <w:r>
              <w:rPr>
                <w:b w:val="0"/>
                <w:sz w:val="17"/>
              </w:rPr>
              <w:t>Model Retraining: approval and rollout</w:t>
            </w:r>
          </w:p>
          <w:p>
            <w:pPr>
              <w:spacing w:after="40"/>
            </w:pPr>
            <w:r>
              <w:rPr>
                <w:b w:val="0"/>
                <w:color w:val="5A5A5A"/>
                <w:sz w:val="17"/>
              </w:rPr>
              <w:t>D3</w:t>
            </w:r>
          </w:p>
        </w:tc>
        <w:tc>
          <w:tcPr>
            <w:tcW w:type="dxa" w:w="2041"/>
          </w:tcPr>
          <w:p>
            <w:pPr>
              <w:spacing w:after="40"/>
            </w:pPr>
            <w:r>
              <w:rPr>
                <w:b w:val="0"/>
                <w:sz w:val="18"/>
              </w:rPr>
              <w:t>What approvals and safeguards should apply when deploying a retrained model?</w:t>
            </w:r>
          </w:p>
        </w:tc>
        <w:tc>
          <w:tcPr>
            <w:tcW w:type="dxa" w:w="4195"/>
          </w:tcPr>
          <w:p>
            <w:pPr>
              <w:spacing w:after="40"/>
            </w:pPr>
            <w:r>
              <w:rPr>
                <w:b w:val="0"/>
                <w:sz w:val="18"/>
              </w:rPr>
              <w:t>1. Tiered governance sign-off: documented approval by the model owner and, where risk tier or material change requires it, second-line oversight under delegated authority. 2. Deployment safeguards: canary or shadow release telemetry and tested rollback procedures.</w:t>
            </w:r>
          </w:p>
          <w:p>
            <w:pPr>
              <w:spacing w:after="40"/>
            </w:pPr>
            <w:r>
              <w:rPr>
                <w:b w:val="0"/>
                <w:color w:val="787878"/>
                <w:sz w:val="16"/>
              </w:rPr>
              <w:t>（264 字）</w:t>
            </w:r>
          </w:p>
        </w:tc>
        <w:tc>
          <w:tcPr>
            <w:tcW w:type="dxa" w:w="1814"/>
          </w:tcPr>
          <w:p>
            <w:pPr>
              <w:spacing w:after="40"/>
            </w:pPr>
            <w:r>
              <w:rPr>
                <w:b w:val="0"/>
                <w:sz w:val="18"/>
              </w:rPr>
              <w:t>Approve by risk tier and release with telemetry and a tested rollback.</w:t>
            </w:r>
          </w:p>
        </w:tc>
        <w:tc>
          <w:tcPr>
            <w:tcW w:type="dxa" w:w="2041"/>
          </w:tcPr>
          <w:p>
            <w:pPr>
              <w:spacing w:after="40"/>
            </w:pPr>
            <w:r>
              <w:rPr>
                <w:b w:val="0"/>
                <w:sz w:val="17"/>
              </w:rPr>
              <w:t>Regulation (EU) 2024/1689 (EU AI Act) Art. 43(4); ISO/IEC 42001:2023 &amp; COBIT BAI06 (verify exact standard clauses against licensed texts).</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fc-24b</w:t>
            </w:r>
          </w:p>
          <w:p>
            <w:pPr>
              <w:spacing w:after="40"/>
            </w:pPr>
            <w:r>
              <w:rPr>
                <w:b w:val="0"/>
                <w:sz w:val="17"/>
              </w:rPr>
              <w:t>Circuit Breakers: decision rights</w:t>
            </w:r>
          </w:p>
          <w:p>
            <w:pPr>
              <w:spacing w:after="40"/>
            </w:pPr>
            <w:r>
              <w:rPr>
                <w:b w:val="0"/>
                <w:color w:val="5A5A5A"/>
                <w:sz w:val="17"/>
              </w:rPr>
              <w:t>D3</w:t>
            </w:r>
          </w:p>
        </w:tc>
        <w:tc>
          <w:tcPr>
            <w:tcW w:type="dxa" w:w="2041"/>
          </w:tcPr>
          <w:p>
            <w:pPr>
              <w:spacing w:after="40"/>
            </w:pPr>
            <w:r>
              <w:rPr>
                <w:b w:val="0"/>
                <w:sz w:val="18"/>
              </w:rPr>
              <w:t>Who should hold the decision rights to trigger an AI kill switch?</w:t>
            </w:r>
          </w:p>
        </w:tc>
        <w:tc>
          <w:tcPr>
            <w:tcW w:type="dxa" w:w="4195"/>
          </w:tcPr>
          <w:p>
            <w:pPr>
              <w:spacing w:after="40"/>
            </w:pPr>
            <w:r>
              <w:rPr>
                <w:b w:val="0"/>
                <w:sz w:val="18"/>
              </w:rPr>
              <w:t>Decision rights must be predefined in the AI Incident Playbook, giving designated AI Governance or Incident Commanders explicit authority to disable production models immediately.</w:t>
            </w:r>
          </w:p>
          <w:p>
            <w:pPr>
              <w:spacing w:after="40"/>
            </w:pPr>
            <w:r>
              <w:rPr>
                <w:b w:val="0"/>
                <w:color w:val="787878"/>
                <w:sz w:val="16"/>
              </w:rPr>
              <w:t>（179 字）</w:t>
            </w:r>
          </w:p>
        </w:tc>
        <w:tc>
          <w:tcPr>
            <w:tcW w:type="dxa" w:w="1814"/>
          </w:tcPr>
          <w:p>
            <w:pPr>
              <w:spacing w:after="40"/>
            </w:pPr>
            <w:r>
              <w:rPr>
                <w:b w:val="0"/>
                <w:sz w:val="18"/>
              </w:rPr>
              <w:t>Pre-authorize who can pull the plug; authority must not be ambiguous during harm.</w:t>
            </w:r>
          </w:p>
        </w:tc>
        <w:tc>
          <w:tcPr>
            <w:tcW w:type="dxa" w:w="2041"/>
          </w:tcPr>
          <w:p>
            <w:pPr>
              <w:spacing w:after="40"/>
            </w:pPr>
            <w:r>
              <w:rPr>
                <w:b w:val="0"/>
                <w:sz w:val="17"/>
              </w:rPr>
              <w:t>NIST AI RMF MANAGE 2.4</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fc-25b</w:t>
            </w:r>
          </w:p>
          <w:p>
            <w:pPr>
              <w:spacing w:after="40"/>
            </w:pPr>
            <w:r>
              <w:rPr>
                <w:b w:val="0"/>
                <w:sz w:val="17"/>
              </w:rPr>
              <w:t>Human-on-the-Loop (HOTL)</w:t>
            </w:r>
          </w:p>
          <w:p>
            <w:pPr>
              <w:spacing w:after="40"/>
            </w:pPr>
            <w:r>
              <w:rPr>
                <w:b w:val="0"/>
                <w:color w:val="5A5A5A"/>
                <w:sz w:val="17"/>
              </w:rPr>
              <w:t>D3</w:t>
            </w:r>
          </w:p>
        </w:tc>
        <w:tc>
          <w:tcPr>
            <w:tcW w:type="dxa" w:w="2041"/>
          </w:tcPr>
          <w:p>
            <w:pPr>
              <w:spacing w:after="40"/>
            </w:pPr>
            <w:r>
              <w:rPr>
                <w:b w:val="0"/>
                <w:sz w:val="18"/>
              </w:rPr>
              <w:t>What is Human-on-the-Loop (HOTL) oversight?</w:t>
            </w:r>
          </w:p>
        </w:tc>
        <w:tc>
          <w:tcPr>
            <w:tcW w:type="dxa" w:w="4195"/>
          </w:tcPr>
          <w:p>
            <w:pPr>
              <w:spacing w:after="40"/>
            </w:pPr>
            <w:r>
              <w:rPr>
                <w:b w:val="0"/>
                <w:sz w:val="18"/>
              </w:rPr>
              <w:t>The system executes autonomously while humans monitor operation and can intervene, override or abort when anomalies occur. HOTL is an operational pattern, not a statutory category.</w:t>
            </w:r>
          </w:p>
          <w:p>
            <w:pPr>
              <w:spacing w:after="40"/>
            </w:pPr>
            <w:r>
              <w:rPr>
                <w:b w:val="0"/>
                <w:color w:val="787878"/>
                <w:sz w:val="16"/>
              </w:rPr>
              <w:t>（180 字）</w:t>
            </w:r>
          </w:p>
        </w:tc>
        <w:tc>
          <w:tcPr>
            <w:tcW w:type="dxa" w:w="1814"/>
          </w:tcPr>
          <w:p>
            <w:pPr>
              <w:spacing w:after="40"/>
            </w:pPr>
            <w:r>
              <w:rPr>
                <w:b w:val="0"/>
                <w:sz w:val="18"/>
              </w:rPr>
              <w:t>HOTL means the system runs and humans monitor and can intervene.</w:t>
            </w:r>
          </w:p>
        </w:tc>
        <w:tc>
          <w:tcPr>
            <w:tcW w:type="dxa" w:w="2041"/>
          </w:tcPr>
          <w:p>
            <w:pPr>
              <w:spacing w:after="40"/>
            </w:pPr>
            <w:r>
              <w:rPr>
                <w:b w:val="0"/>
                <w:sz w:val="17"/>
              </w:rPr>
              <w:t>Regulation (EU) 2024/1689 (EU AI Act) Art. 14; NIST AI RMF 1.0 GOVERN 2.1.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fc-25c</w:t>
            </w:r>
          </w:p>
          <w:p>
            <w:pPr>
              <w:spacing w:after="40"/>
            </w:pPr>
            <w:r>
              <w:rPr>
                <w:b w:val="0"/>
                <w:sz w:val="17"/>
              </w:rPr>
              <w:t>Human-in-Command (HIC)</w:t>
            </w:r>
          </w:p>
          <w:p>
            <w:pPr>
              <w:spacing w:after="40"/>
            </w:pPr>
            <w:r>
              <w:rPr>
                <w:b w:val="0"/>
                <w:color w:val="5A5A5A"/>
                <w:sz w:val="17"/>
              </w:rPr>
              <w:t>D3</w:t>
            </w:r>
          </w:p>
        </w:tc>
        <w:tc>
          <w:tcPr>
            <w:tcW w:type="dxa" w:w="2041"/>
          </w:tcPr>
          <w:p>
            <w:pPr>
              <w:spacing w:after="40"/>
            </w:pPr>
            <w:r>
              <w:rPr>
                <w:b w:val="0"/>
                <w:sz w:val="18"/>
              </w:rPr>
              <w:t>What is Human-in-Command (HIC) oversight?</w:t>
            </w:r>
          </w:p>
        </w:tc>
        <w:tc>
          <w:tcPr>
            <w:tcW w:type="dxa" w:w="4195"/>
          </w:tcPr>
          <w:p>
            <w:pPr>
              <w:spacing w:after="40"/>
            </w:pPr>
            <w:r>
              <w:rPr>
                <w:b w:val="0"/>
                <w:sz w:val="18"/>
              </w:rPr>
              <w:t>Humans govern the overarching deployment boundaries, context and lifecycle decisions, including whether and when the AI system may operate. Under EU AI Act Art. 14, oversight must be proportionate to risk and give competent reviewers the authority, tools and anti-automation-bias safeguards to intervene.</w:t>
            </w:r>
          </w:p>
          <w:p>
            <w:pPr>
              <w:spacing w:after="40"/>
            </w:pPr>
            <w:r>
              <w:rPr>
                <w:b w:val="0"/>
                <w:color w:val="787878"/>
                <w:sz w:val="16"/>
              </w:rPr>
              <w:t>（304 字）</w:t>
            </w:r>
          </w:p>
        </w:tc>
        <w:tc>
          <w:tcPr>
            <w:tcW w:type="dxa" w:w="1814"/>
          </w:tcPr>
          <w:p>
            <w:pPr>
              <w:spacing w:after="40"/>
            </w:pPr>
            <w:r>
              <w:rPr>
                <w:b w:val="0"/>
                <w:sz w:val="18"/>
              </w:rPr>
              <w:t>HIC governs whether and when the system operates; a label alone does not ensure compliance.</w:t>
            </w:r>
          </w:p>
        </w:tc>
        <w:tc>
          <w:tcPr>
            <w:tcW w:type="dxa" w:w="2041"/>
          </w:tcPr>
          <w:p>
            <w:pPr>
              <w:spacing w:after="40"/>
            </w:pPr>
            <w:r>
              <w:rPr>
                <w:b w:val="0"/>
                <w:sz w:val="17"/>
              </w:rPr>
              <w:t>Regulation (EU) 2024/1689 (EU AI Act) Art. 14; NIST AI RMF 1.0 GOVERN 2.1.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fc-26b</w:t>
            </w:r>
          </w:p>
          <w:p>
            <w:pPr>
              <w:spacing w:after="40"/>
            </w:pPr>
            <w:r>
              <w:rPr>
                <w:b w:val="0"/>
                <w:sz w:val="17"/>
              </w:rPr>
              <w:t>Automation Bias: legal mitigation</w:t>
            </w:r>
          </w:p>
          <w:p>
            <w:pPr>
              <w:spacing w:after="40"/>
            </w:pPr>
            <w:r>
              <w:rPr>
                <w:b w:val="0"/>
                <w:color w:val="5A5A5A"/>
                <w:sz w:val="17"/>
              </w:rPr>
              <w:t>D3</w:t>
            </w:r>
          </w:p>
        </w:tc>
        <w:tc>
          <w:tcPr>
            <w:tcW w:type="dxa" w:w="2041"/>
          </w:tcPr>
          <w:p>
            <w:pPr>
              <w:spacing w:after="40"/>
            </w:pPr>
            <w:r>
              <w:rPr>
                <w:b w:val="0"/>
                <w:sz w:val="18"/>
              </w:rPr>
              <w:t>What do EU AI Act Articles 14 and 26(2) require to counter automation bias?</w:t>
            </w:r>
          </w:p>
        </w:tc>
        <w:tc>
          <w:tcPr>
            <w:tcW w:type="dxa" w:w="4195"/>
          </w:tcPr>
          <w:p>
            <w:pPr>
              <w:spacing w:after="40"/>
            </w:pPr>
            <w:r>
              <w:rPr>
                <w:b w:val="0"/>
                <w:sz w:val="18"/>
              </w:rPr>
              <w:t>For high-risk systems, Art. 14 requires risk-proportionate oversight measures so reviewers can understand capabilities and limits, stay aware of automation bias (Art. 14(4)(b)), interpret outputs, override them and halt the system. Under Art. 26(2), deployers assign oversight to people with competence, training, authority and support.</w:t>
            </w:r>
          </w:p>
          <w:p>
            <w:pPr>
              <w:spacing w:after="40"/>
            </w:pPr>
            <w:r>
              <w:rPr>
                <w:b w:val="0"/>
                <w:color w:val="787878"/>
                <w:sz w:val="16"/>
              </w:rPr>
              <w:t>（336 字）</w:t>
            </w:r>
          </w:p>
        </w:tc>
        <w:tc>
          <w:tcPr>
            <w:tcW w:type="dxa" w:w="1814"/>
          </w:tcPr>
          <w:p>
            <w:pPr>
              <w:spacing w:after="40"/>
            </w:pPr>
            <w:r>
              <w:rPr>
                <w:b w:val="0"/>
                <w:sz w:val="18"/>
              </w:rPr>
              <w:t>Reviewers need competence, authority, and the ability to override and halt (Arts. 14, 26(2)).</w:t>
            </w:r>
          </w:p>
        </w:tc>
        <w:tc>
          <w:tcPr>
            <w:tcW w:type="dxa" w:w="2041"/>
          </w:tcPr>
          <w:p>
            <w:pPr>
              <w:spacing w:after="40"/>
            </w:pPr>
            <w:r>
              <w:rPr>
                <w:b w:val="0"/>
                <w:sz w:val="17"/>
              </w:rPr>
              <w:t>Regulation (EU) 2024/1689 (EU AI Act) Art. 14 &amp; Art. 26(2).</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fc-29b</w:t>
            </w:r>
          </w:p>
          <w:p>
            <w:pPr>
              <w:spacing w:after="40"/>
            </w:pPr>
            <w:r>
              <w:rPr>
                <w:b w:val="0"/>
                <w:sz w:val="17"/>
              </w:rPr>
              <w:t>Hallucination Mitigation: governance controls</w:t>
            </w:r>
          </w:p>
          <w:p>
            <w:pPr>
              <w:spacing w:after="40"/>
            </w:pPr>
            <w:r>
              <w:rPr>
                <w:b w:val="0"/>
                <w:color w:val="5A5A5A"/>
                <w:sz w:val="17"/>
              </w:rPr>
              <w:t>D3</w:t>
            </w:r>
          </w:p>
        </w:tc>
        <w:tc>
          <w:tcPr>
            <w:tcW w:type="dxa" w:w="2041"/>
          </w:tcPr>
          <w:p>
            <w:pPr>
              <w:spacing w:after="40"/>
            </w:pPr>
            <w:r>
              <w:rPr>
                <w:b w:val="0"/>
                <w:sz w:val="18"/>
              </w:rPr>
              <w:t>Which governance controls reduce hallucination risk in high-impact use?</w:t>
            </w:r>
          </w:p>
        </w:tc>
        <w:tc>
          <w:tcPr>
            <w:tcW w:type="dxa" w:w="4195"/>
          </w:tcPr>
          <w:p>
            <w:pPr>
              <w:spacing w:after="40"/>
            </w:pPr>
            <w:r>
              <w:rPr>
                <w:b w:val="0"/>
                <w:sz w:val="18"/>
              </w:rPr>
              <w:t>1. Automated input and output guardrails and factual-consistency evaluators. 2. Task-specific benchmark evaluation, user-facing uncertainty disclosures and risk-proportionate human review for high-impact outputs. These controls reduce confabulation but never eliminate it.</w:t>
            </w:r>
          </w:p>
          <w:p>
            <w:pPr>
              <w:spacing w:after="40"/>
            </w:pPr>
            <w:r>
              <w:rPr>
                <w:b w:val="0"/>
                <w:color w:val="787878"/>
                <w:sz w:val="16"/>
              </w:rPr>
              <w:t>（272 字）</w:t>
            </w:r>
          </w:p>
        </w:tc>
        <w:tc>
          <w:tcPr>
            <w:tcW w:type="dxa" w:w="1814"/>
          </w:tcPr>
          <w:p>
            <w:pPr>
              <w:spacing w:after="40"/>
            </w:pPr>
            <w:r>
              <w:rPr>
                <w:b w:val="0"/>
                <w:sz w:val="18"/>
              </w:rPr>
              <w:t>Layer guardrails, evaluation and human review; no control removes hallucination entirely.</w:t>
            </w:r>
          </w:p>
        </w:tc>
        <w:tc>
          <w:tcPr>
            <w:tcW w:type="dxa" w:w="2041"/>
          </w:tcPr>
          <w:p>
            <w:pPr>
              <w:spacing w:after="40"/>
            </w:pPr>
            <w:r>
              <w:rPr>
                <w:b w:val="0"/>
                <w:sz w:val="17"/>
              </w:rPr>
              <w:t>NIST AI 600-1 (Generative AI Profile, Confabulation); NIST AI RMF 1.0 MEASURE 2.5 &amp; 2.6.</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fc-30b</w:t>
            </w:r>
          </w:p>
          <w:p>
            <w:pPr>
              <w:spacing w:after="40"/>
            </w:pPr>
            <w:r>
              <w:rPr>
                <w:b w:val="0"/>
                <w:sz w:val="17"/>
              </w:rPr>
              <w:t>Deployer monitoring (Art. 26(5))</w:t>
            </w:r>
          </w:p>
          <w:p>
            <w:pPr>
              <w:spacing w:after="40"/>
            </w:pPr>
            <w:r>
              <w:rPr>
                <w:b w:val="0"/>
                <w:color w:val="5A5A5A"/>
                <w:sz w:val="17"/>
              </w:rPr>
              <w:t>D3</w:t>
            </w:r>
          </w:p>
        </w:tc>
        <w:tc>
          <w:tcPr>
            <w:tcW w:type="dxa" w:w="2041"/>
          </w:tcPr>
          <w:p>
            <w:pPr>
              <w:spacing w:after="40"/>
            </w:pPr>
            <w:r>
              <w:rPr>
                <w:b w:val="0"/>
                <w:sz w:val="18"/>
              </w:rPr>
              <w:t>What must deployers of high-risk AI systems do about monitoring under Article 26(5)?</w:t>
            </w:r>
          </w:p>
        </w:tc>
        <w:tc>
          <w:tcPr>
            <w:tcW w:type="dxa" w:w="4195"/>
          </w:tcPr>
          <w:p>
            <w:pPr>
              <w:spacing w:after="40"/>
            </w:pPr>
            <w:r>
              <w:rPr>
                <w:b w:val="0"/>
                <w:sz w:val="18"/>
              </w:rPr>
              <w:t>Deployers must monitor the system's operation according to the instructions for use, and inform providers and authorities of serious incidents or risks.</w:t>
            </w:r>
          </w:p>
          <w:p>
            <w:pPr>
              <w:spacing w:after="40"/>
            </w:pPr>
            <w:r>
              <w:rPr>
                <w:b w:val="0"/>
                <w:color w:val="787878"/>
                <w:sz w:val="16"/>
              </w:rPr>
              <w:t>（152 字）</w:t>
            </w:r>
          </w:p>
        </w:tc>
        <w:tc>
          <w:tcPr>
            <w:tcW w:type="dxa" w:w="1814"/>
          </w:tcPr>
          <w:p>
            <w:pPr>
              <w:spacing w:after="40"/>
            </w:pPr>
            <w:r>
              <w:rPr>
                <w:b w:val="0"/>
                <w:sz w:val="18"/>
              </w:rPr>
              <w:t>Deployers monitor operation and report serious incidents (Art. 26(5)).</w:t>
            </w:r>
          </w:p>
        </w:tc>
        <w:tc>
          <w:tcPr>
            <w:tcW w:type="dxa" w:w="2041"/>
          </w:tcPr>
          <w:p>
            <w:pPr>
              <w:spacing w:after="40"/>
            </w:pPr>
            <w:r>
              <w:rPr>
                <w:b w:val="0"/>
                <w:sz w:val="17"/>
              </w:rPr>
              <w:t>Regulation (EU) 2024/1689 (EU AI Act) Art. 26(5).</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fc-30c</w:t>
            </w:r>
          </w:p>
          <w:p>
            <w:pPr>
              <w:spacing w:after="40"/>
            </w:pPr>
            <w:r>
              <w:rPr>
                <w:b w:val="0"/>
                <w:sz w:val="17"/>
              </w:rPr>
              <w:t>ISO/IEC 42001 monitoring vs. EU rules</w:t>
            </w:r>
          </w:p>
          <w:p>
            <w:pPr>
              <w:spacing w:after="40"/>
            </w:pPr>
            <w:r>
              <w:rPr>
                <w:b w:val="0"/>
                <w:color w:val="5A5A5A"/>
                <w:sz w:val="17"/>
              </w:rPr>
              <w:t>D3</w:t>
            </w:r>
          </w:p>
        </w:tc>
        <w:tc>
          <w:tcPr>
            <w:tcW w:type="dxa" w:w="2041"/>
          </w:tcPr>
          <w:p>
            <w:pPr>
              <w:spacing w:after="40"/>
            </w:pPr>
            <w:r>
              <w:rPr>
                <w:b w:val="0"/>
                <w:sz w:val="18"/>
              </w:rPr>
              <w:t>How does ISO/IEC 42001 monitoring differ from EU AI Act post-market monitoring?</w:t>
            </w:r>
          </w:p>
        </w:tc>
        <w:tc>
          <w:tcPr>
            <w:tcW w:type="dxa" w:w="4195"/>
          </w:tcPr>
          <w:p>
            <w:pPr>
              <w:spacing w:after="40"/>
            </w:pPr>
            <w:r>
              <w:rPr>
                <w:b w:val="0"/>
                <w:sz w:val="18"/>
              </w:rPr>
              <w:t>ISO/IEC 42001 sets internal AI management system (AIMS) performance evaluation and monitoring processes. These complement, but are legally distinct from, the statutory post-market surveillance rules of the EU AI Act.</w:t>
            </w:r>
          </w:p>
          <w:p>
            <w:pPr>
              <w:spacing w:after="40"/>
            </w:pPr>
            <w:r>
              <w:rPr>
                <w:b w:val="0"/>
                <w:color w:val="787878"/>
                <w:sz w:val="16"/>
              </w:rPr>
              <w:t>（216 字）</w:t>
            </w:r>
          </w:p>
        </w:tc>
        <w:tc>
          <w:tcPr>
            <w:tcW w:type="dxa" w:w="1814"/>
          </w:tcPr>
          <w:p>
            <w:pPr>
              <w:spacing w:after="40"/>
            </w:pPr>
            <w:r>
              <w:rPr>
                <w:b w:val="0"/>
                <w:sz w:val="18"/>
              </w:rPr>
              <w:t>42001 monitoring is voluntary internal assurance; Art. 72 is a legal duty.</w:t>
            </w:r>
          </w:p>
        </w:tc>
        <w:tc>
          <w:tcPr>
            <w:tcW w:type="dxa" w:w="2041"/>
          </w:tcPr>
          <w:p>
            <w:pPr>
              <w:spacing w:after="40"/>
            </w:pPr>
            <w:r>
              <w:rPr>
                <w:b w:val="0"/>
                <w:sz w:val="17"/>
              </w:rPr>
              <w:t>ISO/IEC 42001:2023 (verify Cl. 9.1 wording against licensed standard); Regulation (EU) 2024/1689 (EU AI Act) Art. 72.</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fc-31b</w:t>
            </w:r>
          </w:p>
          <w:p>
            <w:pPr>
              <w:spacing w:after="40"/>
            </w:pPr>
            <w:r>
              <w:rPr>
                <w:b w:val="0"/>
                <w:sz w:val="17"/>
              </w:rPr>
              <w:t>EU AI Act: high-risk systems</w:t>
            </w:r>
          </w:p>
          <w:p>
            <w:pPr>
              <w:spacing w:after="40"/>
            </w:pPr>
            <w:r>
              <w:rPr>
                <w:b w:val="0"/>
                <w:color w:val="5A5A5A"/>
                <w:sz w:val="17"/>
              </w:rPr>
              <w:t>D1</w:t>
            </w:r>
          </w:p>
        </w:tc>
        <w:tc>
          <w:tcPr>
            <w:tcW w:type="dxa" w:w="2041"/>
          </w:tcPr>
          <w:p>
            <w:pPr>
              <w:spacing w:after="40"/>
            </w:pPr>
            <w:r>
              <w:rPr>
                <w:b w:val="0"/>
                <w:sz w:val="18"/>
              </w:rPr>
              <w:t>What obligations apply to high-risk AI systems under the EU AI Act?</w:t>
            </w:r>
          </w:p>
        </w:tc>
        <w:tc>
          <w:tcPr>
            <w:tcW w:type="dxa" w:w="4195"/>
          </w:tcPr>
          <w:p>
            <w:pPr>
              <w:spacing w:after="40"/>
            </w:pPr>
            <w:r>
              <w:rPr>
                <w:b w:val="0"/>
                <w:sz w:val="18"/>
              </w:rPr>
              <w:t>High-risk systems (Art. 6, Annexes I and III) carry role-specific requirements: providers need risk management, conformity assessment and CE marking. A pre-use Fundamental Rights Impact Assessment (Art. 27) applies only to public-law bodies, private entities providing public services, and deployers of Annex III 5(b)/(c) credit or insurance systems.</w:t>
            </w:r>
          </w:p>
          <w:p>
            <w:pPr>
              <w:spacing w:after="40"/>
            </w:pPr>
            <w:r>
              <w:rPr>
                <w:b w:val="0"/>
                <w:color w:val="787878"/>
                <w:sz w:val="16"/>
              </w:rPr>
              <w:t>（350 字）</w:t>
            </w:r>
          </w:p>
        </w:tc>
        <w:tc>
          <w:tcPr>
            <w:tcW w:type="dxa" w:w="1814"/>
          </w:tcPr>
          <w:p>
            <w:pPr>
              <w:spacing w:after="40"/>
            </w:pPr>
            <w:r>
              <w:rPr>
                <w:b w:val="0"/>
                <w:sz w:val="18"/>
              </w:rPr>
              <w:t>High-risk duties are role-specific; the FRIA applies only to specified deployers.</w:t>
            </w:r>
          </w:p>
        </w:tc>
        <w:tc>
          <w:tcPr>
            <w:tcW w:type="dxa" w:w="2041"/>
          </w:tcPr>
          <w:p>
            <w:pPr>
              <w:spacing w:after="40"/>
            </w:pPr>
            <w:r>
              <w:rPr>
                <w:b w:val="0"/>
                <w:sz w:val="17"/>
              </w:rPr>
              <w:t>Regulation (EU) 2024/1689 (EU AI Act) Arts. 6 &amp; 27.</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fc-31c</w:t>
            </w:r>
          </w:p>
          <w:p>
            <w:pPr>
              <w:spacing w:after="40"/>
            </w:pPr>
            <w:r>
              <w:rPr>
                <w:b w:val="0"/>
                <w:sz w:val="17"/>
              </w:rPr>
              <w:t>EU AI Act: transparency duties (Art. 50)</w:t>
            </w:r>
          </w:p>
          <w:p>
            <w:pPr>
              <w:spacing w:after="40"/>
            </w:pPr>
            <w:r>
              <w:rPr>
                <w:b w:val="0"/>
                <w:color w:val="5A5A5A"/>
                <w:sz w:val="17"/>
              </w:rPr>
              <w:t>D1</w:t>
            </w:r>
          </w:p>
        </w:tc>
        <w:tc>
          <w:tcPr>
            <w:tcW w:type="dxa" w:w="2041"/>
          </w:tcPr>
          <w:p>
            <w:pPr>
              <w:spacing w:after="40"/>
            </w:pPr>
            <w:r>
              <w:rPr>
                <w:b w:val="0"/>
                <w:sz w:val="18"/>
              </w:rPr>
              <w:t>What transparency duties does EU AI Act Article 50 create?</w:t>
            </w:r>
          </w:p>
        </w:tc>
        <w:tc>
          <w:tcPr>
            <w:tcW w:type="dxa" w:w="4195"/>
          </w:tcPr>
          <w:p>
            <w:pPr>
              <w:spacing w:after="40"/>
            </w:pPr>
            <w:r>
              <w:rPr>
                <w:b w:val="0"/>
                <w:sz w:val="18"/>
              </w:rPr>
              <w:t>Providers must mark synthetic audio, image, video or text in a machine-readable, detectable format, and inform people of direct AI interactions unless an exception applies. Deployers have specified disclosure duties for emotion recognition, biometric categorization and deepfakes, subject to statutory exceptions.</w:t>
            </w:r>
          </w:p>
          <w:p>
            <w:pPr>
              <w:spacing w:after="40"/>
            </w:pPr>
            <w:r>
              <w:rPr>
                <w:b w:val="0"/>
                <w:color w:val="787878"/>
                <w:sz w:val="16"/>
              </w:rPr>
              <w:t>（313 字）</w:t>
            </w:r>
          </w:p>
        </w:tc>
        <w:tc>
          <w:tcPr>
            <w:tcW w:type="dxa" w:w="1814"/>
          </w:tcPr>
          <w:p>
            <w:pPr>
              <w:spacing w:after="40"/>
            </w:pPr>
            <w:r>
              <w:rPr>
                <w:b w:val="0"/>
                <w:sz w:val="18"/>
              </w:rPr>
              <w:t>Art. 50 duties differ for providers and deployers.</w:t>
            </w:r>
          </w:p>
        </w:tc>
        <w:tc>
          <w:tcPr>
            <w:tcW w:type="dxa" w:w="2041"/>
          </w:tcPr>
          <w:p>
            <w:pPr>
              <w:spacing w:after="40"/>
            </w:pPr>
            <w:r>
              <w:rPr>
                <w:b w:val="0"/>
                <w:sz w:val="17"/>
              </w:rPr>
              <w:t>Regulation (EU) 2024/1689 (EU AI Act) Art. 50.</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fc-31d</w:t>
            </w:r>
          </w:p>
          <w:p>
            <w:pPr>
              <w:spacing w:after="40"/>
            </w:pPr>
            <w:r>
              <w:rPr>
                <w:b w:val="0"/>
                <w:sz w:val="17"/>
              </w:rPr>
              <w:t>EU AI Act: minimal-risk systems</w:t>
            </w:r>
          </w:p>
          <w:p>
            <w:pPr>
              <w:spacing w:after="40"/>
            </w:pPr>
            <w:r>
              <w:rPr>
                <w:b w:val="0"/>
                <w:color w:val="5A5A5A"/>
                <w:sz w:val="17"/>
              </w:rPr>
              <w:t>D1</w:t>
            </w:r>
          </w:p>
        </w:tc>
        <w:tc>
          <w:tcPr>
            <w:tcW w:type="dxa" w:w="2041"/>
          </w:tcPr>
          <w:p>
            <w:pPr>
              <w:spacing w:after="40"/>
            </w:pPr>
            <w:r>
              <w:rPr>
                <w:b w:val="0"/>
                <w:sz w:val="18"/>
              </w:rPr>
              <w:t>What applies to minimal-risk AI systems under the EU AI Act?</w:t>
            </w:r>
          </w:p>
        </w:tc>
        <w:tc>
          <w:tcPr>
            <w:tcW w:type="dxa" w:w="4195"/>
          </w:tcPr>
          <w:p>
            <w:pPr>
              <w:spacing w:after="40"/>
            </w:pPr>
            <w:r>
              <w:rPr>
                <w:b w:val="0"/>
                <w:sz w:val="18"/>
              </w:rPr>
              <w:t>Other AI systems are free from the high-risk and Art. 50 product requirements, but organizations still face the Art. 4 AI literacy duty and other applicable laws such as the GDPR. Application dates are phased under Article 113.</w:t>
            </w:r>
          </w:p>
          <w:p>
            <w:pPr>
              <w:spacing w:after="40"/>
            </w:pPr>
            <w:r>
              <w:rPr>
                <w:b w:val="0"/>
                <w:color w:val="787878"/>
                <w:sz w:val="16"/>
              </w:rPr>
              <w:t>（227 字）</w:t>
            </w:r>
          </w:p>
        </w:tc>
        <w:tc>
          <w:tcPr>
            <w:tcW w:type="dxa" w:w="1814"/>
          </w:tcPr>
          <w:p>
            <w:pPr>
              <w:spacing w:after="40"/>
            </w:pPr>
            <w:r>
              <w:rPr>
                <w:b w:val="0"/>
                <w:sz w:val="18"/>
              </w:rPr>
              <w:t>Minimal risk is not no obligation: Art. 4 literacy and other laws still apply.</w:t>
            </w:r>
          </w:p>
        </w:tc>
        <w:tc>
          <w:tcPr>
            <w:tcW w:type="dxa" w:w="2041"/>
          </w:tcPr>
          <w:p>
            <w:pPr>
              <w:spacing w:after="40"/>
            </w:pPr>
            <w:r>
              <w:rPr>
                <w:b w:val="0"/>
                <w:sz w:val="17"/>
              </w:rPr>
              <w:t>Regulation (EU) 2024/1689 (EU AI Act) Arts. 4 &amp; 113.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fc-32b</w:t>
            </w:r>
          </w:p>
          <w:p>
            <w:pPr>
              <w:spacing w:after="40"/>
            </w:pPr>
            <w:r>
              <w:rPr>
                <w:b w:val="0"/>
                <w:sz w:val="17"/>
              </w:rPr>
              <w:t>Statement of Applicability (SoA)</w:t>
            </w:r>
          </w:p>
          <w:p>
            <w:pPr>
              <w:spacing w:after="40"/>
            </w:pPr>
            <w:r>
              <w:rPr>
                <w:b w:val="0"/>
                <w:color w:val="5A5A5A"/>
                <w:sz w:val="17"/>
              </w:rPr>
              <w:t>D1</w:t>
            </w:r>
          </w:p>
        </w:tc>
        <w:tc>
          <w:tcPr>
            <w:tcW w:type="dxa" w:w="2041"/>
          </w:tcPr>
          <w:p>
            <w:pPr>
              <w:spacing w:after="40"/>
            </w:pPr>
            <w:r>
              <w:rPr>
                <w:b w:val="0"/>
                <w:sz w:val="18"/>
              </w:rPr>
              <w:t>What is the function of the Statement of Applicability (SoA) in ISO/IEC 42001?</w:t>
            </w:r>
          </w:p>
        </w:tc>
        <w:tc>
          <w:tcPr>
            <w:tcW w:type="dxa" w:w="4195"/>
          </w:tcPr>
          <w:p>
            <w:pPr>
              <w:spacing w:after="40"/>
            </w:pPr>
            <w:r>
              <w:rPr>
                <w:b w:val="0"/>
                <w:sz w:val="18"/>
              </w:rPr>
              <w:t>The SoA documents which Annex A controls the organization has selected or excluded, with justifications tied to its AI risk assessment.</w:t>
            </w:r>
          </w:p>
          <w:p>
            <w:pPr>
              <w:spacing w:after="40"/>
            </w:pPr>
            <w:r>
              <w:rPr>
                <w:b w:val="0"/>
                <w:color w:val="787878"/>
                <w:sz w:val="16"/>
              </w:rPr>
              <w:t>（135 字）</w:t>
            </w:r>
          </w:p>
        </w:tc>
        <w:tc>
          <w:tcPr>
            <w:tcW w:type="dxa" w:w="1814"/>
          </w:tcPr>
          <w:p>
            <w:pPr>
              <w:spacing w:after="40"/>
            </w:pPr>
            <w:r>
              <w:rPr>
                <w:b w:val="0"/>
                <w:sz w:val="18"/>
              </w:rPr>
              <w:t>The SoA links risk assessment to the choice of Annex A controls.</w:t>
            </w:r>
          </w:p>
        </w:tc>
        <w:tc>
          <w:tcPr>
            <w:tcW w:type="dxa" w:w="2041"/>
          </w:tcPr>
          <w:p>
            <w:pPr>
              <w:spacing w:after="40"/>
            </w:pPr>
            <w:r>
              <w:rPr>
                <w:b w:val="0"/>
                <w:sz w:val="17"/>
              </w:rPr>
              <w:t>ISO/IEC 42001:2023 Cl. 6.1.3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fc-33b</w:t>
            </w:r>
          </w:p>
          <w:p>
            <w:pPr>
              <w:spacing w:after="40"/>
            </w:pPr>
            <w:r>
              <w:rPr>
                <w:b w:val="0"/>
                <w:sz w:val="17"/>
              </w:rPr>
              <w:t>NIST AI RMF: how the functions interact</w:t>
            </w:r>
          </w:p>
          <w:p>
            <w:pPr>
              <w:spacing w:after="40"/>
            </w:pPr>
            <w:r>
              <w:rPr>
                <w:b w:val="0"/>
                <w:color w:val="5A5A5A"/>
                <w:sz w:val="17"/>
              </w:rPr>
              <w:t>D1</w:t>
            </w:r>
          </w:p>
        </w:tc>
        <w:tc>
          <w:tcPr>
            <w:tcW w:type="dxa" w:w="2041"/>
          </w:tcPr>
          <w:p>
            <w:pPr>
              <w:spacing w:after="40"/>
            </w:pPr>
            <w:r>
              <w:rPr>
                <w:b w:val="0"/>
                <w:sz w:val="18"/>
              </w:rPr>
              <w:t>How do the NIST AI RMF 1.0 functions interact?</w:t>
            </w:r>
          </w:p>
        </w:tc>
        <w:tc>
          <w:tcPr>
            <w:tcW w:type="dxa" w:w="4195"/>
          </w:tcPr>
          <w:p>
            <w:pPr>
              <w:spacing w:after="40"/>
            </w:pPr>
            <w:r>
              <w:rPr>
                <w:b w:val="0"/>
                <w:sz w:val="18"/>
              </w:rPr>
              <w:t>The functions are iterative and apply continuously across the AI lifecycle. GOVERN is cross-cutting and infused throughout, supplying the culture, accountability and policies on which MAP, MEASURE and MANAGE rely.</w:t>
            </w:r>
          </w:p>
          <w:p>
            <w:pPr>
              <w:spacing w:after="40"/>
            </w:pPr>
            <w:r>
              <w:rPr>
                <w:b w:val="0"/>
                <w:color w:val="787878"/>
                <w:sz w:val="16"/>
              </w:rPr>
              <w:t>（213 字）</w:t>
            </w:r>
          </w:p>
        </w:tc>
        <w:tc>
          <w:tcPr>
            <w:tcW w:type="dxa" w:w="1814"/>
          </w:tcPr>
          <w:p>
            <w:pPr>
              <w:spacing w:after="40"/>
            </w:pPr>
            <w:r>
              <w:rPr>
                <w:b w:val="0"/>
                <w:sz w:val="18"/>
              </w:rPr>
              <w:t>GOVERN is cross-cutting; MAP, MEASURE and MANAGE are applied iteratively.</w:t>
            </w:r>
          </w:p>
        </w:tc>
        <w:tc>
          <w:tcPr>
            <w:tcW w:type="dxa" w:w="2041"/>
          </w:tcPr>
          <w:p>
            <w:pPr>
              <w:spacing w:after="40"/>
            </w:pPr>
            <w:r>
              <w:rPr>
                <w:b w:val="0"/>
                <w:sz w:val="17"/>
              </w:rPr>
              <w:t>NIST AI 100-1 (AI RMF 1.0), Section 5.</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fc-34b</w:t>
            </w:r>
          </w:p>
          <w:p>
            <w:pPr>
              <w:spacing w:after="40"/>
            </w:pPr>
            <w:r>
              <w:rPr>
                <w:b w:val="0"/>
                <w:sz w:val="17"/>
              </w:rPr>
              <w:t>GPAI: systemic-risk obligations (Arts. 51 &amp; 55)</w:t>
            </w:r>
          </w:p>
          <w:p>
            <w:pPr>
              <w:spacing w:after="40"/>
            </w:pPr>
            <w:r>
              <w:rPr>
                <w:b w:val="0"/>
                <w:color w:val="5A5A5A"/>
                <w:sz w:val="17"/>
              </w:rPr>
              <w:t>D1</w:t>
            </w:r>
          </w:p>
        </w:tc>
        <w:tc>
          <w:tcPr>
            <w:tcW w:type="dxa" w:w="2041"/>
          </w:tcPr>
          <w:p>
            <w:pPr>
              <w:spacing w:after="40"/>
            </w:pPr>
            <w:r>
              <w:rPr>
                <w:b w:val="0"/>
                <w:sz w:val="18"/>
              </w:rPr>
              <w:t>What additional obligations apply to GPAI models with systemic risk?</w:t>
            </w:r>
          </w:p>
        </w:tc>
        <w:tc>
          <w:tcPr>
            <w:tcW w:type="dxa" w:w="4195"/>
          </w:tcPr>
          <w:p>
            <w:pPr>
              <w:spacing w:after="40"/>
            </w:pPr>
            <w:r>
              <w:rPr>
                <w:b w:val="0"/>
                <w:sz w:val="18"/>
              </w:rPr>
              <w:t>Systemic risk is designated through high-impact capabilities (presumed above 10^25 FLOPs of cumulative training compute) or by Commission decision (Art. 51). Providers must also evaluate models and test them adversarially, assess and mitigate systemic risks, report serious incidents and corrective measures to the AI Office, and ensure adequate cybersecurity (Art. 55).</w:t>
            </w:r>
          </w:p>
          <w:p>
            <w:pPr>
              <w:spacing w:after="40"/>
            </w:pPr>
            <w:r>
              <w:rPr>
                <w:b w:val="0"/>
                <w:color w:val="787878"/>
                <w:sz w:val="16"/>
              </w:rPr>
              <w:t>（370 字）</w:t>
            </w:r>
          </w:p>
        </w:tc>
        <w:tc>
          <w:tcPr>
            <w:tcW w:type="dxa" w:w="1814"/>
          </w:tcPr>
          <w:p>
            <w:pPr>
              <w:spacing w:after="40"/>
            </w:pPr>
            <w:r>
              <w:rPr>
                <w:b w:val="0"/>
                <w:sz w:val="18"/>
              </w:rPr>
              <w:t>Systemic-risk GPAI (presumed above 10^25 FLOPs) adds evaluation, incident reporting and cybersecurity duties.</w:t>
            </w:r>
          </w:p>
        </w:tc>
        <w:tc>
          <w:tcPr>
            <w:tcW w:type="dxa" w:w="2041"/>
          </w:tcPr>
          <w:p>
            <w:pPr>
              <w:spacing w:after="40"/>
            </w:pPr>
            <w:r>
              <w:rPr>
                <w:b w:val="0"/>
                <w:sz w:val="17"/>
              </w:rPr>
              <w:t>Regulation (EU) 2024/1689 (EU AI Act) Arts. 51–55.</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fc-35b</w:t>
            </w:r>
          </w:p>
          <w:p>
            <w:pPr>
              <w:spacing w:after="40"/>
            </w:pPr>
            <w:r>
              <w:rPr>
                <w:b w:val="0"/>
                <w:sz w:val="17"/>
              </w:rPr>
              <w:t>Third-party AI due diligence: contract terms</w:t>
            </w:r>
          </w:p>
          <w:p>
            <w:pPr>
              <w:spacing w:after="40"/>
            </w:pPr>
            <w:r>
              <w:rPr>
                <w:b w:val="0"/>
                <w:color w:val="5A5A5A"/>
                <w:sz w:val="17"/>
              </w:rPr>
              <w:t>D3</w:t>
            </w:r>
          </w:p>
        </w:tc>
        <w:tc>
          <w:tcPr>
            <w:tcW w:type="dxa" w:w="2041"/>
          </w:tcPr>
          <w:p>
            <w:pPr>
              <w:spacing w:after="40"/>
            </w:pPr>
            <w:r>
              <w:rPr>
                <w:b w:val="0"/>
                <w:sz w:val="18"/>
              </w:rPr>
              <w:t>Which contract and data-governance terms should a third-party AI agreement include?</w:t>
            </w:r>
          </w:p>
        </w:tc>
        <w:tc>
          <w:tcPr>
            <w:tcW w:type="dxa" w:w="4195"/>
          </w:tcPr>
          <w:p>
            <w:pPr>
              <w:spacing w:after="40"/>
            </w:pPr>
            <w:r>
              <w:rPr>
                <w:b w:val="0"/>
                <w:sz w:val="18"/>
              </w:rPr>
              <w:t>Define data ownership, retention and deletion, privacy and security obligations, restrictions on training on customer data, and right-to-audit or assurance-reporting clauses.</w:t>
            </w:r>
          </w:p>
          <w:p>
            <w:pPr>
              <w:spacing w:after="40"/>
            </w:pPr>
            <w:r>
              <w:rPr>
                <w:b w:val="0"/>
                <w:color w:val="787878"/>
                <w:sz w:val="16"/>
              </w:rPr>
              <w:t>（174 字）</w:t>
            </w:r>
          </w:p>
        </w:tc>
        <w:tc>
          <w:tcPr>
            <w:tcW w:type="dxa" w:w="1814"/>
          </w:tcPr>
          <w:p>
            <w:pPr>
              <w:spacing w:after="40"/>
            </w:pPr>
            <w:r>
              <w:rPr>
                <w:b w:val="0"/>
                <w:sz w:val="18"/>
              </w:rPr>
              <w:t>Contracts should fix data rights, deletion, training limits and audit rights.</w:t>
            </w:r>
          </w:p>
        </w:tc>
        <w:tc>
          <w:tcPr>
            <w:tcW w:type="dxa" w:w="2041"/>
          </w:tcPr>
          <w:p>
            <w:pPr>
              <w:spacing w:after="40"/>
            </w:pPr>
            <w:r>
              <w:rPr>
                <w:b w:val="0"/>
                <w:sz w:val="17"/>
              </w:rPr>
              <w:t>NIST AI RMF 1.0 GOVERN 6.1 &amp; 6.2; ISO/IEC 42001:2023 (verify supplier clauses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fc-35c</w:t>
            </w:r>
          </w:p>
          <w:p>
            <w:pPr>
              <w:spacing w:after="40"/>
            </w:pPr>
            <w:r>
              <w:rPr>
                <w:b w:val="0"/>
                <w:sz w:val="17"/>
              </w:rPr>
              <w:t>Third-party AI due diligence: resilience</w:t>
            </w:r>
          </w:p>
          <w:p>
            <w:pPr>
              <w:spacing w:after="40"/>
            </w:pPr>
            <w:r>
              <w:rPr>
                <w:b w:val="0"/>
                <w:color w:val="5A5A5A"/>
                <w:sz w:val="17"/>
              </w:rPr>
              <w:t>D3</w:t>
            </w:r>
          </w:p>
        </w:tc>
        <w:tc>
          <w:tcPr>
            <w:tcW w:type="dxa" w:w="2041"/>
          </w:tcPr>
          <w:p>
            <w:pPr>
              <w:spacing w:after="40"/>
            </w:pPr>
            <w:r>
              <w:rPr>
                <w:b w:val="0"/>
                <w:sz w:val="18"/>
              </w:rPr>
              <w:t>Which operational and supply-chain factors matter in third-party AI due diligence?</w:t>
            </w:r>
          </w:p>
        </w:tc>
        <w:tc>
          <w:tcPr>
            <w:tcW w:type="dxa" w:w="4195"/>
          </w:tcPr>
          <w:p>
            <w:pPr>
              <w:spacing w:after="40"/>
            </w:pPr>
            <w:r>
              <w:rPr>
                <w:b w:val="0"/>
                <w:sz w:val="18"/>
              </w:rPr>
              <w:t>Assess SLAs, notification terms for material model updates, upstream dependencies (including foundation models and open-source weights), and exit and contingency plans.</w:t>
            </w:r>
          </w:p>
          <w:p>
            <w:pPr>
              <w:spacing w:after="40"/>
            </w:pPr>
            <w:r>
              <w:rPr>
                <w:b w:val="0"/>
                <w:color w:val="787878"/>
                <w:sz w:val="16"/>
              </w:rPr>
              <w:t>（168 字）</w:t>
            </w:r>
          </w:p>
        </w:tc>
        <w:tc>
          <w:tcPr>
            <w:tcW w:type="dxa" w:w="1814"/>
          </w:tcPr>
          <w:p>
            <w:pPr>
              <w:spacing w:after="40"/>
            </w:pPr>
            <w:r>
              <w:rPr>
                <w:b w:val="0"/>
                <w:sz w:val="18"/>
              </w:rPr>
              <w:t>Look through to upstream dependencies and plan the exit before onboarding.</w:t>
            </w:r>
          </w:p>
        </w:tc>
        <w:tc>
          <w:tcPr>
            <w:tcW w:type="dxa" w:w="2041"/>
          </w:tcPr>
          <w:p>
            <w:pPr>
              <w:spacing w:after="40"/>
            </w:pPr>
            <w:r>
              <w:rPr>
                <w:b w:val="0"/>
                <w:sz w:val="17"/>
              </w:rPr>
              <w:t>NIST AI RMF 1.0 GOVERN 6.1 &amp; 6.2; ISO/IEC 42001:2023 (verify supplier clauses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fc-36b</w:t>
            </w:r>
          </w:p>
          <w:p>
            <w:pPr>
              <w:spacing w:after="40"/>
            </w:pPr>
            <w:r>
              <w:rPr>
                <w:b w:val="0"/>
                <w:sz w:val="17"/>
              </w:rPr>
              <w:t>FRIA: what it must assess</w:t>
            </w:r>
          </w:p>
          <w:p>
            <w:pPr>
              <w:spacing w:after="40"/>
            </w:pPr>
            <w:r>
              <w:rPr>
                <w:b w:val="0"/>
                <w:color w:val="5A5A5A"/>
                <w:sz w:val="17"/>
              </w:rPr>
              <w:t>D1</w:t>
            </w:r>
          </w:p>
        </w:tc>
        <w:tc>
          <w:tcPr>
            <w:tcW w:type="dxa" w:w="2041"/>
          </w:tcPr>
          <w:p>
            <w:pPr>
              <w:spacing w:after="40"/>
            </w:pPr>
            <w:r>
              <w:rPr>
                <w:b w:val="0"/>
                <w:sz w:val="18"/>
              </w:rPr>
              <w:t>What must a FRIA assess before first use?</w:t>
            </w:r>
          </w:p>
        </w:tc>
        <w:tc>
          <w:tcPr>
            <w:tcW w:type="dxa" w:w="4195"/>
          </w:tcPr>
          <w:p>
            <w:pPr>
              <w:spacing w:after="40"/>
            </w:pPr>
            <w:r>
              <w:rPr>
                <w:b w:val="0"/>
                <w:sz w:val="18"/>
              </w:rPr>
              <w:t>The intended processes, period and frequency of use, affected categories of natural persons, specific risks of harm to fundamental rights, how human oversight will work, and mitigation measures if risks materialize. The assessment is updated when relevant conditions change.</w:t>
            </w:r>
          </w:p>
          <w:p>
            <w:pPr>
              <w:spacing w:after="40"/>
            </w:pPr>
            <w:r>
              <w:rPr>
                <w:b w:val="0"/>
                <w:color w:val="787878"/>
                <w:sz w:val="16"/>
              </w:rPr>
              <w:t>（274 字）</w:t>
            </w:r>
          </w:p>
        </w:tc>
        <w:tc>
          <w:tcPr>
            <w:tcW w:type="dxa" w:w="1814"/>
          </w:tcPr>
          <w:p>
            <w:pPr>
              <w:spacing w:after="40"/>
            </w:pPr>
            <w:r>
              <w:rPr>
                <w:b w:val="0"/>
                <w:sz w:val="18"/>
              </w:rPr>
              <w:t>A FRIA is done before first use and updated when conditions change.</w:t>
            </w:r>
          </w:p>
        </w:tc>
        <w:tc>
          <w:tcPr>
            <w:tcW w:type="dxa" w:w="2041"/>
          </w:tcPr>
          <w:p>
            <w:pPr>
              <w:spacing w:after="40"/>
            </w:pPr>
            <w:r>
              <w:rPr>
                <w:b w:val="0"/>
                <w:sz w:val="17"/>
              </w:rPr>
              <w:t>Regulation (EU) 2024/1689 (EU AI Act) Art. 27 &amp; Annex III.</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fc-37b</w:t>
            </w:r>
          </w:p>
          <w:p>
            <w:pPr>
              <w:spacing w:after="40"/>
            </w:pPr>
            <w:r>
              <w:rPr>
                <w:b w:val="0"/>
                <w:sz w:val="17"/>
              </w:rPr>
              <w:t>ISO/IEC 23894 and ISO 31000</w:t>
            </w:r>
          </w:p>
          <w:p>
            <w:pPr>
              <w:spacing w:after="40"/>
            </w:pPr>
            <w:r>
              <w:rPr>
                <w:b w:val="0"/>
                <w:color w:val="5A5A5A"/>
                <w:sz w:val="17"/>
              </w:rPr>
              <w:t>D1</w:t>
            </w:r>
          </w:p>
        </w:tc>
        <w:tc>
          <w:tcPr>
            <w:tcW w:type="dxa" w:w="2041"/>
          </w:tcPr>
          <w:p>
            <w:pPr>
              <w:spacing w:after="40"/>
            </w:pPr>
            <w:r>
              <w:rPr>
                <w:b w:val="0"/>
                <w:sz w:val="18"/>
              </w:rPr>
              <w:t>How does ISO/IEC 23894 relate to ISO 31000?</w:t>
            </w:r>
          </w:p>
        </w:tc>
        <w:tc>
          <w:tcPr>
            <w:tcW w:type="dxa" w:w="4195"/>
          </w:tcPr>
          <w:p>
            <w:pPr>
              <w:spacing w:after="40"/>
            </w:pPr>
            <w:r>
              <w:rPr>
                <w:b w:val="0"/>
                <w:sz w:val="18"/>
              </w:rPr>
              <w:t>ISO/IEC 23894 builds on ISO 31000. It applies the established ISO 31000 risk management process to the particular vulnerabilities of the AI lifecycle rather than creating a separate process.</w:t>
            </w:r>
          </w:p>
          <w:p>
            <w:pPr>
              <w:spacing w:after="40"/>
            </w:pPr>
            <w:r>
              <w:rPr>
                <w:b w:val="0"/>
                <w:color w:val="787878"/>
                <w:sz w:val="16"/>
              </w:rPr>
              <w:t>（190 字）</w:t>
            </w:r>
          </w:p>
        </w:tc>
        <w:tc>
          <w:tcPr>
            <w:tcW w:type="dxa" w:w="1814"/>
          </w:tcPr>
          <w:p>
            <w:pPr>
              <w:spacing w:after="40"/>
            </w:pPr>
            <w:r>
              <w:rPr>
                <w:b w:val="0"/>
                <w:sz w:val="18"/>
              </w:rPr>
              <w:t>23894 extends ISO 31000 to AI; it does not replace it.</w:t>
            </w:r>
          </w:p>
        </w:tc>
        <w:tc>
          <w:tcPr>
            <w:tcW w:type="dxa" w:w="2041"/>
          </w:tcPr>
          <w:p>
            <w:pPr>
              <w:spacing w:after="40"/>
            </w:pPr>
            <w:r>
              <w:rPr>
                <w:b w:val="0"/>
                <w:sz w:val="17"/>
              </w:rPr>
              <w:t>ISO/IEC 23894:2023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fc-39b</w:t>
            </w:r>
          </w:p>
          <w:p>
            <w:pPr>
              <w:spacing w:after="40"/>
            </w:pPr>
            <w:r>
              <w:rPr>
                <w:b w:val="0"/>
                <w:sz w:val="17"/>
              </w:rPr>
              <w:t>Conformity Assessment routes (Art. 43)</w:t>
            </w:r>
          </w:p>
          <w:p>
            <w:pPr>
              <w:spacing w:after="40"/>
            </w:pPr>
            <w:r>
              <w:rPr>
                <w:b w:val="0"/>
                <w:color w:val="5A5A5A"/>
                <w:sz w:val="17"/>
              </w:rPr>
              <w:t>D1</w:t>
            </w:r>
          </w:p>
        </w:tc>
        <w:tc>
          <w:tcPr>
            <w:tcW w:type="dxa" w:w="2041"/>
          </w:tcPr>
          <w:p>
            <w:pPr>
              <w:spacing w:after="40"/>
            </w:pPr>
            <w:r>
              <w:rPr>
                <w:b w:val="0"/>
                <w:sz w:val="18"/>
              </w:rPr>
              <w:t>Under EU AI Act Article 43, how do conformity assessment routes differ by high-risk system category?</w:t>
            </w:r>
          </w:p>
        </w:tc>
        <w:tc>
          <w:tcPr>
            <w:tcW w:type="dxa" w:w="4195"/>
          </w:tcPr>
          <w:p>
            <w:pPr>
              <w:spacing w:after="40"/>
            </w:pPr>
            <w:r>
              <w:rPr>
                <w:b w:val="0"/>
                <w:sz w:val="18"/>
              </w:rPr>
              <w:t>Annex III points 2–8 generally use internal control (Annex VI). Annex III point 1 may use internal control or a notified body (Annex VII), depending on applicable standards and conditions. AI covered by Annex I follows the relevant sector legislation. Check category, dates and conditions before choosing a route.</w:t>
            </w:r>
          </w:p>
          <w:p>
            <w:pPr>
              <w:spacing w:after="40"/>
            </w:pPr>
            <w:r>
              <w:rPr>
                <w:b w:val="0"/>
                <w:color w:val="787878"/>
                <w:sz w:val="16"/>
              </w:rPr>
              <w:t>（313 字）</w:t>
            </w:r>
          </w:p>
        </w:tc>
        <w:tc>
          <w:tcPr>
            <w:tcW w:type="dxa" w:w="1814"/>
          </w:tcPr>
          <w:p>
            <w:pPr>
              <w:spacing w:after="40"/>
            </w:pPr>
            <w:r>
              <w:rPr>
                <w:b w:val="0"/>
                <w:sz w:val="18"/>
              </w:rPr>
              <w:t>A notified body is not required for every biometric system; the route depends on category.</w:t>
            </w:r>
          </w:p>
        </w:tc>
        <w:tc>
          <w:tcPr>
            <w:tcW w:type="dxa" w:w="2041"/>
          </w:tcPr>
          <w:p>
            <w:pPr>
              <w:spacing w:after="40"/>
            </w:pPr>
            <w:r>
              <w:rPr>
                <w:b w:val="0"/>
                <w:sz w:val="17"/>
              </w:rPr>
              <w:t>EU AI Act Article 43, Annexes VI &amp; VII</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fc-40b</w:t>
            </w:r>
          </w:p>
          <w:p>
            <w:pPr>
              <w:spacing w:after="40"/>
            </w:pPr>
            <w:r>
              <w:rPr>
                <w:b w:val="0"/>
                <w:sz w:val="17"/>
              </w:rPr>
              <w:t>Red Teaming: attack vectors</w:t>
            </w:r>
          </w:p>
          <w:p>
            <w:pPr>
              <w:spacing w:after="40"/>
            </w:pPr>
            <w:r>
              <w:rPr>
                <w:b w:val="0"/>
                <w:color w:val="5A5A5A"/>
                <w:sz w:val="17"/>
              </w:rPr>
              <w:t>D3</w:t>
            </w:r>
          </w:p>
        </w:tc>
        <w:tc>
          <w:tcPr>
            <w:tcW w:type="dxa" w:w="2041"/>
          </w:tcPr>
          <w:p>
            <w:pPr>
              <w:spacing w:after="40"/>
            </w:pPr>
            <w:r>
              <w:rPr>
                <w:b w:val="0"/>
                <w:sz w:val="18"/>
              </w:rPr>
              <w:t>Which adversarial attack vectors should AI red teaming cover?</w:t>
            </w:r>
          </w:p>
        </w:tc>
        <w:tc>
          <w:tcPr>
            <w:tcW w:type="dxa" w:w="4195"/>
          </w:tcPr>
          <w:p>
            <w:pPr>
              <w:spacing w:after="40"/>
            </w:pPr>
            <w:r>
              <w:rPr>
                <w:b w:val="0"/>
                <w:sz w:val="18"/>
              </w:rPr>
              <w:t>1) Direct and indirect prompt injection; 2) jailbreaking and guardrail bypass; 3) training or fine-tuning data poisoning and backdoor triggers; 4) model inversion, membership inference and training-data extraction; 5) resource-exhaustion or denial-of-wallet attacks.</w:t>
            </w:r>
          </w:p>
          <w:p>
            <w:pPr>
              <w:spacing w:after="40"/>
            </w:pPr>
            <w:r>
              <w:rPr>
                <w:b w:val="0"/>
                <w:color w:val="787878"/>
                <w:sz w:val="16"/>
              </w:rPr>
              <w:t>（266 字）</w:t>
            </w:r>
          </w:p>
        </w:tc>
        <w:tc>
          <w:tcPr>
            <w:tcW w:type="dxa" w:w="1814"/>
          </w:tcPr>
          <w:p>
            <w:pPr>
              <w:spacing w:after="40"/>
            </w:pPr>
            <w:r>
              <w:rPr>
                <w:b w:val="0"/>
                <w:sz w:val="18"/>
              </w:rPr>
              <w:t>Choose attack vectors that match the system's architecture.</w:t>
            </w:r>
          </w:p>
        </w:tc>
        <w:tc>
          <w:tcPr>
            <w:tcW w:type="dxa" w:w="2041"/>
          </w:tcPr>
          <w:p>
            <w:pPr>
              <w:spacing w:after="40"/>
            </w:pPr>
            <w:r>
              <w:rPr>
                <w:b w:val="0"/>
                <w:sz w:val="17"/>
              </w:rPr>
              <w:t>NIST AI RMF 1.0 MEASURE 2.6 &amp; 2.7; NIST AI 600-1 (Generative AI Profile); OWASP Top 10 for LLM Applications.</w:t>
            </w:r>
          </w:p>
        </w:tc>
        <w:tc>
          <w:tcPr>
            <w:tcW w:type="dxa" w:w="2948"/>
          </w:tcPr>
          <w:p>
            <w:pPr>
              <w:spacing w:after="40"/>
            </w:pPr>
            <w:r>
              <w:rPr>
                <w:b w:val="0"/>
                <w:sz w:val="17"/>
              </w:rPr>
              <w:t>R1□ R2□ R3□ R4□ R5□ R6□ R7□</w:t>
              <w:br/>
              <w:br/>
              <w:t>决定：□通过 □修改 □待核验 □删除</w:t>
              <w:br/>
              <w:br/>
              <w:t>意见：</w:t>
            </w:r>
          </w:p>
        </w:tc>
      </w:tr>
    </w:tbl>
    <w:p>
      <w:r>
        <w:br w:type="page"/>
      </w:r>
    </w:p>
    <w:p>
      <w:pPr>
        <w:pStyle w:val="Heading2"/>
      </w:pPr>
      <w:r>
        <w:t>C　原有卡（39 张，按你的决定缩短、改正面、改来源、归类）</w:t>
      </w:r>
    </w:p>
    <w:p>
      <w:pPr>
        <w:spacing w:after="60"/>
      </w:pPr>
      <w:r>
        <w:rPr>
          <w:b w:val="0"/>
          <w:sz w:val="18"/>
        </w:rPr>
        <w:t>这些卡的 ID 与上一轮相同。背面括号里的字数表示相对原卡的变化；原版全文见上一轮复核册。</w:t>
      </w:r>
    </w:p>
    <w:tbl>
      <w:tblPr>
        <w:tblStyle w:val="TableGrid"/>
        <w:tblW w:type="auto" w:w="0"/>
        <w:tblLayout w:type="fixed"/>
        <w:tblLook w:firstColumn="1" w:firstRow="1" w:lastColumn="0" w:lastRow="0" w:noHBand="0" w:noVBand="1" w:val="04A0"/>
      </w:tblPr>
      <w:tblGrid>
        <w:gridCol w:w="2338"/>
        <w:gridCol w:w="2338"/>
        <w:gridCol w:w="2338"/>
        <w:gridCol w:w="2338"/>
        <w:gridCol w:w="2338"/>
        <w:gridCol w:w="2338"/>
      </w:tblGrid>
      <w:tr>
        <w:trPr>
          <w:tblHeader/>
        </w:trPr>
        <w:tc>
          <w:tcPr>
            <w:tcW w:type="dxa" w:w="1474"/>
            <w:shd w:val="clear" w:color="auto" w:fill="DDEBF7"/>
          </w:tcPr>
          <w:p>
            <w:pPr>
              <w:spacing w:after="40"/>
            </w:pPr>
            <w:r>
              <w:rPr>
                <w:b/>
                <w:sz w:val="18"/>
              </w:rPr>
              <w:t>卡片</w:t>
            </w:r>
          </w:p>
        </w:tc>
        <w:tc>
          <w:tcPr>
            <w:tcW w:type="dxa" w:w="2041"/>
            <w:shd w:val="clear" w:color="auto" w:fill="DDEBF7"/>
          </w:tcPr>
          <w:p>
            <w:pPr>
              <w:spacing w:after="40"/>
            </w:pPr>
            <w:r>
              <w:rPr>
                <w:b/>
                <w:sz w:val="18"/>
              </w:rPr>
              <w:t>正面</w:t>
            </w:r>
          </w:p>
        </w:tc>
        <w:tc>
          <w:tcPr>
            <w:tcW w:type="dxa" w:w="4195"/>
            <w:shd w:val="clear" w:color="auto" w:fill="DDEBF7"/>
          </w:tcPr>
          <w:p>
            <w:pPr>
              <w:spacing w:after="40"/>
            </w:pPr>
            <w:r>
              <w:rPr>
                <w:b/>
                <w:sz w:val="18"/>
              </w:rPr>
              <w:t>背面</w:t>
            </w:r>
          </w:p>
        </w:tc>
        <w:tc>
          <w:tcPr>
            <w:tcW w:type="dxa" w:w="1814"/>
            <w:shd w:val="clear" w:color="auto" w:fill="DDEBF7"/>
          </w:tcPr>
          <w:p>
            <w:pPr>
              <w:spacing w:after="40"/>
            </w:pPr>
            <w:r>
              <w:rPr>
                <w:b/>
                <w:sz w:val="18"/>
              </w:rPr>
              <w:t>要点</w:t>
            </w:r>
          </w:p>
        </w:tc>
        <w:tc>
          <w:tcPr>
            <w:tcW w:type="dxa" w:w="2041"/>
            <w:shd w:val="clear" w:color="auto" w:fill="DDEBF7"/>
          </w:tcPr>
          <w:p>
            <w:pPr>
              <w:spacing w:after="40"/>
            </w:pPr>
            <w:r>
              <w:rPr>
                <w:b/>
                <w:sz w:val="18"/>
              </w:rPr>
              <w:t>来源</w:t>
            </w:r>
          </w:p>
        </w:tc>
        <w:tc>
          <w:tcPr>
            <w:tcW w:type="dxa" w:w="2948"/>
            <w:shd w:val="clear" w:color="auto" w:fill="DDEBF7"/>
          </w:tcPr>
          <w:p>
            <w:pPr>
              <w:spacing w:after="40"/>
            </w:pPr>
            <w:r>
              <w:rPr>
                <w:b/>
                <w:sz w:val="18"/>
              </w:rPr>
              <w:t>复核栏</w:t>
            </w:r>
          </w:p>
        </w:tc>
      </w:tr>
      <w:tr>
        <w:trPr>
          <w:cantSplit/>
        </w:trPr>
        <w:tc>
          <w:tcPr>
            <w:tcW w:type="dxa" w:w="1474"/>
          </w:tcPr>
          <w:p>
            <w:pPr>
              <w:spacing w:after="40"/>
            </w:pPr>
            <w:r>
              <w:rPr>
                <w:b/>
                <w:sz w:val="18"/>
              </w:rPr>
              <w:t>fc-01</w:t>
            </w:r>
          </w:p>
          <w:p>
            <w:pPr>
              <w:spacing w:after="40"/>
            </w:pPr>
            <w:r>
              <w:rPr>
                <w:b w:val="0"/>
                <w:sz w:val="17"/>
              </w:rPr>
              <w:t>Three Lines Model: First Line</w:t>
            </w:r>
          </w:p>
          <w:p>
            <w:pPr>
              <w:spacing w:after="40"/>
            </w:pPr>
            <w:r>
              <w:rPr>
                <w:b w:val="0"/>
                <w:color w:val="5A5A5A"/>
                <w:sz w:val="17"/>
              </w:rPr>
              <w:t>D1</w:t>
            </w:r>
          </w:p>
        </w:tc>
        <w:tc>
          <w:tcPr>
            <w:tcW w:type="dxa" w:w="2041"/>
          </w:tcPr>
          <w:p>
            <w:pPr>
              <w:spacing w:after="40"/>
            </w:pPr>
            <w:r>
              <w:rPr>
                <w:b w:val="0"/>
                <w:sz w:val="18"/>
              </w:rPr>
              <w:t>Under the IIA Three Lines Model, what is the role of the First Line in AI governance?</w:t>
            </w:r>
          </w:p>
        </w:tc>
        <w:tc>
          <w:tcPr>
            <w:tcW w:type="dxa" w:w="4195"/>
          </w:tcPr>
          <w:p>
            <w:pPr>
              <w:spacing w:after="40"/>
            </w:pPr>
            <w:r>
              <w:rPr>
                <w:b w:val="0"/>
                <w:sz w:val="18"/>
              </w:rPr>
              <w:t>The First Line is operational management and AI delivery teams. They directly own, assess and manage operational AI risks, and carry out day-to-day testing, validation and controls. The Governing Body (Board) above them sets strategic direction and risk appetite.</w:t>
            </w:r>
          </w:p>
          <w:p>
            <w:pPr>
              <w:spacing w:after="40"/>
            </w:pPr>
            <w:r>
              <w:rPr>
                <w:b w:val="0"/>
                <w:color w:val="787878"/>
                <w:sz w:val="16"/>
              </w:rPr>
              <w:t>（263 字；原卡 869 字）</w:t>
            </w:r>
          </w:p>
        </w:tc>
        <w:tc>
          <w:tcPr>
            <w:tcW w:type="dxa" w:w="1814"/>
          </w:tcPr>
          <w:p>
            <w:pPr>
              <w:spacing w:after="40"/>
            </w:pPr>
            <w:r>
              <w:rPr>
                <w:b w:val="0"/>
                <w:sz w:val="18"/>
              </w:rPr>
              <w:t>The First Line owns and manages operational AI risk, and belongs to management.</w:t>
            </w:r>
          </w:p>
        </w:tc>
        <w:tc>
          <w:tcPr>
            <w:tcW w:type="dxa" w:w="2041"/>
          </w:tcPr>
          <w:p>
            <w:pPr>
              <w:spacing w:after="40"/>
            </w:pPr>
            <w:r>
              <w:rPr>
                <w:b w:val="0"/>
                <w:sz w:val="17"/>
              </w:rPr>
              <w:t>The IIA's Three Lines Model (July 2020), Principles 1–5; NIST AI RMF 1.0 GOVERN 1.2 &amp; 1.3.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fc-02</w:t>
            </w:r>
          </w:p>
          <w:p>
            <w:pPr>
              <w:spacing w:after="40"/>
            </w:pPr>
            <w:r>
              <w:rPr>
                <w:b w:val="0"/>
                <w:sz w:val="17"/>
              </w:rPr>
              <w:t>AI Governance Steering Committee Charter</w:t>
            </w:r>
          </w:p>
          <w:p>
            <w:pPr>
              <w:spacing w:after="40"/>
            </w:pPr>
            <w:r>
              <w:rPr>
                <w:b w:val="0"/>
                <w:color w:val="5A5A5A"/>
                <w:sz w:val="17"/>
              </w:rPr>
              <w:t>D1</w:t>
            </w:r>
          </w:p>
        </w:tc>
        <w:tc>
          <w:tcPr>
            <w:tcW w:type="dxa" w:w="2041"/>
          </w:tcPr>
          <w:p>
            <w:pPr>
              <w:spacing w:after="40"/>
            </w:pPr>
            <w:r>
              <w:rPr>
                <w:b w:val="0"/>
                <w:sz w:val="18"/>
              </w:rPr>
              <w:t>What is the PRIMARY mandate when establishing an enterprise AI Governance Steering Committee?</w:t>
            </w:r>
          </w:p>
        </w:tc>
        <w:tc>
          <w:tcPr>
            <w:tcW w:type="dxa" w:w="4195"/>
          </w:tcPr>
          <w:p>
            <w:pPr>
              <w:spacing w:after="40"/>
            </w:pPr>
            <w:r>
              <w:rPr>
                <w:b w:val="0"/>
                <w:sz w:val="18"/>
              </w:rPr>
              <w:t>To operate under formally delegated authority from top management or the governing body through a cross-functional Governance Charter that defines decision rights and accountabilities (e.g., RACI), recommends or operationalizes approved AI risk appetite and tolerance thresholds, and aligns AI investments with corporate strategy, legal obligations, and ethical principles.</w:t>
            </w:r>
          </w:p>
          <w:p>
            <w:pPr>
              <w:spacing w:after="40"/>
            </w:pPr>
            <w:r>
              <w:rPr>
                <w:b w:val="0"/>
                <w:color w:val="787878"/>
                <w:sz w:val="16"/>
              </w:rPr>
              <w:t>（373 字；原卡 373 字）</w:t>
            </w:r>
          </w:p>
        </w:tc>
        <w:tc>
          <w:tcPr>
            <w:tcW w:type="dxa" w:w="1814"/>
          </w:tcPr>
          <w:p>
            <w:pPr>
              <w:spacing w:after="40"/>
            </w:pPr>
            <w:r>
              <w:rPr>
                <w:b w:val="0"/>
                <w:sz w:val="18"/>
              </w:rPr>
              <w:t>A steering committee holds authorized decision rights and sets risk guardrails across the AI portfolio.</w:t>
            </w:r>
          </w:p>
        </w:tc>
        <w:tc>
          <w:tcPr>
            <w:tcW w:type="dxa" w:w="2041"/>
          </w:tcPr>
          <w:p>
            <w:pPr>
              <w:spacing w:after="40"/>
            </w:pPr>
            <w:r>
              <w:rPr>
                <w:b w:val="0"/>
                <w:sz w:val="17"/>
              </w:rPr>
              <w:t>NIST AI RMF 1.0 GOVERN 1.2, 1.3 &amp; 2.1; IIA Three Lines Model (2020); ISO/IEC 42001:2023 Cl. 5 (verify exact subclause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fc-03</w:t>
            </w:r>
          </w:p>
          <w:p>
            <w:pPr>
              <w:spacing w:after="40"/>
            </w:pPr>
            <w:r>
              <w:rPr>
                <w:b w:val="0"/>
                <w:sz w:val="17"/>
              </w:rPr>
              <w:t>AI Acceptable Use Policy: tools and data</w:t>
            </w:r>
          </w:p>
          <w:p>
            <w:pPr>
              <w:spacing w:after="40"/>
            </w:pPr>
            <w:r>
              <w:rPr>
                <w:b w:val="0"/>
                <w:color w:val="5A5A5A"/>
                <w:sz w:val="17"/>
              </w:rPr>
              <w:t>D1</w:t>
            </w:r>
          </w:p>
        </w:tc>
        <w:tc>
          <w:tcPr>
            <w:tcW w:type="dxa" w:w="2041"/>
          </w:tcPr>
          <w:p>
            <w:pPr>
              <w:spacing w:after="40"/>
            </w:pPr>
            <w:r>
              <w:rPr>
                <w:b w:val="0"/>
                <w:sz w:val="18"/>
              </w:rPr>
              <w:t>What should an enterprise AI Acceptable Use Policy say about tools and data?</w:t>
            </w:r>
          </w:p>
        </w:tc>
        <w:tc>
          <w:tcPr>
            <w:tcW w:type="dxa" w:w="4195"/>
          </w:tcPr>
          <w:p>
            <w:pPr>
              <w:spacing w:after="40"/>
            </w:pPr>
            <w:r>
              <w:rPr>
                <w:b w:val="0"/>
                <w:sz w:val="18"/>
              </w:rPr>
              <w:t>1. Approved vs. prohibited AI tools and use cases: clear criteria separating sanctioned enterprise AI systems from unapproved consumer tools. 2. Data classification and handling: which inputs are permitted or barred (e.g., no confidential, trade-secret or regulated personal data in unvetted or public models), with controls and legal bases for approved enterprise environments.</w:t>
            </w:r>
          </w:p>
          <w:p>
            <w:pPr>
              <w:spacing w:after="40"/>
            </w:pPr>
            <w:r>
              <w:rPr>
                <w:b w:val="0"/>
                <w:color w:val="787878"/>
                <w:sz w:val="16"/>
              </w:rPr>
              <w:t>（378 字；原卡 673 字）</w:t>
            </w:r>
          </w:p>
        </w:tc>
        <w:tc>
          <w:tcPr>
            <w:tcW w:type="dxa" w:w="1814"/>
          </w:tcPr>
          <w:p>
            <w:pPr>
              <w:spacing w:after="40"/>
            </w:pPr>
            <w:r>
              <w:rPr>
                <w:b w:val="0"/>
                <w:sz w:val="18"/>
              </w:rPr>
              <w:t>An AUP names the approved tools and sets what data may go into them.</w:t>
            </w:r>
          </w:p>
        </w:tc>
        <w:tc>
          <w:tcPr>
            <w:tcW w:type="dxa" w:w="2041"/>
          </w:tcPr>
          <w:p>
            <w:pPr>
              <w:spacing w:after="40"/>
            </w:pPr>
            <w:r>
              <w:rPr>
                <w:b w:val="0"/>
                <w:sz w:val="17"/>
              </w:rPr>
              <w:t>GDPR Arts. 5 &amp; 6; NIST AI 600-1 GOVERN 1.2; ISO/IEC 42001:2023 (verify policy clauses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fc-04</w:t>
            </w:r>
          </w:p>
          <w:p>
            <w:pPr>
              <w:spacing w:after="40"/>
            </w:pPr>
            <w:r>
              <w:rPr>
                <w:b w:val="0"/>
                <w:sz w:val="17"/>
              </w:rPr>
              <w:t>AI Risk Appetite vs. Risk Tolerance</w:t>
            </w:r>
          </w:p>
          <w:p>
            <w:pPr>
              <w:spacing w:after="40"/>
            </w:pPr>
            <w:r>
              <w:rPr>
                <w:b w:val="0"/>
                <w:color w:val="5A5A5A"/>
                <w:sz w:val="17"/>
              </w:rPr>
              <w:t>D1</w:t>
            </w:r>
          </w:p>
        </w:tc>
        <w:tc>
          <w:tcPr>
            <w:tcW w:type="dxa" w:w="2041"/>
          </w:tcPr>
          <w:p>
            <w:pPr>
              <w:spacing w:after="40"/>
            </w:pPr>
            <w:r>
              <w:rPr>
                <w:b w:val="0"/>
                <w:sz w:val="18"/>
              </w:rPr>
              <w:t>How do Risk Appetite and Risk Tolerance differ in the context of enterprise AI governance?</w:t>
            </w:r>
          </w:p>
        </w:tc>
        <w:tc>
          <w:tcPr>
            <w:tcW w:type="dxa" w:w="4195"/>
          </w:tcPr>
          <w:p>
            <w:pPr>
              <w:spacing w:after="40"/>
            </w:pPr>
            <w:r>
              <w:rPr>
                <w:b w:val="0"/>
                <w:sz w:val="18"/>
              </w:rPr>
              <w:t>1. Risk Appetite: The broad amount and type of risk an organization is intentionally willing to accept in pursuit of its strategic AI objectives (set by the governing body or senior management).</w:t>
              <w:br/>
              <w:t>2. Risk Tolerance: The specific, measurable boundaries and acceptable variations around risk targets (e.g., maximum permissible error rates or drift thresholds before escalation).</w:t>
            </w:r>
          </w:p>
          <w:p>
            <w:pPr>
              <w:spacing w:after="40"/>
            </w:pPr>
            <w:r>
              <w:rPr>
                <w:b w:val="0"/>
                <w:color w:val="787878"/>
                <w:sz w:val="16"/>
              </w:rPr>
              <w:t>（374 字；原卡 344 字）</w:t>
            </w:r>
          </w:p>
          <w:p>
            <w:pPr>
              <w:spacing w:after="40"/>
            </w:pPr>
            <w:r>
              <w:rPr>
                <w:b/>
                <w:color w:val="C00000"/>
                <w:sz w:val="17"/>
              </w:rPr>
              <w:t>⚑ 出处 COBIT 2019 EDM03 与"治理机构或最高管理层设定"的措辞，请核对。</w:t>
            </w:r>
          </w:p>
        </w:tc>
        <w:tc>
          <w:tcPr>
            <w:tcW w:type="dxa" w:w="1814"/>
          </w:tcPr>
          <w:p>
            <w:pPr>
              <w:spacing w:after="40"/>
            </w:pPr>
            <w:r>
              <w:rPr>
                <w:b w:val="0"/>
                <w:sz w:val="18"/>
              </w:rPr>
              <w:t>Appetite sets the strategic posture; tolerance defines the quantitative operational thresholds.</w:t>
            </w:r>
          </w:p>
        </w:tc>
        <w:tc>
          <w:tcPr>
            <w:tcW w:type="dxa" w:w="2041"/>
          </w:tcPr>
          <w:p>
            <w:pPr>
              <w:spacing w:after="40"/>
            </w:pPr>
            <w:r>
              <w:rPr>
                <w:b w:val="0"/>
                <w:sz w:val="17"/>
              </w:rPr>
              <w:t>COBIT 2019 EDM03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fc-05</w:t>
            </w:r>
          </w:p>
          <w:p>
            <w:pPr>
              <w:spacing w:after="40"/>
            </w:pPr>
            <w:r>
              <w:rPr>
                <w:b w:val="0"/>
                <w:sz w:val="17"/>
              </w:rPr>
              <w:t>OECD AI Principles</w:t>
            </w:r>
          </w:p>
          <w:p>
            <w:pPr>
              <w:spacing w:after="40"/>
            </w:pPr>
            <w:r>
              <w:rPr>
                <w:b w:val="0"/>
                <w:color w:val="5A5A5A"/>
                <w:sz w:val="17"/>
              </w:rPr>
              <w:t>D1</w:t>
            </w:r>
          </w:p>
        </w:tc>
        <w:tc>
          <w:tcPr>
            <w:tcW w:type="dxa" w:w="2041"/>
          </w:tcPr>
          <w:p>
            <w:pPr>
              <w:spacing w:after="40"/>
            </w:pPr>
            <w:r>
              <w:rPr>
                <w:b w:val="0"/>
                <w:sz w:val="18"/>
              </w:rPr>
              <w:t>What are the five core value-based OECD AI Principles for responsible stewardship of trustworthy AI?</w:t>
            </w:r>
          </w:p>
        </w:tc>
        <w:tc>
          <w:tcPr>
            <w:tcW w:type="dxa" w:w="4195"/>
          </w:tcPr>
          <w:p>
            <w:pPr>
              <w:spacing w:after="40"/>
            </w:pPr>
            <w:r>
              <w:rPr>
                <w:b w:val="0"/>
                <w:sz w:val="18"/>
              </w:rPr>
              <w:t>Under the OECD Recommendation on AI (OECD/LEGAL/0449, amended 2024), the five values-based principles are: 1. Inclusive growth, sustainable development and well-being; 2. Human rights and democratic values, including fairness and privacy; 3. Transparency and explainability; 4. Robustness, security and safety; 5. Accountability for AI actors across the lifecycle.</w:t>
            </w:r>
          </w:p>
          <w:p>
            <w:pPr>
              <w:spacing w:after="40"/>
            </w:pPr>
            <w:r>
              <w:rPr>
                <w:b w:val="0"/>
                <w:color w:val="787878"/>
                <w:sz w:val="16"/>
              </w:rPr>
              <w:t>（364 字；原卡 522 字）</w:t>
            </w:r>
          </w:p>
        </w:tc>
        <w:tc>
          <w:tcPr>
            <w:tcW w:type="dxa" w:w="1814"/>
          </w:tcPr>
          <w:p>
            <w:pPr>
              <w:spacing w:after="40"/>
            </w:pPr>
            <w:r>
              <w:rPr>
                <w:b w:val="0"/>
                <w:sz w:val="18"/>
              </w:rPr>
              <w:t>The OECD principles are an international reference point; legal duties must still be mapped per jurisdiction.</w:t>
            </w:r>
          </w:p>
        </w:tc>
        <w:tc>
          <w:tcPr>
            <w:tcW w:type="dxa" w:w="2041"/>
          </w:tcPr>
          <w:p>
            <w:pPr>
              <w:spacing w:after="40"/>
            </w:pPr>
            <w:r>
              <w:rPr>
                <w:b w:val="0"/>
                <w:sz w:val="17"/>
              </w:rPr>
              <w:t>OECD Recommendation of the Council on Artificial Intelligence (OECD/LEGAL/0449, 2019 / amended 2024), Section 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fc-06</w:t>
            </w:r>
          </w:p>
          <w:p>
            <w:pPr>
              <w:spacing w:after="40"/>
            </w:pPr>
            <w:r>
              <w:rPr>
                <w:b w:val="0"/>
                <w:sz w:val="17"/>
              </w:rPr>
              <w:t>Shadow AI</w:t>
            </w:r>
          </w:p>
          <w:p>
            <w:pPr>
              <w:spacing w:after="40"/>
            </w:pPr>
            <w:r>
              <w:rPr>
                <w:b w:val="0"/>
                <w:color w:val="5A5A5A"/>
                <w:sz w:val="17"/>
              </w:rPr>
              <w:t>D1</w:t>
            </w:r>
          </w:p>
        </w:tc>
        <w:tc>
          <w:tcPr>
            <w:tcW w:type="dxa" w:w="2041"/>
          </w:tcPr>
          <w:p>
            <w:pPr>
              <w:spacing w:after="40"/>
            </w:pPr>
            <w:r>
              <w:rPr>
                <w:b w:val="0"/>
                <w:sz w:val="18"/>
              </w:rPr>
              <w:t>What is "Shadow AI"?</w:t>
            </w:r>
          </w:p>
        </w:tc>
        <w:tc>
          <w:tcPr>
            <w:tcW w:type="dxa" w:w="4195"/>
          </w:tcPr>
          <w:p>
            <w:pPr>
              <w:spacing w:after="40"/>
            </w:pPr>
            <w:r>
              <w:rPr>
                <w:b w:val="0"/>
                <w:sz w:val="18"/>
              </w:rPr>
              <w:t>'Shadow AI' means employees or business units using unsanctioned AI tools, models or APIs, such as unapproved consumer generative AI accounts, outside formal governance controls.</w:t>
            </w:r>
          </w:p>
          <w:p>
            <w:pPr>
              <w:spacing w:after="40"/>
            </w:pPr>
            <w:r>
              <w:rPr>
                <w:b w:val="0"/>
                <w:color w:val="787878"/>
                <w:sz w:val="16"/>
              </w:rPr>
              <w:t>（178 字；原卡 609 字）</w:t>
            </w:r>
          </w:p>
        </w:tc>
        <w:tc>
          <w:tcPr>
            <w:tcW w:type="dxa" w:w="1814"/>
          </w:tcPr>
          <w:p>
            <w:pPr>
              <w:spacing w:after="40"/>
            </w:pPr>
            <w:r>
              <w:rPr>
                <w:b w:val="0"/>
                <w:sz w:val="18"/>
              </w:rPr>
              <w:t>Shadow AI is AI use outside formal governance, such as unapproved consumer accounts.</w:t>
            </w:r>
          </w:p>
        </w:tc>
        <w:tc>
          <w:tcPr>
            <w:tcW w:type="dxa" w:w="2041"/>
          </w:tcPr>
          <w:p>
            <w:pPr>
              <w:spacing w:after="40"/>
            </w:pPr>
            <w:r>
              <w:rPr>
                <w:b w:val="0"/>
                <w:sz w:val="17"/>
              </w:rPr>
              <w:t>NIST AI 600-1 GOVERN 1.2 &amp; 1.6; ISO/IEC 42001:2023 (verify Annex A controls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fc-07</w:t>
            </w:r>
          </w:p>
          <w:p>
            <w:pPr>
              <w:spacing w:after="40"/>
            </w:pPr>
            <w:r>
              <w:rPr>
                <w:b w:val="0"/>
                <w:sz w:val="17"/>
              </w:rPr>
              <w:t>Board Oversight of AI</w:t>
            </w:r>
          </w:p>
          <w:p>
            <w:pPr>
              <w:spacing w:after="40"/>
            </w:pPr>
            <w:r>
              <w:rPr>
                <w:b w:val="0"/>
                <w:color w:val="5A5A5A"/>
                <w:sz w:val="17"/>
              </w:rPr>
              <w:t>D1</w:t>
            </w:r>
          </w:p>
        </w:tc>
        <w:tc>
          <w:tcPr>
            <w:tcW w:type="dxa" w:w="2041"/>
          </w:tcPr>
          <w:p>
            <w:pPr>
              <w:spacing w:after="40"/>
            </w:pPr>
            <w:r>
              <w:rPr>
                <w:b w:val="0"/>
                <w:sz w:val="18"/>
              </w:rPr>
              <w:t>What is the Board of Directors' role in overseeing AI systems?</w:t>
            </w:r>
          </w:p>
        </w:tc>
        <w:tc>
          <w:tcPr>
            <w:tcW w:type="dxa" w:w="4195"/>
          </w:tcPr>
          <w:p>
            <w:pPr>
              <w:spacing w:after="40"/>
            </w:pPr>
            <w:r>
              <w:rPr>
                <w:b w:val="0"/>
                <w:sz w:val="18"/>
              </w:rPr>
              <w:t>The Governing Body (Board) is responsible for strategic oversight and accountability, not day-to-day management. That includes approving the organization's AI risk appetite, ensuring management sets up an effective AI governance and risk management system, and monitoring material legal, ethical and operational exposures.</w:t>
            </w:r>
          </w:p>
          <w:p>
            <w:pPr>
              <w:spacing w:after="40"/>
            </w:pPr>
            <w:r>
              <w:rPr>
                <w:b w:val="0"/>
                <w:color w:val="787878"/>
                <w:sz w:val="16"/>
              </w:rPr>
              <w:t>（322 字；原卡 629 字）</w:t>
            </w:r>
          </w:p>
        </w:tc>
        <w:tc>
          <w:tcPr>
            <w:tcW w:type="dxa" w:w="1814"/>
          </w:tcPr>
          <w:p>
            <w:pPr>
              <w:spacing w:after="40"/>
            </w:pPr>
            <w:r>
              <w:rPr>
                <w:b w:val="0"/>
                <w:sz w:val="18"/>
              </w:rPr>
              <w:t>The Board oversees and holds accountability; management runs day-to-day AI controls.</w:t>
            </w:r>
          </w:p>
        </w:tc>
        <w:tc>
          <w:tcPr>
            <w:tcW w:type="dxa" w:w="2041"/>
          </w:tcPr>
          <w:p>
            <w:pPr>
              <w:spacing w:after="40"/>
            </w:pPr>
            <w:r>
              <w:rPr>
                <w:b w:val="0"/>
                <w:sz w:val="17"/>
              </w:rPr>
              <w:t>IIA Three Lines Model (2020) Principle 2; NIST AI RMF 1.0 GOVERN 1.2; COBIT 2019 EDM01 (verify against licensed text).</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fc-08</w:t>
            </w:r>
          </w:p>
          <w:p>
            <w:pPr>
              <w:spacing w:after="40"/>
            </w:pPr>
            <w:r>
              <w:rPr>
                <w:b w:val="0"/>
                <w:sz w:val="17"/>
              </w:rPr>
              <w:t>AI Governance Steering Committee</w:t>
            </w:r>
          </w:p>
          <w:p>
            <w:pPr>
              <w:spacing w:after="40"/>
            </w:pPr>
            <w:r>
              <w:rPr>
                <w:b w:val="0"/>
                <w:color w:val="5A5A5A"/>
                <w:sz w:val="17"/>
              </w:rPr>
              <w:t>D1</w:t>
            </w:r>
          </w:p>
        </w:tc>
        <w:tc>
          <w:tcPr>
            <w:tcW w:type="dxa" w:w="2041"/>
          </w:tcPr>
          <w:p>
            <w:pPr>
              <w:spacing w:after="40"/>
            </w:pPr>
            <w:r>
              <w:rPr>
                <w:b w:val="0"/>
                <w:sz w:val="18"/>
              </w:rPr>
              <w:t>What is the role of an AI Governance Steering Committee?</w:t>
            </w:r>
          </w:p>
        </w:tc>
        <w:tc>
          <w:tcPr>
            <w:tcW w:type="dxa" w:w="4195"/>
          </w:tcPr>
          <w:p>
            <w:pPr>
              <w:spacing w:after="40"/>
            </w:pPr>
            <w:r>
              <w:rPr>
                <w:b w:val="0"/>
                <w:sz w:val="18"/>
              </w:rPr>
              <w:t>An internal cross-functional executive body chartered with formal decision rights to approve AI policies, stage-gate releases, prioritize resources and align risk tolerance. Exact mandates depend on the organization's governance charter and delegated decision rights.</w:t>
            </w:r>
          </w:p>
          <w:p>
            <w:pPr>
              <w:spacing w:after="40"/>
            </w:pPr>
            <w:r>
              <w:rPr>
                <w:b w:val="0"/>
                <w:color w:val="787878"/>
                <w:sz w:val="16"/>
              </w:rPr>
              <w:t>（267 字；原卡 696 字）</w:t>
            </w:r>
          </w:p>
        </w:tc>
        <w:tc>
          <w:tcPr>
            <w:tcW w:type="dxa" w:w="1814"/>
          </w:tcPr>
          <w:p>
            <w:pPr>
              <w:spacing w:after="40"/>
            </w:pPr>
            <w:r>
              <w:rPr>
                <w:b w:val="0"/>
                <w:sz w:val="18"/>
              </w:rPr>
              <w:t>A steering committee decides; check its actual authority in the charter.</w:t>
            </w:r>
          </w:p>
        </w:tc>
        <w:tc>
          <w:tcPr>
            <w:tcW w:type="dxa" w:w="2041"/>
          </w:tcPr>
          <w:p>
            <w:pPr>
              <w:spacing w:after="40"/>
            </w:pPr>
            <w:r>
              <w:rPr>
                <w:b w:val="0"/>
                <w:sz w:val="17"/>
              </w:rPr>
              <w:t>NIST AI RMF 1.0 GOVERN 1.2, 2.1 &amp; 3.1; IIA Three Lines Model (2020) Principles 2 &amp; 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fc-09</w:t>
            </w:r>
          </w:p>
          <w:p>
            <w:pPr>
              <w:spacing w:after="40"/>
            </w:pPr>
            <w:r>
              <w:rPr>
                <w:b w:val="0"/>
                <w:sz w:val="17"/>
              </w:rPr>
              <w:t>AI Literacy &amp; Workforce Competence</w:t>
            </w:r>
          </w:p>
          <w:p>
            <w:pPr>
              <w:spacing w:after="40"/>
            </w:pPr>
            <w:r>
              <w:rPr>
                <w:b w:val="0"/>
                <w:color w:val="5A5A5A"/>
                <w:sz w:val="17"/>
              </w:rPr>
              <w:t>D1</w:t>
            </w:r>
          </w:p>
        </w:tc>
        <w:tc>
          <w:tcPr>
            <w:tcW w:type="dxa" w:w="2041"/>
          </w:tcPr>
          <w:p>
            <w:pPr>
              <w:spacing w:after="40"/>
            </w:pPr>
            <w:r>
              <w:rPr>
                <w:b w:val="0"/>
                <w:sz w:val="18"/>
              </w:rPr>
              <w:t>How do the EU AI Act and ISO/IEC 42001 address organizational AI literacy and workforce competence?</w:t>
            </w:r>
          </w:p>
        </w:tc>
        <w:tc>
          <w:tcPr>
            <w:tcW w:type="dxa" w:w="4195"/>
          </w:tcPr>
          <w:p>
            <w:pPr>
              <w:spacing w:after="40"/>
            </w:pPr>
            <w:r>
              <w:rPr>
                <w:b w:val="0"/>
                <w:sz w:val="18"/>
              </w:rPr>
              <w:t>EU AI Act Art. 4: providers and deployers must take measures to support AI literacy among staff and others who operate or use AI on their behalf, taking into account their knowledge, experience, training, the deployment context and who is affected. ISO/IEC 42001 separately sets voluntary AIMS competence requirements for personnel who affect AI performance.</w:t>
            </w:r>
          </w:p>
          <w:p>
            <w:pPr>
              <w:spacing w:after="40"/>
            </w:pPr>
            <w:r>
              <w:rPr>
                <w:b w:val="0"/>
                <w:color w:val="787878"/>
                <w:sz w:val="16"/>
              </w:rPr>
              <w:t>（358 字；原卡 536 字）</w:t>
            </w:r>
          </w:p>
        </w:tc>
        <w:tc>
          <w:tcPr>
            <w:tcW w:type="dxa" w:w="1814"/>
          </w:tcPr>
          <w:p>
            <w:pPr>
              <w:spacing w:after="40"/>
            </w:pPr>
            <w:r>
              <w:rPr>
                <w:b w:val="0"/>
                <w:sz w:val="18"/>
              </w:rPr>
              <w:t>Art. 4 is a statutory literacy duty; ISO/IEC 42001 competence requirements are voluntary.</w:t>
            </w:r>
          </w:p>
        </w:tc>
        <w:tc>
          <w:tcPr>
            <w:tcW w:type="dxa" w:w="2041"/>
          </w:tcPr>
          <w:p>
            <w:pPr>
              <w:spacing w:after="40"/>
            </w:pPr>
            <w:r>
              <w:rPr>
                <w:b w:val="0"/>
                <w:sz w:val="17"/>
              </w:rPr>
              <w:t>Regulation (EU) 2024/1689 (EU AI Act) Art. 4; ISO/IEC 42001:2023 (verify competence clause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fc-10</w:t>
            </w:r>
          </w:p>
          <w:p>
            <w:pPr>
              <w:spacing w:after="40"/>
            </w:pPr>
            <w:r>
              <w:rPr>
                <w:b w:val="0"/>
                <w:sz w:val="17"/>
              </w:rPr>
              <w:t>AI Whistleblowing &amp; Safe Harbor Channels</w:t>
            </w:r>
          </w:p>
          <w:p>
            <w:pPr>
              <w:spacing w:after="40"/>
            </w:pPr>
            <w:r>
              <w:rPr>
                <w:b w:val="0"/>
                <w:color w:val="5A5A5A"/>
                <w:sz w:val="17"/>
              </w:rPr>
              <w:t>D1</w:t>
            </w:r>
          </w:p>
        </w:tc>
        <w:tc>
          <w:tcPr>
            <w:tcW w:type="dxa" w:w="2041"/>
          </w:tcPr>
          <w:p>
            <w:pPr>
              <w:spacing w:after="40"/>
            </w:pPr>
            <w:r>
              <w:rPr>
                <w:b w:val="0"/>
                <w:sz w:val="18"/>
              </w:rPr>
              <w:t>Why should AI governance frameworks establish dedicated ethical reporting and safe harbor channels?</w:t>
            </w:r>
          </w:p>
        </w:tc>
        <w:tc>
          <w:tcPr>
            <w:tcW w:type="dxa" w:w="4195"/>
          </w:tcPr>
          <w:p>
            <w:pPr>
              <w:spacing w:after="40"/>
            </w:pPr>
            <w:r>
              <w:rPr>
                <w:b w:val="0"/>
                <w:sz w:val="18"/>
              </w:rPr>
              <w:t>Dedicated reporting and anti-retaliation ('safe harbor') channels let engineers, data scientists and staff escalate suspected algorithmic harms, safety flaws, bias or control failures early. These internal channels support timely remediation and operate alongside, never restricting, required regulatory notifications or legally protected external whistleblowing.</w:t>
            </w:r>
          </w:p>
          <w:p>
            <w:pPr>
              <w:spacing w:after="40"/>
            </w:pPr>
            <w:r>
              <w:rPr>
                <w:b w:val="0"/>
                <w:color w:val="787878"/>
                <w:sz w:val="16"/>
              </w:rPr>
              <w:t>（363 字；原卡 447 字）</w:t>
            </w:r>
          </w:p>
          <w:p>
            <w:pPr>
              <w:spacing w:after="40"/>
            </w:pPr>
            <w:r>
              <w:rPr>
                <w:b/>
                <w:color w:val="C00000"/>
                <w:sz w:val="17"/>
              </w:rPr>
              <w:t>⚑ Directive 2019/1937 与 AI Act 第 87 条的对应关系，我没有原文可核。</w:t>
            </w:r>
          </w:p>
        </w:tc>
        <w:tc>
          <w:tcPr>
            <w:tcW w:type="dxa" w:w="1814"/>
          </w:tcPr>
          <w:p>
            <w:pPr>
              <w:spacing w:after="40"/>
            </w:pPr>
            <w:r>
              <w:rPr>
                <w:b w:val="0"/>
                <w:sz w:val="18"/>
              </w:rPr>
              <w:t>Internal escalation with anti-retaliation protection strengthens risk culture and preserves legal reporting rights.</w:t>
            </w:r>
          </w:p>
        </w:tc>
        <w:tc>
          <w:tcPr>
            <w:tcW w:type="dxa" w:w="2041"/>
          </w:tcPr>
          <w:p>
            <w:pPr>
              <w:spacing w:after="40"/>
            </w:pPr>
            <w:r>
              <w:rPr>
                <w:b w:val="0"/>
                <w:sz w:val="17"/>
              </w:rPr>
              <w:t>Directive (EU) 2019/1937 (Whistleblower Directive); Regulation (EU) 2024/1689 (EU AI Act) Art. 87.</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fc-11</w:t>
            </w:r>
          </w:p>
          <w:p>
            <w:pPr>
              <w:spacing w:after="40"/>
            </w:pPr>
            <w:r>
              <w:rPr>
                <w:b w:val="0"/>
                <w:sz w:val="17"/>
              </w:rPr>
              <w:t>Model Cards &amp; AI Asset Inventory</w:t>
            </w:r>
          </w:p>
          <w:p>
            <w:pPr>
              <w:spacing w:after="40"/>
            </w:pPr>
            <w:r>
              <w:rPr>
                <w:b w:val="0"/>
                <w:color w:val="5A5A5A"/>
                <w:sz w:val="17"/>
              </w:rPr>
              <w:t>D2</w:t>
            </w:r>
          </w:p>
        </w:tc>
        <w:tc>
          <w:tcPr>
            <w:tcW w:type="dxa" w:w="2041"/>
          </w:tcPr>
          <w:p>
            <w:pPr>
              <w:spacing w:after="40"/>
            </w:pPr>
            <w:r>
              <w:rPr>
                <w:b w:val="0"/>
                <w:sz w:val="18"/>
              </w:rPr>
              <w:t>Why are Model Cards used in AI asset governance?</w:t>
            </w:r>
          </w:p>
        </w:tc>
        <w:tc>
          <w:tcPr>
            <w:tcW w:type="dxa" w:w="4195"/>
          </w:tcPr>
          <w:p>
            <w:pPr>
              <w:spacing w:after="40"/>
            </w:pPr>
            <w:r>
              <w:rPr>
                <w:b w:val="0"/>
                <w:sz w:val="18"/>
              </w:rPr>
              <w:t>Proposed by Mitchell et al. (2019), Model Cards give standardized transparency and accountability information that supplements the AI asset inventory. They record purpose, limitations, evaluation results and ownership, so decision-makers can judge whether and how a model may be used.</w:t>
            </w:r>
          </w:p>
          <w:p>
            <w:pPr>
              <w:spacing w:after="40"/>
            </w:pPr>
            <w:r>
              <w:rPr>
                <w:b w:val="0"/>
                <w:color w:val="787878"/>
                <w:sz w:val="16"/>
              </w:rPr>
              <w:t>（284 字；原卡 572 字）</w:t>
            </w:r>
          </w:p>
        </w:tc>
        <w:tc>
          <w:tcPr>
            <w:tcW w:type="dxa" w:w="1814"/>
          </w:tcPr>
          <w:p>
            <w:pPr>
              <w:spacing w:after="40"/>
            </w:pPr>
            <w:r>
              <w:rPr>
                <w:b w:val="0"/>
                <w:sz w:val="18"/>
              </w:rPr>
              <w:t>An inventory lists models; model cards describe what each is for and where it falls short.</w:t>
            </w:r>
          </w:p>
        </w:tc>
        <w:tc>
          <w:tcPr>
            <w:tcW w:type="dxa" w:w="2041"/>
          </w:tcPr>
          <w:p>
            <w:pPr>
              <w:spacing w:after="40"/>
            </w:pPr>
            <w:r>
              <w:rPr>
                <w:b w:val="0"/>
                <w:sz w:val="17"/>
              </w:rPr>
              <w:t>Mitchell et al., 'Model Cards for Model Reporting' (arXiv:1810.03993); NIST AI RMF 1.0 GOVERN 1.6, MAP 1.1 &amp; MEASURE 2.8; ISO/IEC 42001:2023 (verify inventory/documentation clauses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fc-12</w:t>
            </w:r>
          </w:p>
          <w:p>
            <w:pPr>
              <w:spacing w:after="40"/>
            </w:pPr>
            <w:r>
              <w:rPr>
                <w:b w:val="0"/>
                <w:sz w:val="17"/>
              </w:rPr>
              <w:t>Data Drift vs. Concept Drift</w:t>
            </w:r>
          </w:p>
          <w:p>
            <w:pPr>
              <w:spacing w:after="40"/>
            </w:pPr>
            <w:r>
              <w:rPr>
                <w:b w:val="0"/>
                <w:color w:val="5A5A5A"/>
                <w:sz w:val="17"/>
              </w:rPr>
              <w:t>D3</w:t>
            </w:r>
          </w:p>
        </w:tc>
        <w:tc>
          <w:tcPr>
            <w:tcW w:type="dxa" w:w="2041"/>
          </w:tcPr>
          <w:p>
            <w:pPr>
              <w:spacing w:after="40"/>
            </w:pPr>
            <w:r>
              <w:rPr>
                <w:b w:val="0"/>
                <w:sz w:val="18"/>
              </w:rPr>
              <w:t>What is the fundamental difference between Data Drift and Concept Drift?</w:t>
            </w:r>
          </w:p>
        </w:tc>
        <w:tc>
          <w:tcPr>
            <w:tcW w:type="dxa" w:w="4195"/>
          </w:tcPr>
          <w:p>
            <w:pPr>
              <w:spacing w:after="40"/>
            </w:pPr>
            <w:r>
              <w:rPr>
                <w:b w:val="0"/>
                <w:sz w:val="18"/>
              </w:rPr>
              <w:t>1. Data Drift (Covariate Shift): Changes in the statistical distribution of input features P(X), such as shifts in customer demographics or user prompt language patterns over time.</w:t>
              <w:br/>
              <w:t>2. Concept Drift: Changes in the underlying statistical relationship between input features and target labels P(Y|X), such as fraudsters altering tactics so previously benign transactions now represent fraud.</w:t>
            </w:r>
          </w:p>
          <w:p>
            <w:pPr>
              <w:spacing w:after="40"/>
            </w:pPr>
            <w:r>
              <w:rPr>
                <w:b w:val="0"/>
                <w:color w:val="787878"/>
                <w:sz w:val="16"/>
              </w:rPr>
              <w:t>（389 字；原卡 389 字）</w:t>
            </w:r>
          </w:p>
          <w:p>
            <w:pPr>
              <w:spacing w:after="40"/>
            </w:pPr>
            <w:r>
              <w:rPr>
                <w:b/>
                <w:color w:val="C00000"/>
                <w:sz w:val="17"/>
              </w:rPr>
              <w:t>⚑ 来源 Gama 等 2014（ACM Computing Surveys）凭记忆写，未核对原文；这是 10-14 复核里的"待补证"项。</w:t>
            </w:r>
          </w:p>
        </w:tc>
        <w:tc>
          <w:tcPr>
            <w:tcW w:type="dxa" w:w="1814"/>
          </w:tcPr>
          <w:p>
            <w:pPr>
              <w:spacing w:after="40"/>
            </w:pPr>
            <w:r>
              <w:rPr>
                <w:b w:val="0"/>
                <w:sz w:val="18"/>
              </w:rPr>
              <w:t>Data drift monitors the input distribution; concept drift monitors the input-to-outcome relationship.</w:t>
            </w:r>
          </w:p>
        </w:tc>
        <w:tc>
          <w:tcPr>
            <w:tcW w:type="dxa" w:w="2041"/>
          </w:tcPr>
          <w:p>
            <w:pPr>
              <w:spacing w:after="40"/>
            </w:pPr>
            <w:r>
              <w:rPr>
                <w:b w:val="0"/>
                <w:sz w:val="17"/>
              </w:rPr>
              <w:t>General machine-learning literature on dataset shift and concept drift (e.g., Gama et al., 'A survey on concept drift adaptation', ACM Computing Surveys, 2014).</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fc-13</w:t>
            </w:r>
          </w:p>
          <w:p>
            <w:pPr>
              <w:spacing w:after="40"/>
            </w:pPr>
            <w:r>
              <w:rPr>
                <w:b w:val="0"/>
                <w:sz w:val="17"/>
              </w:rPr>
              <w:t>Proxy Discrimination</w:t>
            </w:r>
          </w:p>
          <w:p>
            <w:pPr>
              <w:spacing w:after="40"/>
            </w:pPr>
            <w:r>
              <w:rPr>
                <w:b w:val="0"/>
                <w:color w:val="5A5A5A"/>
                <w:sz w:val="17"/>
              </w:rPr>
              <w:t>D2</w:t>
            </w:r>
          </w:p>
        </w:tc>
        <w:tc>
          <w:tcPr>
            <w:tcW w:type="dxa" w:w="2041"/>
          </w:tcPr>
          <w:p>
            <w:pPr>
              <w:spacing w:after="40"/>
            </w:pPr>
            <w:r>
              <w:rPr>
                <w:b w:val="0"/>
                <w:sz w:val="18"/>
              </w:rPr>
              <w:t>What is proxy discrimination in AI?</w:t>
            </w:r>
          </w:p>
        </w:tc>
        <w:tc>
          <w:tcPr>
            <w:tcW w:type="dxa" w:w="4195"/>
          </w:tcPr>
          <w:p>
            <w:pPr>
              <w:spacing w:after="40"/>
            </w:pPr>
            <w:r>
              <w:rPr>
                <w:b w:val="0"/>
                <w:sz w:val="18"/>
              </w:rPr>
              <w:t>Proxy discrimination occurs when an AI system learns to discriminate on protected characteristics (e.g., race, gender, religion) through neutral correlated variables (e.g., zip code, alma mater, browsing patterns), even when the protected attributes are excluded from training data.</w:t>
            </w:r>
          </w:p>
          <w:p>
            <w:pPr>
              <w:spacing w:after="40"/>
            </w:pPr>
            <w:r>
              <w:rPr>
                <w:b w:val="0"/>
                <w:color w:val="787878"/>
                <w:sz w:val="16"/>
              </w:rPr>
              <w:t>（282 字；原卡 308 字）</w:t>
            </w:r>
          </w:p>
        </w:tc>
        <w:tc>
          <w:tcPr>
            <w:tcW w:type="dxa" w:w="1814"/>
          </w:tcPr>
          <w:p>
            <w:pPr>
              <w:spacing w:after="40"/>
            </w:pPr>
            <w:r>
              <w:rPr>
                <w:b w:val="0"/>
                <w:sz w:val="18"/>
              </w:rPr>
              <w:t>Excluding protected attributes does not prevent proxy discrimination.</w:t>
            </w:r>
          </w:p>
        </w:tc>
        <w:tc>
          <w:tcPr>
            <w:tcW w:type="dxa" w:w="2041"/>
          </w:tcPr>
          <w:p>
            <w:pPr>
              <w:spacing w:after="40"/>
            </w:pPr>
            <w:r>
              <w:rPr>
                <w:b w:val="0"/>
                <w:sz w:val="17"/>
              </w:rPr>
              <w:t>NIST AI RMF MEASURE 2.11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fc-14</w:t>
            </w:r>
          </w:p>
          <w:p>
            <w:pPr>
              <w:spacing w:after="40"/>
            </w:pPr>
            <w:r>
              <w:rPr>
                <w:b w:val="0"/>
                <w:sz w:val="17"/>
              </w:rPr>
              <w:t>Data Provenance &amp; Lineage Tracking</w:t>
            </w:r>
          </w:p>
          <w:p>
            <w:pPr>
              <w:spacing w:after="40"/>
            </w:pPr>
            <w:r>
              <w:rPr>
                <w:b w:val="0"/>
                <w:color w:val="5A5A5A"/>
                <w:sz w:val="17"/>
              </w:rPr>
              <w:t>D2</w:t>
            </w:r>
          </w:p>
        </w:tc>
        <w:tc>
          <w:tcPr>
            <w:tcW w:type="dxa" w:w="2041"/>
          </w:tcPr>
          <w:p>
            <w:pPr>
              <w:spacing w:after="40"/>
            </w:pPr>
            <w:r>
              <w:rPr>
                <w:b w:val="0"/>
                <w:sz w:val="18"/>
              </w:rPr>
              <w:t>Why is trustworthy data provenance and lineage tracking critical for AI governance and regulatory audits?</w:t>
            </w:r>
          </w:p>
        </w:tc>
        <w:tc>
          <w:tcPr>
            <w:tcW w:type="dxa" w:w="4195"/>
          </w:tcPr>
          <w:p>
            <w:pPr>
              <w:spacing w:after="40"/>
            </w:pPr>
            <w:r>
              <w:rPr>
                <w:b w:val="0"/>
                <w:sz w:val="18"/>
              </w:rPr>
              <w:t>Provenance and lineage document the data's lifecycle: origin, collection context, legal basis or licensing, preprocessing and synthetic augmentation. Proportionate, verifiable lineage supports auditability, copyright and data-governance compliance, poisoning investigations and GDPR Art. 17 erasure, while metadata retention follows privacy and deletion duties.</w:t>
            </w:r>
          </w:p>
          <w:p>
            <w:pPr>
              <w:spacing w:after="40"/>
            </w:pPr>
            <w:r>
              <w:rPr>
                <w:b w:val="0"/>
                <w:color w:val="787878"/>
                <w:sz w:val="16"/>
              </w:rPr>
              <w:t>（361 字；原卡 519 字）</w:t>
            </w:r>
          </w:p>
        </w:tc>
        <w:tc>
          <w:tcPr>
            <w:tcW w:type="dxa" w:w="1814"/>
          </w:tcPr>
          <w:p>
            <w:pPr>
              <w:spacing w:after="40"/>
            </w:pPr>
            <w:r>
              <w:rPr>
                <w:b w:val="0"/>
                <w:sz w:val="18"/>
              </w:rPr>
              <w:t>Lineage lets an organization verify data permissions and investigate data issues, in proportion to risk.</w:t>
            </w:r>
          </w:p>
        </w:tc>
        <w:tc>
          <w:tcPr>
            <w:tcW w:type="dxa" w:w="2041"/>
          </w:tcPr>
          <w:p>
            <w:pPr>
              <w:spacing w:after="40"/>
            </w:pPr>
            <w:r>
              <w:rPr>
                <w:b w:val="0"/>
                <w:sz w:val="17"/>
              </w:rPr>
              <w:t>GDPR Arts. 5(2) &amp; 17; NIST AI RMF 1.0 MAP 2.3; ISO/IEC 42001:2023 (verify data management clauses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fc-15</w:t>
            </w:r>
          </w:p>
          <w:p>
            <w:pPr>
              <w:spacing w:after="40"/>
            </w:pPr>
            <w:r>
              <w:rPr>
                <w:b w:val="0"/>
                <w:sz w:val="17"/>
              </w:rPr>
              <w:t>Synthetic Data Governance</w:t>
            </w:r>
          </w:p>
          <w:p>
            <w:pPr>
              <w:spacing w:after="40"/>
            </w:pPr>
            <w:r>
              <w:rPr>
                <w:b w:val="0"/>
                <w:color w:val="5A5A5A"/>
                <w:sz w:val="17"/>
              </w:rPr>
              <w:t>D2</w:t>
            </w:r>
          </w:p>
        </w:tc>
        <w:tc>
          <w:tcPr>
            <w:tcW w:type="dxa" w:w="2041"/>
          </w:tcPr>
          <w:p>
            <w:pPr>
              <w:spacing w:after="40"/>
            </w:pPr>
            <w:r>
              <w:rPr>
                <w:b w:val="0"/>
                <w:sz w:val="18"/>
              </w:rPr>
              <w:t>What key risks must be managed when utilizing synthetic data for AI model development?</w:t>
            </w:r>
          </w:p>
        </w:tc>
        <w:tc>
          <w:tcPr>
            <w:tcW w:type="dxa" w:w="4195"/>
          </w:tcPr>
          <w:p>
            <w:pPr>
              <w:spacing w:after="40"/>
            </w:pPr>
            <w:r>
              <w:rPr>
                <w:b w:val="0"/>
                <w:sz w:val="18"/>
              </w:rPr>
              <w:t>1. Model collapse (conditional): repeatedly training on uncurated synthetic outputs without real data degrades quality and erodes tail distributions. 2. Bias and artifact amplification: generator biases and gaps propagate downstream. 3. Residual privacy leakage: synthetic data is not automatically anonymous; poorly regularized generators can memorize PII or be open to membership inference.</w:t>
            </w:r>
          </w:p>
          <w:p>
            <w:pPr>
              <w:spacing w:after="40"/>
            </w:pPr>
            <w:r>
              <w:rPr>
                <w:b w:val="0"/>
                <w:color w:val="787878"/>
                <w:sz w:val="16"/>
              </w:rPr>
              <w:t>（392 字；原卡 610 字）</w:t>
            </w:r>
          </w:p>
          <w:p>
            <w:pPr>
              <w:spacing w:after="40"/>
            </w:pPr>
            <w:r>
              <w:rPr>
                <w:b/>
                <w:color w:val="C00000"/>
                <w:sz w:val="17"/>
              </w:rPr>
              <w:t>⚑ 缩短而非拆分；请确认缩短后没有丢掉关键限定。</w:t>
            </w:r>
          </w:p>
        </w:tc>
        <w:tc>
          <w:tcPr>
            <w:tcW w:type="dxa" w:w="1814"/>
          </w:tcPr>
          <w:p>
            <w:pPr>
              <w:spacing w:after="40"/>
            </w:pPr>
            <w:r>
              <w:rPr>
                <w:b w:val="0"/>
                <w:sz w:val="18"/>
              </w:rPr>
              <w:t>Validate fidelity, bias and privacy leakage; never assume synthetic data is risk-free.</w:t>
            </w:r>
          </w:p>
        </w:tc>
        <w:tc>
          <w:tcPr>
            <w:tcW w:type="dxa" w:w="2041"/>
          </w:tcPr>
          <w:p>
            <w:pPr>
              <w:spacing w:after="40"/>
            </w:pPr>
            <w:r>
              <w:rPr>
                <w:b w:val="0"/>
                <w:sz w:val="17"/>
              </w:rPr>
              <w:t>Shumailov et al. (arXiv:2305.17493); NIST AI 600-1; ISO/IEC 23894 (verify standard text).</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fc-16</w:t>
            </w:r>
          </w:p>
          <w:p>
            <w:pPr>
              <w:spacing w:after="40"/>
            </w:pPr>
            <w:r>
              <w:rPr>
                <w:b w:val="0"/>
                <w:sz w:val="17"/>
              </w:rPr>
              <w:t>Datasheets for Datasets</w:t>
            </w:r>
          </w:p>
          <w:p>
            <w:pPr>
              <w:spacing w:after="40"/>
            </w:pPr>
            <w:r>
              <w:rPr>
                <w:b w:val="0"/>
                <w:color w:val="5A5A5A"/>
                <w:sz w:val="17"/>
              </w:rPr>
              <w:t>D2</w:t>
            </w:r>
          </w:p>
        </w:tc>
        <w:tc>
          <w:tcPr>
            <w:tcW w:type="dxa" w:w="2041"/>
          </w:tcPr>
          <w:p>
            <w:pPr>
              <w:spacing w:after="40"/>
            </w:pPr>
            <w:r>
              <w:rPr>
                <w:b w:val="0"/>
                <w:sz w:val="18"/>
              </w:rPr>
              <w:t>What is a "Datasheet for Datasets"?</w:t>
            </w:r>
          </w:p>
        </w:tc>
        <w:tc>
          <w:tcPr>
            <w:tcW w:type="dxa" w:w="4195"/>
          </w:tcPr>
          <w:p>
            <w:pPr>
              <w:spacing w:after="40"/>
            </w:pPr>
            <w:r>
              <w:rPr>
                <w:b w:val="0"/>
                <w:sz w:val="18"/>
              </w:rPr>
              <w:t>Proposed by Gebru et al., a standardized transparency document that records seven lifecycle areas of a dataset: motivation, composition, collection process, preprocessing/cleaning/labeling, intended and non-intended uses, distribution, and maintenance.</w:t>
            </w:r>
          </w:p>
          <w:p>
            <w:pPr>
              <w:spacing w:after="40"/>
            </w:pPr>
            <w:r>
              <w:rPr>
                <w:b w:val="0"/>
                <w:color w:val="787878"/>
                <w:sz w:val="16"/>
              </w:rPr>
              <w:t>（252 字；原卡 588 字）</w:t>
            </w:r>
          </w:p>
        </w:tc>
        <w:tc>
          <w:tcPr>
            <w:tcW w:type="dxa" w:w="1814"/>
          </w:tcPr>
          <w:p>
            <w:pPr>
              <w:spacing w:after="40"/>
            </w:pPr>
            <w:r>
              <w:rPr>
                <w:b w:val="0"/>
                <w:sz w:val="18"/>
              </w:rPr>
              <w:t>A datasheet documents a dataset's motivation, composition, collection, processing, uses, distribution and upkeep.</w:t>
            </w:r>
          </w:p>
        </w:tc>
        <w:tc>
          <w:tcPr>
            <w:tcW w:type="dxa" w:w="2041"/>
          </w:tcPr>
          <w:p>
            <w:pPr>
              <w:spacing w:after="40"/>
            </w:pPr>
            <w:r>
              <w:rPr>
                <w:b w:val="0"/>
                <w:sz w:val="17"/>
              </w:rPr>
              <w:t>Gebru et al., 'Datasheets for Datasets' (arXiv:1803.09010); NIST AI RMF 1.0 MAP 2.3.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fc-17</w:t>
            </w:r>
          </w:p>
          <w:p>
            <w:pPr>
              <w:spacing w:after="40"/>
            </w:pPr>
            <w:r>
              <w:rPr>
                <w:b w:val="0"/>
                <w:sz w:val="17"/>
              </w:rPr>
              <w:t>Differential Privacy</w:t>
            </w:r>
          </w:p>
          <w:p>
            <w:pPr>
              <w:spacing w:after="40"/>
            </w:pPr>
            <w:r>
              <w:rPr>
                <w:b w:val="0"/>
                <w:color w:val="5A5A5A"/>
                <w:sz w:val="17"/>
              </w:rPr>
              <w:t>D2</w:t>
            </w:r>
          </w:p>
        </w:tc>
        <w:tc>
          <w:tcPr>
            <w:tcW w:type="dxa" w:w="2041"/>
          </w:tcPr>
          <w:p>
            <w:pPr>
              <w:spacing w:after="40"/>
            </w:pPr>
            <w:r>
              <w:rPr>
                <w:b w:val="0"/>
                <w:sz w:val="18"/>
              </w:rPr>
              <w:t>What is Differential Privacy (DP)?</w:t>
            </w:r>
          </w:p>
        </w:tc>
        <w:tc>
          <w:tcPr>
            <w:tcW w:type="dxa" w:w="4195"/>
          </w:tcPr>
          <w:p>
            <w:pPr>
              <w:spacing w:after="40"/>
            </w:pPr>
            <w:r>
              <w:rPr>
                <w:b w:val="0"/>
                <w:sz w:val="18"/>
              </w:rPr>
              <w:t>DP adds mathematically calibrated noise (e.g., Laplace or Gaussian mechanisms, or DP-SGD during training) to bound how much an algorithm's output can change when any one individual's data is added, changed or removed.</w:t>
            </w:r>
          </w:p>
          <w:p>
            <w:pPr>
              <w:spacing w:after="40"/>
            </w:pPr>
            <w:r>
              <w:rPr>
                <w:b w:val="0"/>
                <w:color w:val="787878"/>
                <w:sz w:val="16"/>
              </w:rPr>
              <w:t>（217 字；原卡 575 字）</w:t>
            </w:r>
          </w:p>
        </w:tc>
        <w:tc>
          <w:tcPr>
            <w:tcW w:type="dxa" w:w="1814"/>
          </w:tcPr>
          <w:p>
            <w:pPr>
              <w:spacing w:after="40"/>
            </w:pPr>
            <w:r>
              <w:rPr>
                <w:b w:val="0"/>
                <w:sz w:val="18"/>
              </w:rPr>
              <w:t>Differential privacy bounds how much any one person's data can change the output.</w:t>
            </w:r>
          </w:p>
        </w:tc>
        <w:tc>
          <w:tcPr>
            <w:tcW w:type="dxa" w:w="2041"/>
          </w:tcPr>
          <w:p>
            <w:pPr>
              <w:spacing w:after="40"/>
            </w:pPr>
            <w:r>
              <w:rPr>
                <w:b w:val="0"/>
                <w:sz w:val="17"/>
              </w:rPr>
              <w:t>NIST SP 800-226 (Guidelines for Evaluating Differential Privacy Guarantees); NIST AI RMF 1.0 MEASURE 2.10.</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fc-18</w:t>
            </w:r>
          </w:p>
          <w:p>
            <w:pPr>
              <w:spacing w:after="40"/>
            </w:pPr>
            <w:r>
              <w:rPr>
                <w:b w:val="0"/>
                <w:sz w:val="17"/>
              </w:rPr>
              <w:t>Vector Database: access control</w:t>
            </w:r>
          </w:p>
          <w:p>
            <w:pPr>
              <w:spacing w:after="40"/>
            </w:pPr>
            <w:r>
              <w:rPr>
                <w:b w:val="0"/>
                <w:color w:val="5A5A5A"/>
                <w:sz w:val="17"/>
              </w:rPr>
              <w:t>D2</w:t>
            </w:r>
          </w:p>
        </w:tc>
        <w:tc>
          <w:tcPr>
            <w:tcW w:type="dxa" w:w="2041"/>
          </w:tcPr>
          <w:p>
            <w:pPr>
              <w:spacing w:after="40"/>
            </w:pPr>
            <w:r>
              <w:rPr>
                <w:b w:val="0"/>
                <w:sz w:val="18"/>
              </w:rPr>
              <w:t>How should access be controlled in an enterprise RAG vector database?</w:t>
            </w:r>
          </w:p>
        </w:tc>
        <w:tc>
          <w:tcPr>
            <w:tcW w:type="dxa" w:w="4195"/>
          </w:tcPr>
          <w:p>
            <w:pPr>
              <w:spacing w:after="40"/>
            </w:pPr>
            <w:r>
              <w:rPr>
                <w:b w:val="0"/>
                <w:sz w:val="18"/>
              </w:rPr>
              <w:t>Enforce authorization-aware retrieval: apply source-system access-control lists (ACLs) or role or tenant filtering at query time, so users retrieve only the chunks they are authorized to view.</w:t>
            </w:r>
          </w:p>
          <w:p>
            <w:pPr>
              <w:spacing w:after="40"/>
            </w:pPr>
            <w:r>
              <w:rPr>
                <w:b w:val="0"/>
                <w:color w:val="787878"/>
                <w:sz w:val="16"/>
              </w:rPr>
              <w:t>（192 字；原卡 672 字）</w:t>
            </w:r>
          </w:p>
        </w:tc>
        <w:tc>
          <w:tcPr>
            <w:tcW w:type="dxa" w:w="1814"/>
          </w:tcPr>
          <w:p>
            <w:pPr>
              <w:spacing w:after="40"/>
            </w:pPr>
            <w:r>
              <w:rPr>
                <w:b w:val="0"/>
                <w:sz w:val="18"/>
              </w:rPr>
              <w:t>Enforce source-system permissions at query time so users only retrieve what they may see.</w:t>
            </w:r>
          </w:p>
        </w:tc>
        <w:tc>
          <w:tcPr>
            <w:tcW w:type="dxa" w:w="2041"/>
          </w:tcPr>
          <w:p>
            <w:pPr>
              <w:spacing w:after="40"/>
            </w:pPr>
            <w:r>
              <w:rPr>
                <w:b w:val="0"/>
                <w:sz w:val="17"/>
              </w:rPr>
              <w:t>NIST SP 800-218 &amp; SP 800-218A; NIST AI 600-1; GDPR Arts. 5 &amp; 17 (where personal data is processed).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fc-19</w:t>
            </w:r>
          </w:p>
          <w:p>
            <w:pPr>
              <w:spacing w:after="40"/>
            </w:pPr>
            <w:r>
              <w:rPr>
                <w:b w:val="0"/>
                <w:sz w:val="17"/>
              </w:rPr>
              <w:t>Disparate Impact vs. Disparate Treatment</w:t>
            </w:r>
          </w:p>
          <w:p>
            <w:pPr>
              <w:spacing w:after="40"/>
            </w:pPr>
            <w:r>
              <w:rPr>
                <w:b w:val="0"/>
                <w:color w:val="5A5A5A"/>
                <w:sz w:val="17"/>
              </w:rPr>
              <w:t>D2</w:t>
            </w:r>
          </w:p>
          <w:p>
            <w:pPr>
              <w:spacing w:after="40"/>
            </w:pPr>
            <w:r>
              <w:rPr>
                <w:b/>
                <w:color w:val="C05000"/>
                <w:sz w:val="17"/>
              </w:rPr>
              <w:t>US-specific</w:t>
            </w:r>
          </w:p>
        </w:tc>
        <w:tc>
          <w:tcPr>
            <w:tcW w:type="dxa" w:w="2041"/>
          </w:tcPr>
          <w:p>
            <w:pPr>
              <w:spacing w:after="40"/>
            </w:pPr>
            <w:r>
              <w:rPr>
                <w:b w:val="0"/>
                <w:sz w:val="18"/>
              </w:rPr>
              <w:t>How do "Disparate Treatment" and "Disparate Impact" differ in US-based AI compliance?</w:t>
            </w:r>
          </w:p>
        </w:tc>
        <w:tc>
          <w:tcPr>
            <w:tcW w:type="dxa" w:w="4195"/>
          </w:tcPr>
          <w:p>
            <w:pPr>
              <w:spacing w:after="40"/>
            </w:pPr>
            <w:r>
              <w:rPr>
                <w:b w:val="0"/>
                <w:sz w:val="18"/>
              </w:rPr>
              <w:t>Disparate treatment: intentional differential treatment based on protected status. Disparate impact: an ostensibly neutral practice that disproportionately disadvantages a protected group, subject to the applicable legal test (EU law: indirect discrimination). The US Four-Fifths Rule (29 CFR § 1607.4(D)) is only a screening rule of thumb.</w:t>
            </w:r>
          </w:p>
          <w:p>
            <w:pPr>
              <w:spacing w:after="40"/>
            </w:pPr>
            <w:r>
              <w:rPr>
                <w:b w:val="0"/>
                <w:color w:val="787878"/>
                <w:sz w:val="16"/>
              </w:rPr>
              <w:t>（340 字；原卡 473 字）</w:t>
            </w:r>
          </w:p>
          <w:p>
            <w:pPr>
              <w:spacing w:after="40"/>
            </w:pPr>
            <w:r>
              <w:rPr>
                <w:b/>
                <w:color w:val="C00000"/>
                <w:sz w:val="17"/>
              </w:rPr>
              <w:t>⚑ 要点不再含欧盟间接歧视说明（移入背面括号），请确认背面仍准确；"US-specific"标签是否合适。</w:t>
            </w:r>
          </w:p>
        </w:tc>
        <w:tc>
          <w:tcPr>
            <w:tcW w:type="dxa" w:w="1814"/>
          </w:tcPr>
          <w:p>
            <w:pPr>
              <w:spacing w:after="40"/>
            </w:pPr>
            <w:r>
              <w:rPr>
                <w:b w:val="0"/>
                <w:sz w:val="18"/>
              </w:rPr>
              <w:t>Lack of intent is no defense to disparate impact, but a justified, job-related practice may be defended.</w:t>
            </w:r>
          </w:p>
        </w:tc>
        <w:tc>
          <w:tcPr>
            <w:tcW w:type="dxa" w:w="2041"/>
          </w:tcPr>
          <w:p>
            <w:pPr>
              <w:spacing w:after="40"/>
            </w:pPr>
            <w:r>
              <w:rPr>
                <w:b w:val="0"/>
                <w:sz w:val="17"/>
              </w:rPr>
              <w:t>US Title VII (42 U.S.C. § 2000e-2(k)) &amp; 29 CFR § 1607.4(D); EU Non-Discrimination Directives &amp; EU AI Act Art. 10.</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fc-20</w:t>
            </w:r>
          </w:p>
          <w:p>
            <w:pPr>
              <w:spacing w:after="40"/>
            </w:pPr>
            <w:r>
              <w:rPr>
                <w:b w:val="0"/>
                <w:sz w:val="17"/>
              </w:rPr>
              <w:t>Data Minimization: prompts</w:t>
            </w:r>
          </w:p>
          <w:p>
            <w:pPr>
              <w:spacing w:after="40"/>
            </w:pPr>
            <w:r>
              <w:rPr>
                <w:b w:val="0"/>
                <w:color w:val="5A5A5A"/>
                <w:sz w:val="17"/>
              </w:rPr>
              <w:t>D2</w:t>
            </w:r>
          </w:p>
        </w:tc>
        <w:tc>
          <w:tcPr>
            <w:tcW w:type="dxa" w:w="2041"/>
          </w:tcPr>
          <w:p>
            <w:pPr>
              <w:spacing w:after="40"/>
            </w:pPr>
            <w:r>
              <w:rPr>
                <w:b w:val="0"/>
                <w:sz w:val="18"/>
              </w:rPr>
              <w:t>How does data minimization apply to the personal data in prompts?</w:t>
            </w:r>
          </w:p>
        </w:tc>
        <w:tc>
          <w:tcPr>
            <w:tcW w:type="dxa" w:w="4195"/>
          </w:tcPr>
          <w:p>
            <w:pPr>
              <w:spacing w:after="40"/>
            </w:pPr>
            <w:r>
              <w:rPr>
                <w:b w:val="0"/>
                <w:sz w:val="18"/>
              </w:rPr>
              <w:t>GDPR Art. 5(1)(c) requires personal data to be adequate, relevant and limited to what is necessary for the purpose. For prompts: strip or mask unnecessary direct identifiers (e.g., SSNs, contact details), or pseudonymize them, before model invocation when identity is not needed for the task.</w:t>
            </w:r>
          </w:p>
          <w:p>
            <w:pPr>
              <w:spacing w:after="40"/>
            </w:pPr>
            <w:r>
              <w:rPr>
                <w:b w:val="0"/>
                <w:color w:val="787878"/>
                <w:sz w:val="16"/>
              </w:rPr>
              <w:t>（292 字；原卡 789 字）</w:t>
            </w:r>
          </w:p>
        </w:tc>
        <w:tc>
          <w:tcPr>
            <w:tcW w:type="dxa" w:w="1814"/>
          </w:tcPr>
          <w:p>
            <w:pPr>
              <w:spacing w:after="40"/>
            </w:pPr>
            <w:r>
              <w:rPr>
                <w:b w:val="0"/>
                <w:sz w:val="18"/>
              </w:rPr>
              <w:t>Remove or mask identifiers from prompts unless the task needs them.</w:t>
            </w:r>
          </w:p>
        </w:tc>
        <w:tc>
          <w:tcPr>
            <w:tcW w:type="dxa" w:w="2041"/>
          </w:tcPr>
          <w:p>
            <w:pPr>
              <w:spacing w:after="40"/>
            </w:pPr>
            <w:r>
              <w:rPr>
                <w:b w:val="0"/>
                <w:sz w:val="17"/>
              </w:rPr>
              <w:t>GDPR Art. 5(1)(c) &amp; Art. 25; NIST AI 600-1; ISO/IEC 42001:2023 (verify Annex A data controls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fc-21</w:t>
            </w:r>
          </w:p>
          <w:p>
            <w:pPr>
              <w:spacing w:after="40"/>
            </w:pPr>
            <w:r>
              <w:rPr>
                <w:b w:val="0"/>
                <w:sz w:val="17"/>
              </w:rPr>
              <w:t>Buy vs. Build: data rights</w:t>
            </w:r>
          </w:p>
          <w:p>
            <w:pPr>
              <w:spacing w:after="40"/>
            </w:pPr>
            <w:r>
              <w:rPr>
                <w:b w:val="0"/>
                <w:color w:val="5A5A5A"/>
                <w:sz w:val="17"/>
              </w:rPr>
              <w:t>D3</w:t>
            </w:r>
          </w:p>
        </w:tc>
        <w:tc>
          <w:tcPr>
            <w:tcW w:type="dxa" w:w="2041"/>
          </w:tcPr>
          <w:p>
            <w:pPr>
              <w:spacing w:after="40"/>
            </w:pPr>
            <w:r>
              <w:rPr>
                <w:b w:val="0"/>
                <w:sz w:val="18"/>
              </w:rPr>
              <w:t>What data and confidentiality terms matter when buying a third-party AI model?</w:t>
            </w:r>
          </w:p>
        </w:tc>
        <w:tc>
          <w:tcPr>
            <w:tcW w:type="dxa" w:w="4195"/>
          </w:tcPr>
          <w:p>
            <w:pPr>
              <w:spacing w:after="40"/>
            </w:pPr>
            <w:r>
              <w:rPr>
                <w:b w:val="0"/>
                <w:sz w:val="18"/>
              </w:rPr>
              <w:t>Contractual prohibitions on the vendor retaining or reusing enterprise prompts and data for its own model training, together with data residency controls.</w:t>
            </w:r>
          </w:p>
          <w:p>
            <w:pPr>
              <w:spacing w:after="40"/>
            </w:pPr>
            <w:r>
              <w:rPr>
                <w:b w:val="0"/>
                <w:color w:val="787878"/>
                <w:sz w:val="16"/>
              </w:rPr>
              <w:t>（154 字；原卡 1075 字）</w:t>
            </w:r>
          </w:p>
        </w:tc>
        <w:tc>
          <w:tcPr>
            <w:tcW w:type="dxa" w:w="1814"/>
          </w:tcPr>
          <w:p>
            <w:pPr>
              <w:spacing w:after="40"/>
            </w:pPr>
            <w:r>
              <w:rPr>
                <w:b w:val="0"/>
                <w:sz w:val="18"/>
              </w:rPr>
              <w:t>Buying a model must not mean giving away rights to your prompts and data.</w:t>
            </w:r>
          </w:p>
        </w:tc>
        <w:tc>
          <w:tcPr>
            <w:tcW w:type="dxa" w:w="2041"/>
          </w:tcPr>
          <w:p>
            <w:pPr>
              <w:spacing w:after="40"/>
            </w:pPr>
            <w:r>
              <w:rPr>
                <w:b w:val="0"/>
                <w:sz w:val="17"/>
              </w:rPr>
              <w:t>NIST AI RMF 1.0 GOVERN 6.1, GOVERN 6.2 &amp; MAP 4.1; NIST AI 600-1.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fc-22</w:t>
            </w:r>
          </w:p>
          <w:p>
            <w:pPr>
              <w:spacing w:after="40"/>
            </w:pPr>
            <w:r>
              <w:rPr>
                <w:b w:val="0"/>
                <w:sz w:val="17"/>
              </w:rPr>
              <w:t>Explainability: contestability</w:t>
            </w:r>
          </w:p>
          <w:p>
            <w:pPr>
              <w:spacing w:after="40"/>
            </w:pPr>
            <w:r>
              <w:rPr>
                <w:b w:val="0"/>
                <w:color w:val="5A5A5A"/>
                <w:sz w:val="17"/>
              </w:rPr>
              <w:t>D3</w:t>
            </w:r>
          </w:p>
        </w:tc>
        <w:tc>
          <w:tcPr>
            <w:tcW w:type="dxa" w:w="2041"/>
          </w:tcPr>
          <w:p>
            <w:pPr>
              <w:spacing w:after="40"/>
            </w:pPr>
            <w:r>
              <w:rPr>
                <w:b w:val="0"/>
                <w:sz w:val="18"/>
              </w:rPr>
              <w:t>Why must affected individuals be able to obtain explanations and challenge high-impact AI decisions?</w:t>
            </w:r>
          </w:p>
        </w:tc>
        <w:tc>
          <w:tcPr>
            <w:tcW w:type="dxa" w:w="4195"/>
          </w:tcPr>
          <w:p>
            <w:pPr>
              <w:spacing w:after="40"/>
            </w:pPr>
            <w:r>
              <w:rPr>
                <w:b w:val="0"/>
                <w:sz w:val="18"/>
              </w:rPr>
              <w:t>Where applicable law requires it, affected individuals must get clear, meaningful explanations or appeal routes (e.g., EU AI Act Art. 86 for specified Annex III high-risk decisions with legal or similarly significant adverse effects). Without transparency they cannot contest the decision.</w:t>
            </w:r>
          </w:p>
          <w:p>
            <w:pPr>
              <w:spacing w:after="40"/>
            </w:pPr>
            <w:r>
              <w:rPr>
                <w:b w:val="0"/>
                <w:color w:val="787878"/>
                <w:sz w:val="16"/>
              </w:rPr>
              <w:t>（289 字；原卡 801 字）</w:t>
            </w:r>
          </w:p>
        </w:tc>
        <w:tc>
          <w:tcPr>
            <w:tcW w:type="dxa" w:w="1814"/>
          </w:tcPr>
          <w:p>
            <w:pPr>
              <w:spacing w:after="40"/>
            </w:pPr>
            <w:r>
              <w:rPr>
                <w:b w:val="0"/>
                <w:sz w:val="18"/>
              </w:rPr>
              <w:t>Art. 86 gives qualified individuals a right to explanation for specified high-risk decisions.</w:t>
            </w:r>
          </w:p>
        </w:tc>
        <w:tc>
          <w:tcPr>
            <w:tcW w:type="dxa" w:w="2041"/>
          </w:tcPr>
          <w:p>
            <w:pPr>
              <w:spacing w:after="40"/>
            </w:pPr>
            <w:r>
              <w:rPr>
                <w:b w:val="0"/>
                <w:sz w:val="17"/>
              </w:rPr>
              <w:t>Regulation (EU) 2024/1689 (EU AI Act) Art. 13 &amp; Art. 86; NIST AI RMF 1.0 MEASURE 2.8 &amp; 2.9.</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fc-23</w:t>
            </w:r>
          </w:p>
          <w:p>
            <w:pPr>
              <w:spacing w:after="40"/>
            </w:pPr>
            <w:r>
              <w:rPr>
                <w:b w:val="0"/>
                <w:sz w:val="17"/>
              </w:rPr>
              <w:t>Model Retraining: assessment</w:t>
            </w:r>
          </w:p>
          <w:p>
            <w:pPr>
              <w:spacing w:after="40"/>
            </w:pPr>
            <w:r>
              <w:rPr>
                <w:b w:val="0"/>
                <w:color w:val="5A5A5A"/>
                <w:sz w:val="17"/>
              </w:rPr>
              <w:t>D3</w:t>
            </w:r>
          </w:p>
        </w:tc>
        <w:tc>
          <w:tcPr>
            <w:tcW w:type="dxa" w:w="2041"/>
          </w:tcPr>
          <w:p>
            <w:pPr>
              <w:spacing w:after="40"/>
            </w:pPr>
            <w:r>
              <w:rPr>
                <w:b w:val="0"/>
                <w:sz w:val="18"/>
              </w:rPr>
              <w:t>What should be assessed before a retrained model goes into production?</w:t>
            </w:r>
          </w:p>
        </w:tc>
        <w:tc>
          <w:tcPr>
            <w:tcW w:type="dxa" w:w="4195"/>
          </w:tcPr>
          <w:p>
            <w:pPr>
              <w:spacing w:after="40"/>
            </w:pPr>
            <w:r>
              <w:rPr>
                <w:b w:val="0"/>
                <w:sz w:val="18"/>
              </w:rPr>
              <w:t>1. Impact and trigger analysis: drift causes, data lineage, and whether the update falls within predetermined change parameters or is a 'substantial modification' (EU AI Act Art. 43(4): a new conformity assessment). 2. Pre-deployment validation: regression testing of performance, robustness, security and fairness baselines.</w:t>
            </w:r>
          </w:p>
          <w:p>
            <w:pPr>
              <w:spacing w:after="40"/>
            </w:pPr>
            <w:r>
              <w:rPr>
                <w:b w:val="0"/>
                <w:color w:val="787878"/>
                <w:sz w:val="16"/>
              </w:rPr>
              <w:t>（325 字；原卡 757 字）</w:t>
            </w:r>
          </w:p>
        </w:tc>
        <w:tc>
          <w:tcPr>
            <w:tcW w:type="dxa" w:w="1814"/>
          </w:tcPr>
          <w:p>
            <w:pPr>
              <w:spacing w:after="40"/>
            </w:pPr>
            <w:r>
              <w:rPr>
                <w:b w:val="0"/>
                <w:sz w:val="18"/>
              </w:rPr>
              <w:t>Check whether retraining is a substantial modification, then validate against baselines.</w:t>
            </w:r>
          </w:p>
        </w:tc>
        <w:tc>
          <w:tcPr>
            <w:tcW w:type="dxa" w:w="2041"/>
          </w:tcPr>
          <w:p>
            <w:pPr>
              <w:spacing w:after="40"/>
            </w:pPr>
            <w:r>
              <w:rPr>
                <w:b w:val="0"/>
                <w:sz w:val="17"/>
              </w:rPr>
              <w:t>Regulation (EU) 2024/1689 (EU AI Act) Art. 43(4); ISO/IEC 42001:2023 &amp; COBIT BAI06 (verify exact standard clauses against licensed texts).</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fc-24</w:t>
            </w:r>
          </w:p>
          <w:p>
            <w:pPr>
              <w:spacing w:after="40"/>
            </w:pPr>
            <w:r>
              <w:rPr>
                <w:b w:val="0"/>
                <w:sz w:val="17"/>
              </w:rPr>
              <w:t>Circuit Breakers &amp; AI Kill Switches</w:t>
            </w:r>
          </w:p>
          <w:p>
            <w:pPr>
              <w:spacing w:after="40"/>
            </w:pPr>
            <w:r>
              <w:rPr>
                <w:b w:val="0"/>
                <w:color w:val="5A5A5A"/>
                <w:sz w:val="17"/>
              </w:rPr>
              <w:t>D3</w:t>
            </w:r>
          </w:p>
        </w:tc>
        <w:tc>
          <w:tcPr>
            <w:tcW w:type="dxa" w:w="2041"/>
          </w:tcPr>
          <w:p>
            <w:pPr>
              <w:spacing w:after="40"/>
            </w:pPr>
            <w:r>
              <w:rPr>
                <w:b w:val="0"/>
                <w:sz w:val="18"/>
              </w:rPr>
              <w:t>What is an AI "Circuit Breaker" or "Kill Switch"?</w:t>
            </w:r>
          </w:p>
        </w:tc>
        <w:tc>
          <w:tcPr>
            <w:tcW w:type="dxa" w:w="4195"/>
          </w:tcPr>
          <w:p>
            <w:pPr>
              <w:spacing w:after="40"/>
            </w:pPr>
            <w:r>
              <w:rPr>
                <w:b w:val="0"/>
                <w:sz w:val="18"/>
              </w:rPr>
              <w:t>An automated or manual containment control that halts or throttles model inference, rerouting transactions to deterministic fallback rules or human reviewers when anomalies or harm occur.</w:t>
            </w:r>
          </w:p>
          <w:p>
            <w:pPr>
              <w:spacing w:after="40"/>
            </w:pPr>
            <w:r>
              <w:rPr>
                <w:b w:val="0"/>
                <w:color w:val="787878"/>
                <w:sz w:val="16"/>
              </w:rPr>
              <w:t>（187 字；原卡 371 字）</w:t>
            </w:r>
          </w:p>
        </w:tc>
        <w:tc>
          <w:tcPr>
            <w:tcW w:type="dxa" w:w="1814"/>
          </w:tcPr>
          <w:p>
            <w:pPr>
              <w:spacing w:after="40"/>
            </w:pPr>
            <w:r>
              <w:rPr>
                <w:b w:val="0"/>
                <w:sz w:val="18"/>
              </w:rPr>
              <w:t>A circuit breaker stops or limits an AI system and hands work to a fallback.</w:t>
            </w:r>
          </w:p>
        </w:tc>
        <w:tc>
          <w:tcPr>
            <w:tcW w:type="dxa" w:w="2041"/>
          </w:tcPr>
          <w:p>
            <w:pPr>
              <w:spacing w:after="40"/>
            </w:pPr>
            <w:r>
              <w:rPr>
                <w:b w:val="0"/>
                <w:sz w:val="17"/>
              </w:rPr>
              <w:t>NIST AI RMF MANAGE 2.4</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fc-25</w:t>
            </w:r>
          </w:p>
          <w:p>
            <w:pPr>
              <w:spacing w:after="40"/>
            </w:pPr>
            <w:r>
              <w:rPr>
                <w:b w:val="0"/>
                <w:sz w:val="17"/>
              </w:rPr>
              <w:t>Human-in-the-Loop (HITL)</w:t>
            </w:r>
          </w:p>
          <w:p>
            <w:pPr>
              <w:spacing w:after="40"/>
            </w:pPr>
            <w:r>
              <w:rPr>
                <w:b w:val="0"/>
                <w:color w:val="5A5A5A"/>
                <w:sz w:val="17"/>
              </w:rPr>
              <w:t>D3</w:t>
            </w:r>
          </w:p>
        </w:tc>
        <w:tc>
          <w:tcPr>
            <w:tcW w:type="dxa" w:w="2041"/>
          </w:tcPr>
          <w:p>
            <w:pPr>
              <w:spacing w:after="40"/>
            </w:pPr>
            <w:r>
              <w:rPr>
                <w:b w:val="0"/>
                <w:sz w:val="18"/>
              </w:rPr>
              <w:t>What is Human-in-the-Loop (HITL) oversight?</w:t>
            </w:r>
          </w:p>
        </w:tc>
        <w:tc>
          <w:tcPr>
            <w:tcW w:type="dxa" w:w="4195"/>
          </w:tcPr>
          <w:p>
            <w:pPr>
              <w:spacing w:after="40"/>
            </w:pPr>
            <w:r>
              <w:rPr>
                <w:b w:val="0"/>
                <w:sz w:val="18"/>
              </w:rPr>
              <w:t>A human participates in or approves decisions before they are executed. Reviewing individual outputs adds latency, and effectiveness depends on reviewer competence, authority and process design. HITL is an operational pattern, not a statutory category.</w:t>
            </w:r>
          </w:p>
          <w:p>
            <w:pPr>
              <w:spacing w:after="40"/>
            </w:pPr>
            <w:r>
              <w:rPr>
                <w:b w:val="0"/>
                <w:color w:val="787878"/>
                <w:sz w:val="16"/>
              </w:rPr>
              <w:t>（252 字；原卡 638 字）</w:t>
            </w:r>
          </w:p>
        </w:tc>
        <w:tc>
          <w:tcPr>
            <w:tcW w:type="dxa" w:w="1814"/>
          </w:tcPr>
          <w:p>
            <w:pPr>
              <w:spacing w:after="40"/>
            </w:pPr>
            <w:r>
              <w:rPr>
                <w:b w:val="0"/>
                <w:sz w:val="18"/>
              </w:rPr>
              <w:t>HITL means a human approves before execution, which adds latency.</w:t>
            </w:r>
          </w:p>
        </w:tc>
        <w:tc>
          <w:tcPr>
            <w:tcW w:type="dxa" w:w="2041"/>
          </w:tcPr>
          <w:p>
            <w:pPr>
              <w:spacing w:after="40"/>
            </w:pPr>
            <w:r>
              <w:rPr>
                <w:b w:val="0"/>
                <w:sz w:val="17"/>
              </w:rPr>
              <w:t>Regulation (EU) 2024/1689 (EU AI Act) Art. 14; NIST AI RMF 1.0 GOVERN 2.1.</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fc-26</w:t>
            </w:r>
          </w:p>
          <w:p>
            <w:pPr>
              <w:spacing w:after="40"/>
            </w:pPr>
            <w:r>
              <w:rPr>
                <w:b w:val="0"/>
                <w:sz w:val="17"/>
              </w:rPr>
              <w:t>Automation Bias</w:t>
            </w:r>
          </w:p>
          <w:p>
            <w:pPr>
              <w:spacing w:after="40"/>
            </w:pPr>
            <w:r>
              <w:rPr>
                <w:b w:val="0"/>
                <w:color w:val="5A5A5A"/>
                <w:sz w:val="17"/>
              </w:rPr>
              <w:t>D3</w:t>
            </w:r>
          </w:p>
        </w:tc>
        <w:tc>
          <w:tcPr>
            <w:tcW w:type="dxa" w:w="2041"/>
          </w:tcPr>
          <w:p>
            <w:pPr>
              <w:spacing w:after="40"/>
            </w:pPr>
            <w:r>
              <w:rPr>
                <w:b w:val="0"/>
                <w:sz w:val="18"/>
              </w:rPr>
              <w:t>What is automation bias?</w:t>
            </w:r>
          </w:p>
        </w:tc>
        <w:tc>
          <w:tcPr>
            <w:tcW w:type="dxa" w:w="4195"/>
          </w:tcPr>
          <w:p>
            <w:pPr>
              <w:spacing w:after="40"/>
            </w:pPr>
            <w:r>
              <w:rPr>
                <w:b w:val="0"/>
                <w:sz w:val="18"/>
              </w:rPr>
              <w:t>Automation bias is the human tendency to over-rely on, or uncritically accept, automated AI outputs.</w:t>
            </w:r>
          </w:p>
          <w:p>
            <w:pPr>
              <w:spacing w:after="40"/>
            </w:pPr>
            <w:r>
              <w:rPr>
                <w:b w:val="0"/>
                <w:color w:val="787878"/>
                <w:sz w:val="16"/>
              </w:rPr>
              <w:t>（100 字；原卡 768 字）</w:t>
            </w:r>
          </w:p>
          <w:p>
            <w:pPr>
              <w:spacing w:after="40"/>
            </w:pPr>
            <w:r>
              <w:rPr>
                <w:b/>
                <w:color w:val="C00000"/>
                <w:sz w:val="17"/>
              </w:rPr>
              <w:t>⚑ 第一张只保留"什么是自动化偏见"的定义；第 14(4)(b) 条和第 26(2) 条的引用请核对。</w:t>
            </w:r>
          </w:p>
        </w:tc>
        <w:tc>
          <w:tcPr>
            <w:tcW w:type="dxa" w:w="1814"/>
          </w:tcPr>
          <w:p>
            <w:pPr>
              <w:spacing w:after="40"/>
            </w:pPr>
            <w:r>
              <w:rPr>
                <w:b w:val="0"/>
                <w:sz w:val="18"/>
              </w:rPr>
              <w:t>Automation bias is over-reliance on AI outputs by human reviewers.</w:t>
            </w:r>
          </w:p>
        </w:tc>
        <w:tc>
          <w:tcPr>
            <w:tcW w:type="dxa" w:w="2041"/>
          </w:tcPr>
          <w:p>
            <w:pPr>
              <w:spacing w:after="40"/>
            </w:pPr>
            <w:r>
              <w:rPr>
                <w:b w:val="0"/>
                <w:sz w:val="17"/>
              </w:rPr>
              <w:t>Regulation (EU) 2024/1689 (EU AI Act) Art. 14 &amp; Art. 26(2).</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fc-27</w:t>
            </w:r>
          </w:p>
          <w:p>
            <w:pPr>
              <w:spacing w:after="40"/>
            </w:pPr>
            <w:r>
              <w:rPr>
                <w:b w:val="0"/>
                <w:sz w:val="17"/>
              </w:rPr>
              <w:t>AI Total Cost of Ownership (TCO)</w:t>
            </w:r>
          </w:p>
          <w:p>
            <w:pPr>
              <w:spacing w:after="40"/>
            </w:pPr>
            <w:r>
              <w:rPr>
                <w:b w:val="0"/>
                <w:color w:val="5A5A5A"/>
                <w:sz w:val="17"/>
              </w:rPr>
              <w:t>D3</w:t>
            </w:r>
          </w:p>
        </w:tc>
        <w:tc>
          <w:tcPr>
            <w:tcW w:type="dxa" w:w="2041"/>
          </w:tcPr>
          <w:p>
            <w:pPr>
              <w:spacing w:after="40"/>
            </w:pPr>
            <w:r>
              <w:rPr>
                <w:b w:val="0"/>
                <w:sz w:val="18"/>
              </w:rPr>
              <w:t>What often-overlooked lifecycle cost components must be included in enterprise AI TCO calculations?</w:t>
            </w:r>
          </w:p>
        </w:tc>
        <w:tc>
          <w:tcPr>
            <w:tcW w:type="dxa" w:w="4195"/>
          </w:tcPr>
          <w:p>
            <w:pPr>
              <w:spacing w:after="40"/>
            </w:pPr>
            <w:r>
              <w:rPr>
                <w:b w:val="0"/>
                <w:sz w:val="18"/>
              </w:rPr>
              <w:t>Beyond initial licensing, development and inference compute, include: 1) continuous monitoring, telemetry and drift-detection infrastructure; 2) data curation, fine-tuning and retraining labor; 3) security hardening, guardrail upkeep and red-teaming; 4) governance, legal review, conformity and impact assessments and audits; 5) vendor switching, decommissioning and migration costs.</w:t>
            </w:r>
          </w:p>
          <w:p>
            <w:pPr>
              <w:spacing w:after="40"/>
            </w:pPr>
            <w:r>
              <w:rPr>
                <w:b w:val="0"/>
                <w:color w:val="787878"/>
                <w:sz w:val="16"/>
              </w:rPr>
              <w:t>（383 字；原卡 515 字）</w:t>
            </w:r>
          </w:p>
        </w:tc>
        <w:tc>
          <w:tcPr>
            <w:tcW w:type="dxa" w:w="1814"/>
          </w:tcPr>
          <w:p>
            <w:pPr>
              <w:spacing w:after="40"/>
            </w:pPr>
            <w:r>
              <w:rPr>
                <w:b w:val="0"/>
                <w:sz w:val="18"/>
              </w:rPr>
              <w:t>Budget for monitoring, retraining, security, compliance and exit, not just compute and licences.</w:t>
            </w:r>
          </w:p>
        </w:tc>
        <w:tc>
          <w:tcPr>
            <w:tcW w:type="dxa" w:w="2041"/>
          </w:tcPr>
          <w:p>
            <w:pPr>
              <w:spacing w:after="40"/>
            </w:pPr>
            <w:r>
              <w:rPr>
                <w:b w:val="0"/>
                <w:sz w:val="17"/>
              </w:rPr>
              <w:t>NIST AI RMF 1.0 MAP 1.3; COBIT 2019 BAI03 / ISO/IEC 42001:2023 (verify standard references against licensed texts).</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fc-29</w:t>
            </w:r>
          </w:p>
          <w:p>
            <w:pPr>
              <w:spacing w:after="40"/>
            </w:pPr>
            <w:r>
              <w:rPr>
                <w:b w:val="0"/>
                <w:sz w:val="17"/>
              </w:rPr>
              <w:t>Hallucination Mitigation: technical controls</w:t>
            </w:r>
          </w:p>
          <w:p>
            <w:pPr>
              <w:spacing w:after="40"/>
            </w:pPr>
            <w:r>
              <w:rPr>
                <w:b w:val="0"/>
                <w:color w:val="5A5A5A"/>
                <w:sz w:val="17"/>
              </w:rPr>
              <w:t>D3</w:t>
            </w:r>
          </w:p>
        </w:tc>
        <w:tc>
          <w:tcPr>
            <w:tcW w:type="dxa" w:w="2041"/>
          </w:tcPr>
          <w:p>
            <w:pPr>
              <w:spacing w:after="40"/>
            </w:pPr>
            <w:r>
              <w:rPr>
                <w:b w:val="0"/>
                <w:sz w:val="18"/>
              </w:rPr>
              <w:t>Which technical controls reduce generative AI hallucination (confabulation)?</w:t>
            </w:r>
          </w:p>
        </w:tc>
        <w:tc>
          <w:tcPr>
            <w:tcW w:type="dxa" w:w="4195"/>
          </w:tcPr>
          <w:p>
            <w:pPr>
              <w:spacing w:after="40"/>
            </w:pPr>
            <w:r>
              <w:rPr>
                <w:b w:val="0"/>
                <w:sz w:val="18"/>
              </w:rPr>
              <w:t>1. Retrieval-augmented generation (RAG) that grounds answers in authoritative, curated repositories. 2. Prompt and decoding constraints, such as requiring verifiable inline citations, allowing abstention when evidence is missing, and using lower sampling temperatures for factual tasks.</w:t>
            </w:r>
          </w:p>
          <w:p>
            <w:pPr>
              <w:spacing w:after="40"/>
            </w:pPr>
            <w:r>
              <w:rPr>
                <w:b w:val="0"/>
                <w:color w:val="787878"/>
                <w:sz w:val="16"/>
              </w:rPr>
              <w:t>（286 字；原卡 622 字）</w:t>
            </w:r>
          </w:p>
        </w:tc>
        <w:tc>
          <w:tcPr>
            <w:tcW w:type="dxa" w:w="1814"/>
          </w:tcPr>
          <w:p>
            <w:pPr>
              <w:spacing w:after="40"/>
            </w:pPr>
            <w:r>
              <w:rPr>
                <w:b w:val="0"/>
                <w:sz w:val="18"/>
              </w:rPr>
              <w:t>Ground answers in curated sources and constrain how the model generates them.</w:t>
            </w:r>
          </w:p>
        </w:tc>
        <w:tc>
          <w:tcPr>
            <w:tcW w:type="dxa" w:w="2041"/>
          </w:tcPr>
          <w:p>
            <w:pPr>
              <w:spacing w:after="40"/>
            </w:pPr>
            <w:r>
              <w:rPr>
                <w:b w:val="0"/>
                <w:sz w:val="17"/>
              </w:rPr>
              <w:t>NIST AI 600-1 (Generative AI Profile, Confabulation); NIST AI RMF 1.0 MEASURE 2.5 &amp; 2.6.</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fc-30</w:t>
            </w:r>
          </w:p>
          <w:p>
            <w:pPr>
              <w:spacing w:after="40"/>
            </w:pPr>
            <w:r>
              <w:rPr>
                <w:b w:val="0"/>
                <w:sz w:val="17"/>
              </w:rPr>
              <w:t>Post-Market Monitoring (Art. 72)</w:t>
            </w:r>
          </w:p>
          <w:p>
            <w:pPr>
              <w:spacing w:after="40"/>
            </w:pPr>
            <w:r>
              <w:rPr>
                <w:b w:val="0"/>
                <w:color w:val="5A5A5A"/>
                <w:sz w:val="17"/>
              </w:rPr>
              <w:t>D3</w:t>
            </w:r>
          </w:p>
        </w:tc>
        <w:tc>
          <w:tcPr>
            <w:tcW w:type="dxa" w:w="2041"/>
          </w:tcPr>
          <w:p>
            <w:pPr>
              <w:spacing w:after="40"/>
            </w:pPr>
            <w:r>
              <w:rPr>
                <w:b w:val="0"/>
                <w:sz w:val="18"/>
              </w:rPr>
              <w:t>What does EU AI Act Article 72 require of providers once a high-risk system is on the market?</w:t>
            </w:r>
          </w:p>
        </w:tc>
        <w:tc>
          <w:tcPr>
            <w:tcW w:type="dxa" w:w="4195"/>
          </w:tcPr>
          <w:p>
            <w:pPr>
              <w:spacing w:after="40"/>
            </w:pPr>
            <w:r>
              <w:rPr>
                <w:b w:val="0"/>
                <w:sz w:val="18"/>
              </w:rPr>
              <w:t>Providers must establish and document a proportionate post-market monitoring system, based on a monitoring plan in the Annex IV technical documentation, to actively and systematically collect, document and analyze data (including deployer-supplied data) on performance over the system's lifetime and continuing compliance.</w:t>
            </w:r>
          </w:p>
          <w:p>
            <w:pPr>
              <w:spacing w:after="40"/>
            </w:pPr>
            <w:r>
              <w:rPr>
                <w:b w:val="0"/>
                <w:color w:val="787878"/>
                <w:sz w:val="16"/>
              </w:rPr>
              <w:t>（322 字；原卡 784 字）</w:t>
            </w:r>
          </w:p>
        </w:tc>
        <w:tc>
          <w:tcPr>
            <w:tcW w:type="dxa" w:w="1814"/>
          </w:tcPr>
          <w:p>
            <w:pPr>
              <w:spacing w:after="40"/>
            </w:pPr>
            <w:r>
              <w:rPr>
                <w:b w:val="0"/>
                <w:sz w:val="18"/>
              </w:rPr>
              <w:t>Providers of high-risk AI must run a documented post-market monitoring system (Art. 72).</w:t>
            </w:r>
          </w:p>
        </w:tc>
        <w:tc>
          <w:tcPr>
            <w:tcW w:type="dxa" w:w="2041"/>
          </w:tcPr>
          <w:p>
            <w:pPr>
              <w:spacing w:after="40"/>
            </w:pPr>
            <w:r>
              <w:rPr>
                <w:b w:val="0"/>
                <w:sz w:val="17"/>
              </w:rPr>
              <w:t>Regulation (EU) 2024/1689 (EU AI Act) Art. 72.</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fc-31</w:t>
            </w:r>
          </w:p>
          <w:p>
            <w:pPr>
              <w:spacing w:after="40"/>
            </w:pPr>
            <w:r>
              <w:rPr>
                <w:b w:val="0"/>
                <w:sz w:val="17"/>
              </w:rPr>
              <w:t>EU AI Act: prohibited practices</w:t>
            </w:r>
          </w:p>
          <w:p>
            <w:pPr>
              <w:spacing w:after="40"/>
            </w:pPr>
            <w:r>
              <w:rPr>
                <w:b w:val="0"/>
                <w:color w:val="5A5A5A"/>
                <w:sz w:val="17"/>
              </w:rPr>
              <w:t>D1 （原 D4）</w:t>
            </w:r>
          </w:p>
        </w:tc>
        <w:tc>
          <w:tcPr>
            <w:tcW w:type="dxa" w:w="2041"/>
          </w:tcPr>
          <w:p>
            <w:pPr>
              <w:spacing w:after="40"/>
            </w:pPr>
            <w:r>
              <w:rPr>
                <w:b w:val="0"/>
                <w:sz w:val="18"/>
              </w:rPr>
              <w:t>Which AI practices does the EU AI Act prohibit?</w:t>
            </w:r>
          </w:p>
        </w:tc>
        <w:tc>
          <w:tcPr>
            <w:tcW w:type="dxa" w:w="4195"/>
          </w:tcPr>
          <w:p>
            <w:pPr>
              <w:spacing w:after="40"/>
            </w:pPr>
            <w:r>
              <w:rPr>
                <w:b w:val="0"/>
                <w:sz w:val="18"/>
              </w:rPr>
              <w:t>Prohibited practices (Art. 5) are unacceptable uses such as social scoring and manipulative or exploitative AI. Law-enforcement real-time remote biometric identification in publicly accessible spaces is also prohibited, subject to narrow statutory exceptions (Art. 5(1)(h)).</w:t>
            </w:r>
          </w:p>
          <w:p>
            <w:pPr>
              <w:spacing w:after="40"/>
            </w:pPr>
            <w:r>
              <w:rPr>
                <w:b w:val="0"/>
                <w:color w:val="787878"/>
                <w:sz w:val="16"/>
              </w:rPr>
              <w:t>（274 字；原卡 1321 字）</w:t>
            </w:r>
          </w:p>
        </w:tc>
        <w:tc>
          <w:tcPr>
            <w:tcW w:type="dxa" w:w="1814"/>
          </w:tcPr>
          <w:p>
            <w:pPr>
              <w:spacing w:after="40"/>
            </w:pPr>
            <w:r>
              <w:rPr>
                <w:b w:val="0"/>
                <w:sz w:val="18"/>
              </w:rPr>
              <w:t>Art. 5 bans unacceptable uses outright, with narrow exceptions.</w:t>
            </w:r>
          </w:p>
        </w:tc>
        <w:tc>
          <w:tcPr>
            <w:tcW w:type="dxa" w:w="2041"/>
          </w:tcPr>
          <w:p>
            <w:pPr>
              <w:spacing w:after="40"/>
            </w:pPr>
            <w:r>
              <w:rPr>
                <w:b w:val="0"/>
                <w:sz w:val="17"/>
              </w:rPr>
              <w:t>Regulation (EU) 2024/1689 (EU AI Act) Art. 5.</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fc-32</w:t>
            </w:r>
          </w:p>
          <w:p>
            <w:pPr>
              <w:spacing w:after="40"/>
            </w:pPr>
            <w:r>
              <w:rPr>
                <w:b w:val="0"/>
                <w:sz w:val="17"/>
              </w:rPr>
              <w:t>ISO/IEC 42001:2023 (AIMS)</w:t>
            </w:r>
          </w:p>
          <w:p>
            <w:pPr>
              <w:spacing w:after="40"/>
            </w:pPr>
            <w:r>
              <w:rPr>
                <w:b w:val="0"/>
                <w:color w:val="5A5A5A"/>
                <w:sz w:val="17"/>
              </w:rPr>
              <w:t>D1 （原 D4）</w:t>
            </w:r>
          </w:p>
        </w:tc>
        <w:tc>
          <w:tcPr>
            <w:tcW w:type="dxa" w:w="2041"/>
          </w:tcPr>
          <w:p>
            <w:pPr>
              <w:spacing w:after="40"/>
            </w:pPr>
            <w:r>
              <w:rPr>
                <w:b w:val="0"/>
                <w:sz w:val="18"/>
              </w:rPr>
              <w:t>What is ISO/IEC 42001?</w:t>
            </w:r>
          </w:p>
        </w:tc>
        <w:tc>
          <w:tcPr>
            <w:tcW w:type="dxa" w:w="4195"/>
          </w:tcPr>
          <w:p>
            <w:pPr>
              <w:spacing w:after="40"/>
            </w:pPr>
            <w:r>
              <w:rPr>
                <w:b w:val="0"/>
                <w:sz w:val="18"/>
              </w:rPr>
              <w:t>The international certifiable standard for an Artificial Intelligence Management System (AIMS), based on the Plan-Do-Check-Act (PDCA) lifecycle.</w:t>
            </w:r>
          </w:p>
          <w:p>
            <w:pPr>
              <w:spacing w:after="40"/>
            </w:pPr>
            <w:r>
              <w:rPr>
                <w:b w:val="0"/>
                <w:color w:val="787878"/>
                <w:sz w:val="16"/>
              </w:rPr>
              <w:t>（144 字；原卡 360 字）</w:t>
            </w:r>
          </w:p>
          <w:p>
            <w:pPr>
              <w:spacing w:after="40"/>
            </w:pPr>
            <w:r>
              <w:rPr>
                <w:b/>
                <w:color w:val="C00000"/>
                <w:sz w:val="17"/>
              </w:rPr>
              <w:t>⚑ ISO/IEC 42001 第 6.1.3 条 SoA 的描述，请对照正版。</w:t>
            </w:r>
          </w:p>
        </w:tc>
        <w:tc>
          <w:tcPr>
            <w:tcW w:type="dxa" w:w="1814"/>
          </w:tcPr>
          <w:p>
            <w:pPr>
              <w:spacing w:after="40"/>
            </w:pPr>
            <w:r>
              <w:rPr>
                <w:b w:val="0"/>
                <w:sz w:val="18"/>
              </w:rPr>
              <w:t>ISO/IEC 42001 is the certifiable AI management system standard.</w:t>
            </w:r>
          </w:p>
        </w:tc>
        <w:tc>
          <w:tcPr>
            <w:tcW w:type="dxa" w:w="2041"/>
          </w:tcPr>
          <w:p>
            <w:pPr>
              <w:spacing w:after="40"/>
            </w:pPr>
            <w:r>
              <w:rPr>
                <w:b w:val="0"/>
                <w:sz w:val="17"/>
              </w:rPr>
              <w:t>ISO/IEC 42001:2023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fc-33</w:t>
            </w:r>
          </w:p>
          <w:p>
            <w:pPr>
              <w:spacing w:after="40"/>
            </w:pPr>
            <w:r>
              <w:rPr>
                <w:b w:val="0"/>
                <w:sz w:val="17"/>
              </w:rPr>
              <w:t>NIST AI RMF 1.0 Core Functions</w:t>
            </w:r>
          </w:p>
          <w:p>
            <w:pPr>
              <w:spacing w:after="40"/>
            </w:pPr>
            <w:r>
              <w:rPr>
                <w:b w:val="0"/>
                <w:color w:val="5A5A5A"/>
                <w:sz w:val="17"/>
              </w:rPr>
              <w:t>D1 （原 D4）</w:t>
            </w:r>
          </w:p>
        </w:tc>
        <w:tc>
          <w:tcPr>
            <w:tcW w:type="dxa" w:w="2041"/>
          </w:tcPr>
          <w:p>
            <w:pPr>
              <w:spacing w:after="40"/>
            </w:pPr>
            <w:r>
              <w:rPr>
                <w:b w:val="0"/>
                <w:sz w:val="18"/>
              </w:rPr>
              <w:t>What are the four core functions of NIST AI RMF 1.0?</w:t>
            </w:r>
          </w:p>
        </w:tc>
        <w:tc>
          <w:tcPr>
            <w:tcW w:type="dxa" w:w="4195"/>
          </w:tcPr>
          <w:p>
            <w:pPr>
              <w:spacing w:after="40"/>
            </w:pPr>
            <w:r>
              <w:rPr>
                <w:b w:val="0"/>
                <w:sz w:val="18"/>
              </w:rPr>
              <w:t>1. GOVERN: establishes risk culture, accountability, policies and workforce competence; 2. MAP: frames context, intended purpose, stakeholders and impacts; 3. MEASURE: analyzes, benchmarks and monitors AI risk and trustworthiness with quantitative, qualitative or mixed methods; 4. MANAGE: allocates resources and plans to prioritize, respond to, recover from and monitor mapped and measured risks.</w:t>
            </w:r>
          </w:p>
          <w:p>
            <w:pPr>
              <w:spacing w:after="40"/>
            </w:pPr>
            <w:r>
              <w:rPr>
                <w:b w:val="0"/>
                <w:color w:val="787878"/>
                <w:sz w:val="16"/>
              </w:rPr>
              <w:t>（398 字；原卡 702 字）</w:t>
            </w:r>
          </w:p>
        </w:tc>
        <w:tc>
          <w:tcPr>
            <w:tcW w:type="dxa" w:w="1814"/>
          </w:tcPr>
          <w:p>
            <w:pPr>
              <w:spacing w:after="40"/>
            </w:pPr>
            <w:r>
              <w:rPr>
                <w:b w:val="0"/>
                <w:sz w:val="18"/>
              </w:rPr>
              <w:t>The four functions are GOVERN, MAP, MEASURE and MANAGE.</w:t>
            </w:r>
          </w:p>
        </w:tc>
        <w:tc>
          <w:tcPr>
            <w:tcW w:type="dxa" w:w="2041"/>
          </w:tcPr>
          <w:p>
            <w:pPr>
              <w:spacing w:after="40"/>
            </w:pPr>
            <w:r>
              <w:rPr>
                <w:b w:val="0"/>
                <w:sz w:val="17"/>
              </w:rPr>
              <w:t>NIST AI 100-1 (AI RMF 1.0), Section 5.</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fc-34</w:t>
            </w:r>
          </w:p>
          <w:p>
            <w:pPr>
              <w:spacing w:after="40"/>
            </w:pPr>
            <w:r>
              <w:rPr>
                <w:b w:val="0"/>
                <w:sz w:val="17"/>
              </w:rPr>
              <w:t>GPAI: baseline obligations (Art. 53)</w:t>
            </w:r>
          </w:p>
          <w:p>
            <w:pPr>
              <w:spacing w:after="40"/>
            </w:pPr>
            <w:r>
              <w:rPr>
                <w:b w:val="0"/>
                <w:color w:val="5A5A5A"/>
                <w:sz w:val="17"/>
              </w:rPr>
              <w:t>D1 （原 D4）</w:t>
            </w:r>
          </w:p>
        </w:tc>
        <w:tc>
          <w:tcPr>
            <w:tcW w:type="dxa" w:w="2041"/>
          </w:tcPr>
          <w:p>
            <w:pPr>
              <w:spacing w:after="40"/>
            </w:pPr>
            <w:r>
              <w:rPr>
                <w:b w:val="0"/>
                <w:sz w:val="18"/>
              </w:rPr>
              <w:t>What obligations apply to all providers of general-purpose AI (GPAI) models under EU AI Act Article 53?</w:t>
            </w:r>
          </w:p>
        </w:tc>
        <w:tc>
          <w:tcPr>
            <w:tcW w:type="dxa" w:w="4195"/>
          </w:tcPr>
          <w:p>
            <w:pPr>
              <w:spacing w:after="40"/>
            </w:pPr>
            <w:r>
              <w:rPr>
                <w:b w:val="0"/>
                <w:sz w:val="18"/>
              </w:rPr>
              <w:t>Providers must keep technical documentation (Annex XI, including known or estimated energy consumption) for the AI Office and national authorities, give information to downstream providers (Annex XII), set a copyright-compliance policy (including TDM opt-outs, Directive (EU) 2019/790 Art. 4(3)), and publish a sufficiently detailed summary of training content.</w:t>
            </w:r>
          </w:p>
          <w:p>
            <w:pPr>
              <w:spacing w:after="40"/>
            </w:pPr>
            <w:r>
              <w:rPr>
                <w:b w:val="0"/>
                <w:color w:val="787878"/>
                <w:sz w:val="16"/>
              </w:rPr>
              <w:t>（361 字；原卡 1142 字）</w:t>
            </w:r>
          </w:p>
          <w:p>
            <w:pPr>
              <w:spacing w:after="40"/>
            </w:pPr>
            <w:r>
              <w:rPr>
                <w:b/>
                <w:color w:val="C00000"/>
                <w:sz w:val="17"/>
              </w:rPr>
              <w:t>⚑ 第 53、55 条与 10^25 FLOPs 阈值，请核对。</w:t>
            </w:r>
          </w:p>
        </w:tc>
        <w:tc>
          <w:tcPr>
            <w:tcW w:type="dxa" w:w="1814"/>
          </w:tcPr>
          <w:p>
            <w:pPr>
              <w:spacing w:after="40"/>
            </w:pPr>
            <w:r>
              <w:rPr>
                <w:b w:val="0"/>
                <w:sz w:val="18"/>
              </w:rPr>
              <w:t>Open-source non-systemic models are exempt only from the Art. 53(1)(a)–(b) documentation duties.</w:t>
            </w:r>
          </w:p>
        </w:tc>
        <w:tc>
          <w:tcPr>
            <w:tcW w:type="dxa" w:w="2041"/>
          </w:tcPr>
          <w:p>
            <w:pPr>
              <w:spacing w:after="40"/>
            </w:pPr>
            <w:r>
              <w:rPr>
                <w:b w:val="0"/>
                <w:sz w:val="17"/>
              </w:rPr>
              <w:t>Regulation (EU) 2024/1689 (EU AI Act) Arts. 51–55.</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fc-35</w:t>
            </w:r>
          </w:p>
          <w:p>
            <w:pPr>
              <w:spacing w:after="40"/>
            </w:pPr>
            <w:r>
              <w:rPr>
                <w:b w:val="0"/>
                <w:sz w:val="17"/>
              </w:rPr>
              <w:t>Third-party AI due diligence: assurance</w:t>
            </w:r>
          </w:p>
          <w:p>
            <w:pPr>
              <w:spacing w:after="40"/>
            </w:pPr>
            <w:r>
              <w:rPr>
                <w:b w:val="0"/>
                <w:color w:val="5A5A5A"/>
                <w:sz w:val="17"/>
              </w:rPr>
              <w:t>D3 （原 D4）</w:t>
            </w:r>
          </w:p>
        </w:tc>
        <w:tc>
          <w:tcPr>
            <w:tcW w:type="dxa" w:w="2041"/>
          </w:tcPr>
          <w:p>
            <w:pPr>
              <w:spacing w:after="40"/>
            </w:pPr>
            <w:r>
              <w:rPr>
                <w:b w:val="0"/>
                <w:sz w:val="18"/>
              </w:rPr>
              <w:t>What assurance evidence should be reviewed before onboarding a third-party AI vendor?</w:t>
            </w:r>
          </w:p>
        </w:tc>
        <w:tc>
          <w:tcPr>
            <w:tcW w:type="dxa" w:w="4195"/>
          </w:tcPr>
          <w:p>
            <w:pPr>
              <w:spacing w:after="40"/>
            </w:pPr>
            <w:r>
              <w:rPr>
                <w:b w:val="0"/>
                <w:sz w:val="18"/>
              </w:rPr>
              <w:t>Review independent security and AI governance assurance evidence proportionate to the risk tier, e.g., SOC 2 Type II, ISO/IEC 27001 or 42001 certifications, model cards and red-team or evaluation reports.</w:t>
            </w:r>
          </w:p>
          <w:p>
            <w:pPr>
              <w:spacing w:after="40"/>
            </w:pPr>
            <w:r>
              <w:rPr>
                <w:b w:val="0"/>
                <w:color w:val="787878"/>
                <w:sz w:val="16"/>
              </w:rPr>
              <w:t>（204 字；原卡 726 字）</w:t>
            </w:r>
          </w:p>
        </w:tc>
        <w:tc>
          <w:tcPr>
            <w:tcW w:type="dxa" w:w="1814"/>
          </w:tcPr>
          <w:p>
            <w:pPr>
              <w:spacing w:after="40"/>
            </w:pPr>
            <w:r>
              <w:rPr>
                <w:b w:val="0"/>
                <w:sz w:val="18"/>
              </w:rPr>
              <w:t>Match the depth of assurance evidence to the vendor's risk tier.</w:t>
            </w:r>
          </w:p>
        </w:tc>
        <w:tc>
          <w:tcPr>
            <w:tcW w:type="dxa" w:w="2041"/>
          </w:tcPr>
          <w:p>
            <w:pPr>
              <w:spacing w:after="40"/>
            </w:pPr>
            <w:r>
              <w:rPr>
                <w:b w:val="0"/>
                <w:sz w:val="17"/>
              </w:rPr>
              <w:t>NIST AI RMF 1.0 GOVERN 6.1 &amp; 6.2; ISO/IEC 42001:2023 (verify supplier clauses against licensed standard).</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fc-36</w:t>
            </w:r>
          </w:p>
          <w:p>
            <w:pPr>
              <w:spacing w:after="40"/>
            </w:pPr>
            <w:r>
              <w:rPr>
                <w:b w:val="0"/>
                <w:sz w:val="17"/>
              </w:rPr>
              <w:t>FRIA: who must perform it</w:t>
            </w:r>
          </w:p>
          <w:p>
            <w:pPr>
              <w:spacing w:after="40"/>
            </w:pPr>
            <w:r>
              <w:rPr>
                <w:b w:val="0"/>
                <w:color w:val="5A5A5A"/>
                <w:sz w:val="17"/>
              </w:rPr>
              <w:t>D1 （原 D4）</w:t>
            </w:r>
          </w:p>
        </w:tc>
        <w:tc>
          <w:tcPr>
            <w:tcW w:type="dxa" w:w="2041"/>
          </w:tcPr>
          <w:p>
            <w:pPr>
              <w:spacing w:after="40"/>
            </w:pPr>
            <w:r>
              <w:rPr>
                <w:b w:val="0"/>
                <w:sz w:val="18"/>
              </w:rPr>
              <w:t>Who must carry out a Fundamental Rights Impact Assessment (FRIA) under EU AI Act Article 27?</w:t>
            </w:r>
          </w:p>
        </w:tc>
        <w:tc>
          <w:tcPr>
            <w:tcW w:type="dxa" w:w="4195"/>
          </w:tcPr>
          <w:p>
            <w:pPr>
              <w:spacing w:after="40"/>
            </w:pPr>
            <w:r>
              <w:rPr>
                <w:b w:val="0"/>
                <w:sz w:val="18"/>
              </w:rPr>
              <w:t>Only specified deployers of Annex III high-risk systems (Art. 6(2), excluding Annex III point 2 critical infrastructure): bodies governed by public law; private entities providing public services; and deployers of Annex III 5(b) credit scoring of natural persons (except fraud detection) and 5(c) life and health insurance risk assessment and pricing.</w:t>
            </w:r>
          </w:p>
          <w:p>
            <w:pPr>
              <w:spacing w:after="40"/>
            </w:pPr>
            <w:r>
              <w:rPr>
                <w:b w:val="0"/>
                <w:color w:val="787878"/>
                <w:sz w:val="16"/>
              </w:rPr>
              <w:t>（351 字；原卡 940 字）</w:t>
            </w:r>
          </w:p>
        </w:tc>
        <w:tc>
          <w:tcPr>
            <w:tcW w:type="dxa" w:w="1814"/>
          </w:tcPr>
          <w:p>
            <w:pPr>
              <w:spacing w:after="40"/>
            </w:pPr>
            <w:r>
              <w:rPr>
                <w:b w:val="0"/>
                <w:sz w:val="18"/>
              </w:rPr>
              <w:t>A FRIA is mandatory only for specified deployers, not for every high-risk deployer.</w:t>
            </w:r>
          </w:p>
        </w:tc>
        <w:tc>
          <w:tcPr>
            <w:tcW w:type="dxa" w:w="2041"/>
          </w:tcPr>
          <w:p>
            <w:pPr>
              <w:spacing w:after="40"/>
            </w:pPr>
            <w:r>
              <w:rPr>
                <w:b w:val="0"/>
                <w:sz w:val="17"/>
              </w:rPr>
              <w:t>Regulation (EU) 2024/1689 (EU AI Act) Art. 27 &amp; Annex III.</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fc-37</w:t>
            </w:r>
          </w:p>
          <w:p>
            <w:pPr>
              <w:spacing w:after="40"/>
            </w:pPr>
            <w:r>
              <w:rPr>
                <w:b w:val="0"/>
                <w:sz w:val="17"/>
              </w:rPr>
              <w:t>ISO/IEC 23894 AI Risk Management</w:t>
            </w:r>
          </w:p>
          <w:p>
            <w:pPr>
              <w:spacing w:after="40"/>
            </w:pPr>
            <w:r>
              <w:rPr>
                <w:b w:val="0"/>
                <w:color w:val="5A5A5A"/>
                <w:sz w:val="17"/>
              </w:rPr>
              <w:t>D1 （原 D4）</w:t>
            </w:r>
          </w:p>
        </w:tc>
        <w:tc>
          <w:tcPr>
            <w:tcW w:type="dxa" w:w="2041"/>
          </w:tcPr>
          <w:p>
            <w:pPr>
              <w:spacing w:after="40"/>
            </w:pPr>
            <w:r>
              <w:rPr>
                <w:b w:val="0"/>
                <w:sz w:val="18"/>
              </w:rPr>
              <w:t>What is ISO/IEC 23894?</w:t>
            </w:r>
          </w:p>
        </w:tc>
        <w:tc>
          <w:tcPr>
            <w:tcW w:type="dxa" w:w="4195"/>
          </w:tcPr>
          <w:p>
            <w:pPr>
              <w:spacing w:after="40"/>
            </w:pPr>
            <w:r>
              <w:rPr>
                <w:b w:val="0"/>
                <w:sz w:val="18"/>
              </w:rPr>
              <w:t>Guidance on managing AI-related risks, based on the generic ISO 31000 risk management framework. It covers AI-specific risk identification (e.g., autonomous agency, opacity, data poisoning), risk analysis, evaluation against risk criteria, and risk treatment across the AI lifecycle.</w:t>
            </w:r>
          </w:p>
          <w:p>
            <w:pPr>
              <w:spacing w:after="40"/>
            </w:pPr>
            <w:r>
              <w:rPr>
                <w:b w:val="0"/>
                <w:color w:val="787878"/>
                <w:sz w:val="16"/>
              </w:rPr>
              <w:t>（283 字；原卡 310 字）</w:t>
            </w:r>
          </w:p>
        </w:tc>
        <w:tc>
          <w:tcPr>
            <w:tcW w:type="dxa" w:w="1814"/>
          </w:tcPr>
          <w:p>
            <w:pPr>
              <w:spacing w:after="40"/>
            </w:pPr>
            <w:r>
              <w:rPr>
                <w:b w:val="0"/>
                <w:sz w:val="18"/>
              </w:rPr>
              <w:t>ISO/IEC 23894 applies AI-specific guidance to the ISO 31000 risk process.</w:t>
            </w:r>
          </w:p>
        </w:tc>
        <w:tc>
          <w:tcPr>
            <w:tcW w:type="dxa" w:w="2041"/>
          </w:tcPr>
          <w:p>
            <w:pPr>
              <w:spacing w:after="40"/>
            </w:pPr>
            <w:r>
              <w:rPr>
                <w:b w:val="0"/>
                <w:sz w:val="17"/>
              </w:rPr>
              <w:t>ISO/IEC 23894:2023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fc-38</w:t>
            </w:r>
          </w:p>
          <w:p>
            <w:pPr>
              <w:spacing w:after="40"/>
            </w:pPr>
            <w:r>
              <w:rPr>
                <w:b w:val="0"/>
                <w:sz w:val="17"/>
              </w:rPr>
              <w:t>AI Incident Reporting Timelines</w:t>
            </w:r>
          </w:p>
          <w:p>
            <w:pPr>
              <w:spacing w:after="40"/>
            </w:pPr>
            <w:r>
              <w:rPr>
                <w:b w:val="0"/>
                <w:color w:val="5A5A5A"/>
                <w:sz w:val="17"/>
              </w:rPr>
              <w:t>D3 （原 D4）</w:t>
            </w:r>
          </w:p>
        </w:tc>
        <w:tc>
          <w:tcPr>
            <w:tcW w:type="dxa" w:w="2041"/>
          </w:tcPr>
          <w:p>
            <w:pPr>
              <w:spacing w:after="40"/>
            </w:pPr>
            <w:r>
              <w:rPr>
                <w:b w:val="0"/>
                <w:sz w:val="18"/>
              </w:rPr>
              <w:t>What are the regulatory notification requirements when a serious AI safety incident occurs under the EU AI Act?</w:t>
            </w:r>
          </w:p>
        </w:tc>
        <w:tc>
          <w:tcPr>
            <w:tcW w:type="dxa" w:w="4195"/>
          </w:tcPr>
          <w:p>
            <w:pPr>
              <w:spacing w:after="40"/>
            </w:pPr>
            <w:r>
              <w:rPr>
                <w:b w:val="0"/>
                <w:sz w:val="18"/>
              </w:rPr>
              <w:t>EU AI Act Art. 73 sets deadlines for providers of high-risk AI. General rule: report immediately once a causal link or reasonable likelihood is established, and no later than 15 days after awareness. Widespread infringement or serious, irreversible disruption of critical infrastructure: no later than 2 days. Death: no later than 10 days after awareness. Do not wait for the maximum.</w:t>
            </w:r>
          </w:p>
          <w:p>
            <w:pPr>
              <w:spacing w:after="40"/>
            </w:pPr>
            <w:r>
              <w:rPr>
                <w:b w:val="0"/>
                <w:color w:val="787878"/>
                <w:sz w:val="16"/>
              </w:rPr>
              <w:t>（384 字；原卡 642 字）</w:t>
            </w:r>
          </w:p>
          <w:p>
            <w:pPr>
              <w:spacing w:after="40"/>
            </w:pPr>
            <w:r>
              <w:rPr>
                <w:b/>
                <w:color w:val="C00000"/>
                <w:sz w:val="17"/>
              </w:rPr>
              <w:t>⚑ 缩短而非拆分；"2、10、15 天"的时限请逐项核对 AI Act 第 73 条。</w:t>
            </w:r>
          </w:p>
        </w:tc>
        <w:tc>
          <w:tcPr>
            <w:tcW w:type="dxa" w:w="1814"/>
          </w:tcPr>
          <w:p>
            <w:pPr>
              <w:spacing w:after="40"/>
            </w:pPr>
            <w:r>
              <w:rPr>
                <w:b w:val="0"/>
                <w:sz w:val="18"/>
              </w:rPr>
              <w:t>Outer limits are 2, 10 and 15 days depending on the incident; report immediately where possible.</w:t>
            </w:r>
          </w:p>
        </w:tc>
        <w:tc>
          <w:tcPr>
            <w:tcW w:type="dxa" w:w="2041"/>
          </w:tcPr>
          <w:p>
            <w:pPr>
              <w:spacing w:after="40"/>
            </w:pPr>
            <w:r>
              <w:rPr>
                <w:b w:val="0"/>
                <w:sz w:val="17"/>
              </w:rPr>
              <w:t>EU AI Act Article 73</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fc-39</w:t>
            </w:r>
          </w:p>
          <w:p>
            <w:pPr>
              <w:spacing w:after="40"/>
            </w:pPr>
            <w:r>
              <w:rPr>
                <w:b w:val="0"/>
                <w:sz w:val="17"/>
              </w:rPr>
              <w:t>Conformity Assessment (CE-Marking)</w:t>
            </w:r>
          </w:p>
          <w:p>
            <w:pPr>
              <w:spacing w:after="40"/>
            </w:pPr>
            <w:r>
              <w:rPr>
                <w:b w:val="0"/>
                <w:color w:val="5A5A5A"/>
                <w:sz w:val="17"/>
              </w:rPr>
              <w:t>D1 （原 D4）</w:t>
            </w:r>
          </w:p>
        </w:tc>
        <w:tc>
          <w:tcPr>
            <w:tcW w:type="dxa" w:w="2041"/>
          </w:tcPr>
          <w:p>
            <w:pPr>
              <w:spacing w:after="40"/>
            </w:pPr>
            <w:r>
              <w:rPr>
                <w:b w:val="0"/>
                <w:sz w:val="18"/>
              </w:rPr>
              <w:t>What is an AI Conformity Assessment under the EU AI Act?</w:t>
            </w:r>
          </w:p>
        </w:tc>
        <w:tc>
          <w:tcPr>
            <w:tcW w:type="dxa" w:w="4195"/>
          </w:tcPr>
          <w:p>
            <w:pPr>
              <w:spacing w:after="40"/>
            </w:pPr>
            <w:r>
              <w:rPr>
                <w:b w:val="0"/>
                <w:sz w:val="18"/>
              </w:rPr>
              <w:t>An evaluation of whether an in-scope high-risk AI system meets the applicable requirements, including Articles 8–15. The provider is responsible for the applicable assessment.</w:t>
            </w:r>
          </w:p>
          <w:p>
            <w:pPr>
              <w:spacing w:after="40"/>
            </w:pPr>
            <w:r>
              <w:rPr>
                <w:b w:val="0"/>
                <w:color w:val="787878"/>
                <w:sz w:val="16"/>
              </w:rPr>
              <w:t>（175 字；原卡 582 字）</w:t>
            </w:r>
          </w:p>
        </w:tc>
        <w:tc>
          <w:tcPr>
            <w:tcW w:type="dxa" w:w="1814"/>
          </w:tcPr>
          <w:p>
            <w:pPr>
              <w:spacing w:after="40"/>
            </w:pPr>
            <w:r>
              <w:rPr>
                <w:b w:val="0"/>
                <w:sz w:val="18"/>
              </w:rPr>
              <w:t>The provider carries out the conformity assessment of a high-risk system.</w:t>
            </w:r>
          </w:p>
        </w:tc>
        <w:tc>
          <w:tcPr>
            <w:tcW w:type="dxa" w:w="2041"/>
          </w:tcPr>
          <w:p>
            <w:pPr>
              <w:spacing w:after="40"/>
            </w:pPr>
            <w:r>
              <w:rPr>
                <w:b w:val="0"/>
                <w:sz w:val="17"/>
              </w:rPr>
              <w:t>EU AI Act Article 43, Annexes VI &amp; VII</w:t>
            </w:r>
          </w:p>
        </w:tc>
        <w:tc>
          <w:tcPr>
            <w:tcW w:type="dxa" w:w="2948"/>
          </w:tcPr>
          <w:p>
            <w:pPr>
              <w:spacing w:after="40"/>
            </w:pPr>
            <w:r>
              <w:rPr>
                <w:b w:val="0"/>
                <w:sz w:val="17"/>
              </w:rPr>
              <w:t>R1□ R2□ R3□ R4□ R5□ R6□ R7□</w:t>
              <w:br/>
              <w:br/>
              <w:t>决定：□通过 □修改 □待核验 □删除</w:t>
              <w:br/>
              <w:br/>
              <w:t>意见：</w:t>
            </w:r>
          </w:p>
        </w:tc>
      </w:tr>
      <w:tr>
        <w:trPr>
          <w:cantSplit/>
        </w:trPr>
        <w:tc>
          <w:tcPr>
            <w:tcW w:type="dxa" w:w="1474"/>
          </w:tcPr>
          <w:p>
            <w:pPr>
              <w:spacing w:after="40"/>
            </w:pPr>
            <w:r>
              <w:rPr>
                <w:b/>
                <w:sz w:val="18"/>
              </w:rPr>
              <w:t>fc-40</w:t>
            </w:r>
          </w:p>
          <w:p>
            <w:pPr>
              <w:spacing w:after="40"/>
            </w:pPr>
            <w:r>
              <w:rPr>
                <w:b w:val="0"/>
                <w:sz w:val="17"/>
              </w:rPr>
              <w:t>Adversarial Robustness &amp; Red Teaming</w:t>
            </w:r>
          </w:p>
          <w:p>
            <w:pPr>
              <w:spacing w:after="40"/>
            </w:pPr>
            <w:r>
              <w:rPr>
                <w:b w:val="0"/>
                <w:color w:val="5A5A5A"/>
                <w:sz w:val="17"/>
              </w:rPr>
              <w:t>D3 （原 D4）</w:t>
            </w:r>
          </w:p>
        </w:tc>
        <w:tc>
          <w:tcPr>
            <w:tcW w:type="dxa" w:w="2041"/>
          </w:tcPr>
          <w:p>
            <w:pPr>
              <w:spacing w:after="40"/>
            </w:pPr>
            <w:r>
              <w:rPr>
                <w:b w:val="0"/>
                <w:sz w:val="18"/>
              </w:rPr>
              <w:t>What is AI Red Teaming?</w:t>
            </w:r>
          </w:p>
        </w:tc>
        <w:tc>
          <w:tcPr>
            <w:tcW w:type="dxa" w:w="4195"/>
          </w:tcPr>
          <w:p>
            <w:pPr>
              <w:spacing w:after="40"/>
            </w:pPr>
            <w:r>
              <w:rPr>
                <w:b w:val="0"/>
                <w:sz w:val="18"/>
              </w:rPr>
              <w:t>Structured adversarial testing to find security vulnerabilities, safety failures and undesirable behaviors before or during deployment. Scope it to the system's architecture (e.g., LLM, RAG pipeline, predictive ML) and threat model; document, remediate and retest findings alongside production monitoring.</w:t>
            </w:r>
          </w:p>
          <w:p>
            <w:pPr>
              <w:spacing w:after="40"/>
            </w:pPr>
            <w:r>
              <w:rPr>
                <w:b w:val="0"/>
                <w:color w:val="787878"/>
                <w:sz w:val="16"/>
              </w:rPr>
              <w:t>（305 字；原卡 685 字）</w:t>
            </w:r>
          </w:p>
        </w:tc>
        <w:tc>
          <w:tcPr>
            <w:tcW w:type="dxa" w:w="1814"/>
          </w:tcPr>
          <w:p>
            <w:pPr>
              <w:spacing w:after="40"/>
            </w:pPr>
            <w:r>
              <w:rPr>
                <w:b w:val="0"/>
                <w:sz w:val="18"/>
              </w:rPr>
              <w:t>Red teaming tests a system adversarially, scoped to its architecture and threat model.</w:t>
            </w:r>
          </w:p>
        </w:tc>
        <w:tc>
          <w:tcPr>
            <w:tcW w:type="dxa" w:w="2041"/>
          </w:tcPr>
          <w:p>
            <w:pPr>
              <w:spacing w:after="40"/>
            </w:pPr>
            <w:r>
              <w:rPr>
                <w:b w:val="0"/>
                <w:sz w:val="17"/>
              </w:rPr>
              <w:t>NIST AI RMF 1.0 MEASURE 2.6 &amp; 2.7; NIST AI 600-1 (Generative AI Profile); OWASP Top 10 for LLM Applications.</w:t>
            </w:r>
          </w:p>
        </w:tc>
        <w:tc>
          <w:tcPr>
            <w:tcW w:type="dxa" w:w="2948"/>
          </w:tcPr>
          <w:p>
            <w:pPr>
              <w:spacing w:after="40"/>
            </w:pPr>
            <w:r>
              <w:rPr>
                <w:b w:val="0"/>
                <w:sz w:val="17"/>
              </w:rPr>
              <w:t>R1□ R2□ R3□ R4□ R5□ R6□ R7□</w:t>
              <w:br/>
              <w:br/>
              <w:t>决定：□通过 □修改 □待核验 □删除</w:t>
              <w:br/>
              <w:br/>
              <w:t>意见：</w:t>
            </w:r>
          </w:p>
        </w:tc>
      </w:tr>
    </w:tbl>
    <w:p>
      <w:r>
        <w:br w:type="page"/>
      </w:r>
    </w:p>
    <w:p>
      <w:pPr>
        <w:pStyle w:val="Heading2"/>
      </w:pPr>
      <w:r>
        <w:t>D　原样保留的卡（1 张）</w:t>
      </w:r>
    </w:p>
    <w:tbl>
      <w:tblPr>
        <w:tblStyle w:val="TableGrid"/>
        <w:tblW w:type="auto" w:w="0"/>
        <w:tblLayout w:type="fixed"/>
        <w:tblLook w:firstColumn="1" w:firstRow="1" w:lastColumn="0" w:lastRow="0" w:noHBand="0" w:noVBand="1" w:val="04A0"/>
      </w:tblPr>
      <w:tblGrid>
        <w:gridCol w:w="2338"/>
        <w:gridCol w:w="2338"/>
        <w:gridCol w:w="2338"/>
        <w:gridCol w:w="2338"/>
        <w:gridCol w:w="2338"/>
        <w:gridCol w:w="2338"/>
      </w:tblGrid>
      <w:tr>
        <w:trPr>
          <w:tblHeader/>
        </w:trPr>
        <w:tc>
          <w:tcPr>
            <w:tcW w:type="dxa" w:w="1474"/>
            <w:shd w:val="clear" w:color="auto" w:fill="EDEDED"/>
          </w:tcPr>
          <w:p>
            <w:pPr>
              <w:spacing w:after="40"/>
            </w:pPr>
            <w:r>
              <w:rPr>
                <w:b/>
                <w:sz w:val="18"/>
              </w:rPr>
              <w:t>卡片</w:t>
            </w:r>
          </w:p>
        </w:tc>
        <w:tc>
          <w:tcPr>
            <w:tcW w:type="dxa" w:w="2041"/>
            <w:shd w:val="clear" w:color="auto" w:fill="EDEDED"/>
          </w:tcPr>
          <w:p>
            <w:pPr>
              <w:spacing w:after="40"/>
            </w:pPr>
            <w:r>
              <w:rPr>
                <w:b/>
                <w:sz w:val="18"/>
              </w:rPr>
              <w:t>正面</w:t>
            </w:r>
          </w:p>
        </w:tc>
        <w:tc>
          <w:tcPr>
            <w:tcW w:type="dxa" w:w="4195"/>
            <w:shd w:val="clear" w:color="auto" w:fill="EDEDED"/>
          </w:tcPr>
          <w:p>
            <w:pPr>
              <w:spacing w:after="40"/>
            </w:pPr>
            <w:r>
              <w:rPr>
                <w:b/>
                <w:sz w:val="18"/>
              </w:rPr>
              <w:t>背面</w:t>
            </w:r>
          </w:p>
        </w:tc>
        <w:tc>
          <w:tcPr>
            <w:tcW w:type="dxa" w:w="1814"/>
            <w:shd w:val="clear" w:color="auto" w:fill="EDEDED"/>
          </w:tcPr>
          <w:p>
            <w:pPr>
              <w:spacing w:after="40"/>
            </w:pPr>
            <w:r>
              <w:rPr>
                <w:b/>
                <w:sz w:val="18"/>
              </w:rPr>
              <w:t>要点</w:t>
            </w:r>
          </w:p>
        </w:tc>
        <w:tc>
          <w:tcPr>
            <w:tcW w:type="dxa" w:w="2041"/>
            <w:shd w:val="clear" w:color="auto" w:fill="EDEDED"/>
          </w:tcPr>
          <w:p>
            <w:pPr>
              <w:spacing w:after="40"/>
            </w:pPr>
            <w:r>
              <w:rPr>
                <w:b/>
                <w:sz w:val="18"/>
              </w:rPr>
              <w:t>来源</w:t>
            </w:r>
          </w:p>
        </w:tc>
        <w:tc>
          <w:tcPr>
            <w:tcW w:type="dxa" w:w="2948"/>
            <w:shd w:val="clear" w:color="auto" w:fill="EDEDED"/>
          </w:tcPr>
          <w:p>
            <w:pPr>
              <w:spacing w:after="40"/>
            </w:pPr>
            <w:r>
              <w:rPr>
                <w:b/>
                <w:sz w:val="18"/>
              </w:rPr>
              <w:t>复核栏</w:t>
            </w:r>
          </w:p>
        </w:tc>
      </w:tr>
      <w:tr>
        <w:trPr>
          <w:cantSplit/>
        </w:trPr>
        <w:tc>
          <w:tcPr>
            <w:tcW w:type="dxa" w:w="1474"/>
          </w:tcPr>
          <w:p>
            <w:pPr>
              <w:spacing w:after="40"/>
            </w:pPr>
            <w:r>
              <w:rPr>
                <w:b/>
                <w:sz w:val="18"/>
              </w:rPr>
              <w:t>fc-28</w:t>
            </w:r>
          </w:p>
          <w:p>
            <w:pPr>
              <w:spacing w:after="40"/>
            </w:pPr>
            <w:r>
              <w:rPr>
                <w:b w:val="0"/>
                <w:sz w:val="17"/>
              </w:rPr>
              <w:t>Key Performance Indicators (KPIs) vs. Key Risk Indicators (KRIs)</w:t>
            </w:r>
          </w:p>
          <w:p>
            <w:pPr>
              <w:spacing w:after="40"/>
            </w:pPr>
            <w:r>
              <w:rPr>
                <w:b w:val="0"/>
                <w:color w:val="5A5A5A"/>
                <w:sz w:val="17"/>
              </w:rPr>
              <w:t>D3</w:t>
            </w:r>
          </w:p>
        </w:tc>
        <w:tc>
          <w:tcPr>
            <w:tcW w:type="dxa" w:w="2041"/>
          </w:tcPr>
          <w:p>
            <w:pPr>
              <w:spacing w:after="40"/>
            </w:pPr>
            <w:r>
              <w:rPr>
                <w:b w:val="0"/>
                <w:sz w:val="18"/>
              </w:rPr>
              <w:t>How do AI KPIs and KRIs differ in governance performance reporting?</w:t>
            </w:r>
          </w:p>
        </w:tc>
        <w:tc>
          <w:tcPr>
            <w:tcW w:type="dxa" w:w="4195"/>
          </w:tcPr>
          <w:p>
            <w:pPr>
              <w:spacing w:after="40"/>
            </w:pPr>
            <w:r>
              <w:rPr>
                <w:b w:val="0"/>
                <w:sz w:val="18"/>
              </w:rPr>
              <w:t>1. KPIs (Value &amp; Efficiency): Measure business outcomes (e.g., customer resolution time saved, query latency, user adoption rate, cost per transaction).</w:t>
              <w:br/>
              <w:t>2. KRIs (Risk Signaling): Forward-looking metrics signaling increasing risk exposure before harm occurs (e.g., rate of drift deviation, number of guardrail blocks, fairness disparity index, percentage of unclassified prompts).</w:t>
            </w:r>
          </w:p>
          <w:p>
            <w:pPr>
              <w:spacing w:after="40"/>
            </w:pPr>
            <w:r>
              <w:rPr>
                <w:b w:val="0"/>
                <w:color w:val="787878"/>
                <w:sz w:val="16"/>
              </w:rPr>
              <w:t>（379 字；原卡 379 字）</w:t>
            </w:r>
          </w:p>
        </w:tc>
        <w:tc>
          <w:tcPr>
            <w:tcW w:type="dxa" w:w="1814"/>
          </w:tcPr>
          <w:p>
            <w:pPr>
              <w:spacing w:after="40"/>
            </w:pPr>
            <w:r>
              <w:rPr>
                <w:b w:val="0"/>
                <w:sz w:val="18"/>
              </w:rPr>
              <w:t>KPIs track value creation; KRIs serve as early-warning tripwires for governance intervention.</w:t>
            </w:r>
          </w:p>
        </w:tc>
        <w:tc>
          <w:tcPr>
            <w:tcW w:type="dxa" w:w="2041"/>
          </w:tcPr>
          <w:p>
            <w:pPr>
              <w:spacing w:after="40"/>
            </w:pPr>
            <w:r>
              <w:rPr>
                <w:b w:val="0"/>
                <w:sz w:val="17"/>
              </w:rPr>
              <w:t>COBIT 2019 MEA01</w:t>
            </w:r>
          </w:p>
        </w:tc>
        <w:tc>
          <w:tcPr>
            <w:tcW w:type="dxa" w:w="2948"/>
          </w:tcPr>
          <w:p>
            <w:pPr>
              <w:spacing w:after="40"/>
            </w:pPr>
            <w:r>
              <w:rPr>
                <w:b w:val="0"/>
                <w:sz w:val="17"/>
              </w:rPr>
              <w:t>R1□ R2□ R3□ R4□ R5□ R6□ R7□</w:t>
              <w:br/>
              <w:br/>
              <w:t>决定：□通过 □修改 □待核验 □删除</w:t>
              <w:br/>
              <w:br/>
              <w:t>意见：</w:t>
            </w:r>
          </w:p>
        </w:tc>
      </w:tr>
    </w:tbl>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