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题库改写复核册 第二轮（30 题）</w:t>
      </w:r>
    </w:p>
    <w:p>
      <w:pPr>
        <w:spacing w:after="60"/>
      </w:pPr>
      <w:r>
        <w:rPr>
          <w:b w:val="0"/>
          <w:i w:val="0"/>
          <w:color w:val="5A5A5A"/>
          <w:sz w:val="18"/>
        </w:rPr>
        <w:t>日期：2026-10-24。分支：claude/trusting-fermat-7hxmm4。这是第五到第七批改写，共 30 题。第一到第四批（45 题）你已复核通过，不在本册。</w:t>
      </w:r>
    </w:p>
    <w:p>
      <w:pPr>
        <w:pStyle w:val="Heading1"/>
      </w:pPr>
      <w:r>
        <w:t>请先读这一页</w:t>
      </w:r>
    </w:p>
    <w:p>
      <w:pPr>
        <w:pStyle w:val="ListBullet"/>
        <w:spacing w:after="40"/>
      </w:pPr>
      <w:r>
        <w:t>这 30 题都来自 2026-10-14 你复核时决定为"修改"的题，也就是你已经改过一次、签核过的文字。本轮只改了选项文字、错误选项解析和错误类型标注。题干、情境、正确答案位置（A/B/C/D）和主解析都没有动。</w:t>
      </w:r>
    </w:p>
    <w:p>
      <w:pPr>
        <w:pStyle w:val="ListBullet"/>
        <w:spacing w:after="40"/>
      </w:pPr>
      <w:r>
        <w:t>改动内容：正确选项改成更平实的措辞（意思不变）；其中 2 到 3 个错误选项被换成本身合理、但范围太窄或时机偏早的做法；保留的错误选项补上了错误类型标注。目的是去掉"看关键词就能选对"的线索，让学员必须读情境才能判断。</w:t>
      </w:r>
    </w:p>
    <w:p>
      <w:pPr>
        <w:pStyle w:val="ListBullet"/>
        <w:spacing w:after="40"/>
      </w:pPr>
      <w:r>
        <w:t>请对每题判断三件事：①正确答案是否仍然唯一且正确；②新写的错误选项是否"明显劣于正确答案"，而不是"也说得通"（BEST/FIRST/MOST/PRIMARY 题只能有一个最佳答案）；③正确选项的新措辞是否保留了原意，没有丢掉关键限定。</w:t>
      </w:r>
    </w:p>
    <w:p>
      <w:pPr>
        <w:pStyle w:val="ListBullet"/>
        <w:spacing w:after="40"/>
      </w:pPr>
      <w:r>
        <w:t>第七批里有 6 道 LEAST 题（总览表中标注）。LEAST 题的正确答案是"最不合适的做法"。做法与其他题型不同：我只改了这个坏做法的措辞（去掉 first-line、engineer、automated 这类一眼就能认出来的词），三个合理做法保持原样，只补了错误轴说明。请特别判断：新的坏做法是否仍然明确地不合适，而且不是靠措辞暗示。</w:t>
      </w:r>
    </w:p>
    <w:p>
      <w:pPr>
        <w:pStyle w:val="ListBullet"/>
        <w:spacing w:after="40"/>
      </w:pPr>
      <w:r>
        <w:t>"改写前"列是你签核过的原文；"改写后"列是现在题库里的文字；黄色底、加粗的是被改动的选项；正确答案用 ✓ 标出。选项字母是题库的规范顺序，练习和模考时界面会随机打乱。</w:t>
      </w:r>
    </w:p>
    <w:p>
      <w:pPr>
        <w:pStyle w:val="ListBullet"/>
        <w:spacing w:after="40"/>
      </w:pPr>
      <w:r>
        <w:t>已知不足：主解析我没有改，其中仍用原正确选项的措辞（例如 charter、steering committee、risk appetite），而新的正确选项措辞更平实。意思相同，但读起来可能不完全一致。上一轮你对 11 题要求同步主解析，如果这里也需要，请在意见栏写"同步主解析"，我来改。</w:t>
      </w:r>
    </w:p>
    <w:p>
      <w:pPr>
        <w:pStyle w:val="ListBullet"/>
        <w:spacing w:after="40"/>
      </w:pPr>
      <w:r>
        <w:t>如果你对某题不满意，请在"意见"栏写明；最简单的处理是让我把该题恢复为改写前原文。</w:t>
      </w:r>
    </w:p>
    <w:p>
      <w:pPr>
        <w:pStyle w:val="ListBullet"/>
        <w:spacing w:after="40"/>
      </w:pPr>
      <w:r>
        <w:t>这 30 题的 reviewStatus 仍是 unreviewed。出处沿用原文，我没有对照原始条文核验，也没有新增 sourceUrl。</w:t>
      </w:r>
    </w:p>
    <w:p>
      <w:pPr>
        <w:pStyle w:val="Heading1"/>
      </w:pPr>
      <w:r>
        <w:t>总览</w:t>
      </w:r>
    </w:p>
    <w:tbl>
      <w:tblPr>
        <w:tblStyle w:val="LightGrid-Accent1"/>
        <w:tblW w:type="auto" w:w="0"/>
        <w:tblLayout w:type="fixed"/>
        <w:tblLook w:firstColumn="1" w:firstRow="1" w:lastColumn="0" w:lastRow="0" w:noHBand="0" w:noVBand="1" w:val="04A0"/>
      </w:tblPr>
      <w:tblGrid>
        <w:gridCol w:w="567"/>
        <w:gridCol w:w="1587"/>
        <w:gridCol w:w="3969"/>
        <w:gridCol w:w="1020"/>
        <w:gridCol w:w="1247"/>
        <w:gridCol w:w="1247"/>
        <w:gridCol w:w="3969"/>
      </w:tblGrid>
      <w:tr>
        <w:tc>
          <w:tcPr>
            <w:tcW w:type="dxa" w:w="567"/>
          </w:tcPr>
          <w:p>
            <w:r/>
            <w:r>
              <w:rPr>
                <w:b/>
              </w:rPr>
              <w:t>#</w:t>
            </w:r>
          </w:p>
        </w:tc>
        <w:tc>
          <w:tcPr>
            <w:tcW w:type="dxa" w:w="1587"/>
          </w:tcPr>
          <w:p>
            <w:r/>
            <w:r>
              <w:rPr>
                <w:b/>
              </w:rPr>
              <w:t>批次</w:t>
            </w:r>
          </w:p>
        </w:tc>
        <w:tc>
          <w:tcPr>
            <w:tcW w:type="dxa" w:w="3969"/>
          </w:tcPr>
          <w:p>
            <w:r/>
            <w:r>
              <w:rPr>
                <w:b/>
              </w:rPr>
              <w:t>题目 ID（后段）</w:t>
            </w:r>
          </w:p>
        </w:tc>
        <w:tc>
          <w:tcPr>
            <w:tcW w:type="dxa" w:w="1020"/>
          </w:tcPr>
          <w:p>
            <w:r/>
            <w:r>
              <w:rPr>
                <w:b/>
              </w:rPr>
              <w:t>子题</w:t>
            </w:r>
          </w:p>
        </w:tc>
        <w:tc>
          <w:tcPr>
            <w:tcW w:type="dxa" w:w="1247"/>
          </w:tcPr>
          <w:p>
            <w:r/>
            <w:r>
              <w:rPr>
                <w:b/>
              </w:rPr>
              <w:t>题型</w:t>
            </w:r>
          </w:p>
        </w:tc>
        <w:tc>
          <w:tcPr>
            <w:tcW w:type="dxa" w:w="1247"/>
          </w:tcPr>
          <w:p>
            <w:r/>
            <w:r>
              <w:rPr>
                <w:b/>
              </w:rPr>
              <w:t>改动选项数</w:t>
            </w:r>
          </w:p>
        </w:tc>
        <w:tc>
          <w:tcPr>
            <w:tcW w:type="dxa" w:w="3969"/>
          </w:tcPr>
          <w:p>
            <w:r/>
            <w:r>
              <w:rPr>
                <w:b/>
              </w:rPr>
              <w:t>你的决定（通过/修改/恢复原文）</w:t>
            </w:r>
          </w:p>
        </w:tc>
      </w:tr>
      <w:tr>
        <w:tc>
          <w:tcPr>
            <w:tcW w:type="dxa" w:w="567"/>
          </w:tcPr>
          <w:p>
            <w:r/>
            <w:r>
              <w:rPr>
                <w:b w:val="0"/>
              </w:rPr>
              <w:t>1</w:t>
            </w:r>
          </w:p>
        </w:tc>
        <w:tc>
          <w:tcPr>
            <w:tcW w:type="dxa" w:w="1587"/>
          </w:tcPr>
          <w:p>
            <w:r/>
            <w:r>
              <w:rPr>
                <w:b w:val="0"/>
              </w:rPr>
              <w:t>第五批</w:t>
            </w:r>
          </w:p>
        </w:tc>
        <w:tc>
          <w:tcPr>
            <w:tcW w:type="dxa" w:w="3969"/>
          </w:tcPr>
          <w:p>
            <w:r/>
            <w:r>
              <w:rPr>
                <w:b w:val="0"/>
              </w:rPr>
              <w:t>1791942379061-5</w:t>
            </w:r>
          </w:p>
        </w:tc>
        <w:tc>
          <w:tcPr>
            <w:tcW w:type="dxa" w:w="1020"/>
          </w:tcPr>
          <w:p>
            <w:r/>
            <w:r>
              <w:rPr>
                <w:b w:val="0"/>
              </w:rPr>
              <w:t>D2.1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w:t>
            </w:r>
          </w:p>
        </w:tc>
        <w:tc>
          <w:tcPr>
            <w:tcW w:type="dxa" w:w="1587"/>
          </w:tcPr>
          <w:p>
            <w:r/>
            <w:r>
              <w:rPr>
                <w:b w:val="0"/>
              </w:rPr>
              <w:t>第五批</w:t>
            </w:r>
          </w:p>
        </w:tc>
        <w:tc>
          <w:tcPr>
            <w:tcW w:type="dxa" w:w="3969"/>
          </w:tcPr>
          <w:p>
            <w:r/>
            <w:r>
              <w:rPr>
                <w:b w:val="0"/>
              </w:rPr>
              <w:t>1791942403792-10</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3</w:t>
            </w:r>
          </w:p>
        </w:tc>
        <w:tc>
          <w:tcPr>
            <w:tcW w:type="dxa" w:w="1587"/>
          </w:tcPr>
          <w:p>
            <w:r/>
            <w:r>
              <w:rPr>
                <w:b w:val="0"/>
              </w:rPr>
              <w:t>第五批</w:t>
            </w:r>
          </w:p>
        </w:tc>
        <w:tc>
          <w:tcPr>
            <w:tcW w:type="dxa" w:w="3969"/>
          </w:tcPr>
          <w:p>
            <w:r/>
            <w:r>
              <w:rPr>
                <w:b w:val="0"/>
              </w:rPr>
              <w:t>1791942404379-12</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4</w:t>
            </w:r>
          </w:p>
        </w:tc>
        <w:tc>
          <w:tcPr>
            <w:tcW w:type="dxa" w:w="1587"/>
          </w:tcPr>
          <w:p>
            <w:r/>
            <w:r>
              <w:rPr>
                <w:b w:val="0"/>
              </w:rPr>
              <w:t>第五批</w:t>
            </w:r>
          </w:p>
        </w:tc>
        <w:tc>
          <w:tcPr>
            <w:tcW w:type="dxa" w:w="3969"/>
          </w:tcPr>
          <w:p>
            <w:r/>
            <w:r>
              <w:rPr>
                <w:b w:val="0"/>
              </w:rPr>
              <w:t>1791942454013-23</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5</w:t>
            </w:r>
          </w:p>
        </w:tc>
        <w:tc>
          <w:tcPr>
            <w:tcW w:type="dxa" w:w="1587"/>
          </w:tcPr>
          <w:p>
            <w:r/>
            <w:r>
              <w:rPr>
                <w:b w:val="0"/>
              </w:rPr>
              <w:t>第五批</w:t>
            </w:r>
          </w:p>
        </w:tc>
        <w:tc>
          <w:tcPr>
            <w:tcW w:type="dxa" w:w="3969"/>
          </w:tcPr>
          <w:p>
            <w:r/>
            <w:r>
              <w:rPr>
                <w:b w:val="0"/>
              </w:rPr>
              <w:t>1791942470081-25</w:t>
            </w:r>
          </w:p>
        </w:tc>
        <w:tc>
          <w:tcPr>
            <w:tcW w:type="dxa" w:w="1020"/>
          </w:tcPr>
          <w:p>
            <w:r/>
            <w:r>
              <w:rPr>
                <w:b w:val="0"/>
              </w:rPr>
              <w:t>D2.1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6</w:t>
            </w:r>
          </w:p>
        </w:tc>
        <w:tc>
          <w:tcPr>
            <w:tcW w:type="dxa" w:w="1587"/>
          </w:tcPr>
          <w:p>
            <w:r/>
            <w:r>
              <w:rPr>
                <w:b w:val="0"/>
              </w:rPr>
              <w:t>第五批</w:t>
            </w:r>
          </w:p>
        </w:tc>
        <w:tc>
          <w:tcPr>
            <w:tcW w:type="dxa" w:w="3969"/>
          </w:tcPr>
          <w:p>
            <w:r/>
            <w:r>
              <w:rPr>
                <w:b w:val="0"/>
              </w:rPr>
              <w:t>1791943105269-12-9ueky</w:t>
            </w:r>
          </w:p>
        </w:tc>
        <w:tc>
          <w:tcPr>
            <w:tcW w:type="dxa" w:w="1020"/>
          </w:tcPr>
          <w:p>
            <w:r/>
            <w:r>
              <w:rPr>
                <w:b w:val="0"/>
              </w:rPr>
              <w:t>D3.3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7</w:t>
            </w:r>
          </w:p>
        </w:tc>
        <w:tc>
          <w:tcPr>
            <w:tcW w:type="dxa" w:w="1587"/>
          </w:tcPr>
          <w:p>
            <w:r/>
            <w:r>
              <w:rPr>
                <w:b w:val="0"/>
              </w:rPr>
              <w:t>第五批</w:t>
            </w:r>
          </w:p>
        </w:tc>
        <w:tc>
          <w:tcPr>
            <w:tcW w:type="dxa" w:w="3969"/>
          </w:tcPr>
          <w:p>
            <w:r/>
            <w:r>
              <w:rPr>
                <w:b w:val="0"/>
              </w:rPr>
              <w:t>1791943144401-22-8tbz6</w:t>
            </w:r>
          </w:p>
        </w:tc>
        <w:tc>
          <w:tcPr>
            <w:tcW w:type="dxa" w:w="1020"/>
          </w:tcPr>
          <w:p>
            <w:r/>
            <w:r>
              <w:rPr>
                <w:b w:val="0"/>
              </w:rPr>
              <w:t>D1.3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8</w:t>
            </w:r>
          </w:p>
        </w:tc>
        <w:tc>
          <w:tcPr>
            <w:tcW w:type="dxa" w:w="1587"/>
          </w:tcPr>
          <w:p>
            <w:r/>
            <w:r>
              <w:rPr>
                <w:b w:val="0"/>
              </w:rPr>
              <w:t>第五批</w:t>
            </w:r>
          </w:p>
        </w:tc>
        <w:tc>
          <w:tcPr>
            <w:tcW w:type="dxa" w:w="3969"/>
          </w:tcPr>
          <w:p>
            <w:r/>
            <w:r>
              <w:rPr>
                <w:b w:val="0"/>
              </w:rPr>
              <w:t>1791943166460-26-wrliw</w:t>
            </w:r>
          </w:p>
        </w:tc>
        <w:tc>
          <w:tcPr>
            <w:tcW w:type="dxa" w:w="1020"/>
          </w:tcPr>
          <w:p>
            <w:r/>
            <w:r>
              <w:rPr>
                <w:b w:val="0"/>
              </w:rPr>
              <w:t>D2.2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9</w:t>
            </w:r>
          </w:p>
        </w:tc>
        <w:tc>
          <w:tcPr>
            <w:tcW w:type="dxa" w:w="1587"/>
          </w:tcPr>
          <w:p>
            <w:r/>
            <w:r>
              <w:rPr>
                <w:b w:val="0"/>
              </w:rPr>
              <w:t>第五批</w:t>
            </w:r>
          </w:p>
        </w:tc>
        <w:tc>
          <w:tcPr>
            <w:tcW w:type="dxa" w:w="3969"/>
          </w:tcPr>
          <w:p>
            <w:r/>
            <w:r>
              <w:rPr>
                <w:b w:val="0"/>
              </w:rPr>
              <w:t>1791943170521-27-c05z1</w:t>
            </w:r>
          </w:p>
        </w:tc>
        <w:tc>
          <w:tcPr>
            <w:tcW w:type="dxa" w:w="1020"/>
          </w:tcPr>
          <w:p>
            <w:r/>
            <w:r>
              <w:rPr>
                <w:b w:val="0"/>
              </w:rPr>
              <w:t>D2.3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10</w:t>
            </w:r>
          </w:p>
        </w:tc>
        <w:tc>
          <w:tcPr>
            <w:tcW w:type="dxa" w:w="1587"/>
          </w:tcPr>
          <w:p>
            <w:r/>
            <w:r>
              <w:rPr>
                <w:b w:val="0"/>
              </w:rPr>
              <w:t>第五批</w:t>
            </w:r>
          </w:p>
        </w:tc>
        <w:tc>
          <w:tcPr>
            <w:tcW w:type="dxa" w:w="3969"/>
          </w:tcPr>
          <w:p>
            <w:r/>
            <w:r>
              <w:rPr>
                <w:b w:val="0"/>
              </w:rPr>
              <w:t>1791943088709-8-8nnep</w:t>
            </w:r>
          </w:p>
        </w:tc>
        <w:tc>
          <w:tcPr>
            <w:tcW w:type="dxa" w:w="1020"/>
          </w:tcPr>
          <w:p>
            <w:r/>
            <w:r>
              <w:rPr>
                <w:b w:val="0"/>
              </w:rPr>
              <w:t>D2.4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11</w:t>
            </w:r>
          </w:p>
        </w:tc>
        <w:tc>
          <w:tcPr>
            <w:tcW w:type="dxa" w:w="1587"/>
          </w:tcPr>
          <w:p>
            <w:r/>
            <w:r>
              <w:rPr>
                <w:b w:val="0"/>
              </w:rPr>
              <w:t>第六批</w:t>
            </w:r>
          </w:p>
        </w:tc>
        <w:tc>
          <w:tcPr>
            <w:tcW w:type="dxa" w:w="3969"/>
          </w:tcPr>
          <w:p>
            <w:r/>
            <w:r>
              <w:rPr>
                <w:b w:val="0"/>
              </w:rPr>
              <w:t>1791943062361-2-m01ua</w:t>
            </w:r>
          </w:p>
        </w:tc>
        <w:tc>
          <w:tcPr>
            <w:tcW w:type="dxa" w:w="1020"/>
          </w:tcPr>
          <w:p>
            <w:r/>
            <w:r>
              <w:rPr>
                <w:b w:val="0"/>
              </w:rPr>
              <w:t>D1.3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12</w:t>
            </w:r>
          </w:p>
        </w:tc>
        <w:tc>
          <w:tcPr>
            <w:tcW w:type="dxa" w:w="1587"/>
          </w:tcPr>
          <w:p>
            <w:r/>
            <w:r>
              <w:rPr>
                <w:b w:val="0"/>
              </w:rPr>
              <w:t>第六批</w:t>
            </w:r>
          </w:p>
        </w:tc>
        <w:tc>
          <w:tcPr>
            <w:tcW w:type="dxa" w:w="3969"/>
          </w:tcPr>
          <w:p>
            <w:r/>
            <w:r>
              <w:rPr>
                <w:b w:val="0"/>
              </w:rPr>
              <w:t>1791943222206-37-po9vv</w:t>
            </w:r>
          </w:p>
        </w:tc>
        <w:tc>
          <w:tcPr>
            <w:tcW w:type="dxa" w:w="1020"/>
          </w:tcPr>
          <w:p>
            <w:r/>
            <w:r>
              <w:rPr>
                <w:b w:val="0"/>
              </w:rPr>
              <w:t>D1.8</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13</w:t>
            </w:r>
          </w:p>
        </w:tc>
        <w:tc>
          <w:tcPr>
            <w:tcW w:type="dxa" w:w="1587"/>
          </w:tcPr>
          <w:p>
            <w:r/>
            <w:r>
              <w:rPr>
                <w:b w:val="0"/>
              </w:rPr>
              <w:t>第六批</w:t>
            </w:r>
          </w:p>
        </w:tc>
        <w:tc>
          <w:tcPr>
            <w:tcW w:type="dxa" w:w="3969"/>
          </w:tcPr>
          <w:p>
            <w:r/>
            <w:r>
              <w:rPr>
                <w:b w:val="0"/>
              </w:rPr>
              <w:t>1791943243672-41-65gxx</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14</w:t>
            </w:r>
          </w:p>
        </w:tc>
        <w:tc>
          <w:tcPr>
            <w:tcW w:type="dxa" w:w="1587"/>
          </w:tcPr>
          <w:p>
            <w:r/>
            <w:r>
              <w:rPr>
                <w:b w:val="0"/>
              </w:rPr>
              <w:t>第六批</w:t>
            </w:r>
          </w:p>
        </w:tc>
        <w:tc>
          <w:tcPr>
            <w:tcW w:type="dxa" w:w="3969"/>
          </w:tcPr>
          <w:p>
            <w:r/>
            <w:r>
              <w:rPr>
                <w:b w:val="0"/>
              </w:rPr>
              <w:t>1791943238742-43-l38z6</w:t>
            </w:r>
          </w:p>
        </w:tc>
        <w:tc>
          <w:tcPr>
            <w:tcW w:type="dxa" w:w="1020"/>
          </w:tcPr>
          <w:p>
            <w:r/>
            <w:r>
              <w:rPr>
                <w:b w:val="0"/>
              </w:rPr>
              <w:t>D1.4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15</w:t>
            </w:r>
          </w:p>
        </w:tc>
        <w:tc>
          <w:tcPr>
            <w:tcW w:type="dxa" w:w="1587"/>
          </w:tcPr>
          <w:p>
            <w:r/>
            <w:r>
              <w:rPr>
                <w:b w:val="0"/>
              </w:rPr>
              <w:t>第六批</w:t>
            </w:r>
          </w:p>
        </w:tc>
        <w:tc>
          <w:tcPr>
            <w:tcW w:type="dxa" w:w="3969"/>
          </w:tcPr>
          <w:p>
            <w:r/>
            <w:r>
              <w:rPr>
                <w:b w:val="0"/>
              </w:rPr>
              <w:t>1791943269969-47-mryb2</w:t>
            </w:r>
          </w:p>
        </w:tc>
        <w:tc>
          <w:tcPr>
            <w:tcW w:type="dxa" w:w="1020"/>
          </w:tcPr>
          <w:p>
            <w:r/>
            <w:r>
              <w:rPr>
                <w:b w:val="0"/>
              </w:rPr>
              <w:t>D2.3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16</w:t>
            </w:r>
          </w:p>
        </w:tc>
        <w:tc>
          <w:tcPr>
            <w:tcW w:type="dxa" w:w="1587"/>
          </w:tcPr>
          <w:p>
            <w:r/>
            <w:r>
              <w:rPr>
                <w:b w:val="0"/>
              </w:rPr>
              <w:t>第六批</w:t>
            </w:r>
          </w:p>
        </w:tc>
        <w:tc>
          <w:tcPr>
            <w:tcW w:type="dxa" w:w="3969"/>
          </w:tcPr>
          <w:p>
            <w:r/>
            <w:r>
              <w:rPr>
                <w:b w:val="0"/>
              </w:rPr>
              <w:t>1791943199628-31-3294z</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17</w:t>
            </w:r>
          </w:p>
        </w:tc>
        <w:tc>
          <w:tcPr>
            <w:tcW w:type="dxa" w:w="1587"/>
          </w:tcPr>
          <w:p>
            <w:r/>
            <w:r>
              <w:rPr>
                <w:b w:val="0"/>
              </w:rPr>
              <w:t>第六批</w:t>
            </w:r>
          </w:p>
        </w:tc>
        <w:tc>
          <w:tcPr>
            <w:tcW w:type="dxa" w:w="3969"/>
          </w:tcPr>
          <w:p>
            <w:r/>
            <w:r>
              <w:rPr>
                <w:b w:val="0"/>
              </w:rPr>
              <w:t>1791943294885-53-cjlfm</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18</w:t>
            </w:r>
          </w:p>
        </w:tc>
        <w:tc>
          <w:tcPr>
            <w:tcW w:type="dxa" w:w="1587"/>
          </w:tcPr>
          <w:p>
            <w:r/>
            <w:r>
              <w:rPr>
                <w:b w:val="0"/>
              </w:rPr>
              <w:t>第六批</w:t>
            </w:r>
          </w:p>
        </w:tc>
        <w:tc>
          <w:tcPr>
            <w:tcW w:type="dxa" w:w="3969"/>
          </w:tcPr>
          <w:p>
            <w:r/>
            <w:r>
              <w:rPr>
                <w:b w:val="0"/>
              </w:rPr>
              <w:t>1791943171040-25-5puc0</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19</w:t>
            </w:r>
          </w:p>
        </w:tc>
        <w:tc>
          <w:tcPr>
            <w:tcW w:type="dxa" w:w="1587"/>
          </w:tcPr>
          <w:p>
            <w:r/>
            <w:r>
              <w:rPr>
                <w:b w:val="0"/>
              </w:rPr>
              <w:t>第六批</w:t>
            </w:r>
          </w:p>
        </w:tc>
        <w:tc>
          <w:tcPr>
            <w:tcW w:type="dxa" w:w="3969"/>
          </w:tcPr>
          <w:p>
            <w:r/>
            <w:r>
              <w:rPr>
                <w:b w:val="0"/>
              </w:rPr>
              <w:t>1791943294203-50-49u23</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20</w:t>
            </w:r>
          </w:p>
        </w:tc>
        <w:tc>
          <w:tcPr>
            <w:tcW w:type="dxa" w:w="1587"/>
          </w:tcPr>
          <w:p>
            <w:r/>
            <w:r>
              <w:rPr>
                <w:b w:val="0"/>
              </w:rPr>
              <w:t>第六批</w:t>
            </w:r>
          </w:p>
        </w:tc>
        <w:tc>
          <w:tcPr>
            <w:tcW w:type="dxa" w:w="3969"/>
          </w:tcPr>
          <w:p>
            <w:r/>
            <w:r>
              <w:rPr>
                <w:b w:val="0"/>
              </w:rPr>
              <w:t>1791943382925-72-rsjps</w:t>
            </w:r>
          </w:p>
        </w:tc>
        <w:tc>
          <w:tcPr>
            <w:tcW w:type="dxa" w:w="1020"/>
          </w:tcPr>
          <w:p>
            <w:r/>
            <w:r>
              <w:rPr>
                <w:b w:val="0"/>
              </w:rPr>
              <w:t>D3.3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21</w:t>
            </w:r>
          </w:p>
        </w:tc>
        <w:tc>
          <w:tcPr>
            <w:tcW w:type="dxa" w:w="1587"/>
          </w:tcPr>
          <w:p>
            <w:r/>
            <w:r>
              <w:rPr>
                <w:b w:val="0"/>
              </w:rPr>
              <w:t>第七批</w:t>
            </w:r>
          </w:p>
        </w:tc>
        <w:tc>
          <w:tcPr>
            <w:tcW w:type="dxa" w:w="3969"/>
          </w:tcPr>
          <w:p>
            <w:r/>
            <w:r>
              <w:rPr>
                <w:b w:val="0"/>
              </w:rPr>
              <w:t>1791942414357-14</w:t>
            </w:r>
          </w:p>
        </w:tc>
        <w:tc>
          <w:tcPr>
            <w:tcW w:type="dxa" w:w="1020"/>
          </w:tcPr>
          <w:p>
            <w:r/>
            <w:r>
              <w:rPr>
                <w:b w:val="0"/>
              </w:rPr>
              <w:t>D3.5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22</w:t>
            </w:r>
          </w:p>
        </w:tc>
        <w:tc>
          <w:tcPr>
            <w:tcW w:type="dxa" w:w="1587"/>
          </w:tcPr>
          <w:p>
            <w:r/>
            <w:r>
              <w:rPr>
                <w:b w:val="0"/>
              </w:rPr>
              <w:t>第七批</w:t>
            </w:r>
          </w:p>
        </w:tc>
        <w:tc>
          <w:tcPr>
            <w:tcW w:type="dxa" w:w="3969"/>
          </w:tcPr>
          <w:p>
            <w:r/>
            <w:r>
              <w:rPr>
                <w:b w:val="0"/>
              </w:rPr>
              <w:t>1791943115211-14-nny8a</w:t>
            </w:r>
          </w:p>
        </w:tc>
        <w:tc>
          <w:tcPr>
            <w:tcW w:type="dxa" w:w="1020"/>
          </w:tcPr>
          <w:p>
            <w:r/>
            <w:r>
              <w:rPr>
                <w:b w:val="0"/>
              </w:rPr>
              <w:t>D3.5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23</w:t>
            </w:r>
          </w:p>
        </w:tc>
        <w:tc>
          <w:tcPr>
            <w:tcW w:type="dxa" w:w="1587"/>
          </w:tcPr>
          <w:p>
            <w:r/>
            <w:r>
              <w:rPr>
                <w:b w:val="0"/>
              </w:rPr>
              <w:t>第七批</w:t>
            </w:r>
          </w:p>
        </w:tc>
        <w:tc>
          <w:tcPr>
            <w:tcW w:type="dxa" w:w="3969"/>
          </w:tcPr>
          <w:p>
            <w:r/>
            <w:r>
              <w:rPr>
                <w:b w:val="0"/>
              </w:rPr>
              <w:t>1791943330756-59-in7ze</w:t>
            </w:r>
          </w:p>
        </w:tc>
        <w:tc>
          <w:tcPr>
            <w:tcW w:type="dxa" w:w="1020"/>
          </w:tcPr>
          <w:p>
            <w:r/>
            <w:r>
              <w:rPr>
                <w:b w:val="0"/>
              </w:rPr>
              <w:t>D1.9</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24</w:t>
            </w:r>
          </w:p>
        </w:tc>
        <w:tc>
          <w:tcPr>
            <w:tcW w:type="dxa" w:w="1587"/>
          </w:tcPr>
          <w:p>
            <w:r/>
            <w:r>
              <w:rPr>
                <w:b w:val="0"/>
              </w:rPr>
              <w:t>第七批</w:t>
            </w:r>
          </w:p>
        </w:tc>
        <w:tc>
          <w:tcPr>
            <w:tcW w:type="dxa" w:w="3969"/>
          </w:tcPr>
          <w:p>
            <w:r/>
            <w:r>
              <w:rPr>
                <w:b w:val="0"/>
              </w:rPr>
              <w:t>1791943346650-64-3nlj2</w:t>
            </w:r>
          </w:p>
        </w:tc>
        <w:tc>
          <w:tcPr>
            <w:tcW w:type="dxa" w:w="1020"/>
          </w:tcPr>
          <w:p>
            <w:r/>
            <w:r>
              <w:rPr>
                <w:b w:val="0"/>
              </w:rPr>
              <w:t>D1.5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25</w:t>
            </w:r>
          </w:p>
        </w:tc>
        <w:tc>
          <w:tcPr>
            <w:tcW w:type="dxa" w:w="1587"/>
          </w:tcPr>
          <w:p>
            <w:r/>
            <w:r>
              <w:rPr>
                <w:b w:val="0"/>
              </w:rPr>
              <w:t>第七批</w:t>
            </w:r>
          </w:p>
        </w:tc>
        <w:tc>
          <w:tcPr>
            <w:tcW w:type="dxa" w:w="3969"/>
          </w:tcPr>
          <w:p>
            <w:r/>
            <w:r>
              <w:rPr>
                <w:b w:val="0"/>
              </w:rPr>
              <w:t>1791943564576-114-jdy9q</w:t>
            </w:r>
          </w:p>
        </w:tc>
        <w:tc>
          <w:tcPr>
            <w:tcW w:type="dxa" w:w="1020"/>
          </w:tcPr>
          <w:p>
            <w:r/>
            <w:r>
              <w:rPr>
                <w:b w:val="0"/>
              </w:rPr>
              <w:t>D3.5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26</w:t>
            </w:r>
          </w:p>
        </w:tc>
        <w:tc>
          <w:tcPr>
            <w:tcW w:type="dxa" w:w="1587"/>
          </w:tcPr>
          <w:p>
            <w:r/>
            <w:r>
              <w:rPr>
                <w:b w:val="0"/>
              </w:rPr>
              <w:t>第七批</w:t>
            </w:r>
          </w:p>
        </w:tc>
        <w:tc>
          <w:tcPr>
            <w:tcW w:type="dxa" w:w="3969"/>
          </w:tcPr>
          <w:p>
            <w:r/>
            <w:r>
              <w:rPr>
                <w:b w:val="0"/>
              </w:rPr>
              <w:t>1791943983566-199-mxwfl</w:t>
            </w:r>
          </w:p>
        </w:tc>
        <w:tc>
          <w:tcPr>
            <w:tcW w:type="dxa" w:w="1020"/>
          </w:tcPr>
          <w:p>
            <w:r/>
            <w:r>
              <w:rPr>
                <w:b w:val="0"/>
              </w:rPr>
              <w:t>D1.9</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27</w:t>
            </w:r>
          </w:p>
        </w:tc>
        <w:tc>
          <w:tcPr>
            <w:tcW w:type="dxa" w:w="1587"/>
          </w:tcPr>
          <w:p>
            <w:r/>
            <w:r>
              <w:rPr>
                <w:b w:val="0"/>
              </w:rPr>
              <w:t>第七批</w:t>
            </w:r>
          </w:p>
        </w:tc>
        <w:tc>
          <w:tcPr>
            <w:tcW w:type="dxa" w:w="3969"/>
          </w:tcPr>
          <w:p>
            <w:r/>
            <w:r>
              <w:rPr>
                <w:b w:val="0"/>
              </w:rPr>
              <w:t>1791943026259-0-006uc</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28</w:t>
            </w:r>
          </w:p>
        </w:tc>
        <w:tc>
          <w:tcPr>
            <w:tcW w:type="dxa" w:w="1587"/>
          </w:tcPr>
          <w:p>
            <w:r/>
            <w:r>
              <w:rPr>
                <w:b w:val="0"/>
              </w:rPr>
              <w:t>第七批</w:t>
            </w:r>
          </w:p>
        </w:tc>
        <w:tc>
          <w:tcPr>
            <w:tcW w:type="dxa" w:w="3969"/>
          </w:tcPr>
          <w:p>
            <w:r/>
            <w:r>
              <w:rPr>
                <w:b w:val="0"/>
              </w:rPr>
              <w:t>1791943242476-42-b4cm9</w:t>
            </w:r>
          </w:p>
        </w:tc>
        <w:tc>
          <w:tcPr>
            <w:tcW w:type="dxa" w:w="1020"/>
          </w:tcPr>
          <w:p>
            <w:r/>
            <w:r>
              <w:rPr>
                <w:b w:val="0"/>
              </w:rPr>
              <w:t>D1.3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29</w:t>
            </w:r>
          </w:p>
        </w:tc>
        <w:tc>
          <w:tcPr>
            <w:tcW w:type="dxa" w:w="1587"/>
          </w:tcPr>
          <w:p>
            <w:r/>
            <w:r>
              <w:rPr>
                <w:b w:val="0"/>
              </w:rPr>
              <w:t>第七批</w:t>
            </w:r>
          </w:p>
        </w:tc>
        <w:tc>
          <w:tcPr>
            <w:tcW w:type="dxa" w:w="3969"/>
          </w:tcPr>
          <w:p>
            <w:r/>
            <w:r>
              <w:rPr>
                <w:b w:val="0"/>
              </w:rPr>
              <w:t>1791943290779-52-tsbao</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30</w:t>
            </w:r>
          </w:p>
        </w:tc>
        <w:tc>
          <w:tcPr>
            <w:tcW w:type="dxa" w:w="1587"/>
          </w:tcPr>
          <w:p>
            <w:r/>
            <w:r>
              <w:rPr>
                <w:b w:val="0"/>
              </w:rPr>
              <w:t>第七批</w:t>
            </w:r>
          </w:p>
        </w:tc>
        <w:tc>
          <w:tcPr>
            <w:tcW w:type="dxa" w:w="3969"/>
          </w:tcPr>
          <w:p>
            <w:r/>
            <w:r>
              <w:rPr>
                <w:b w:val="0"/>
              </w:rPr>
              <w:t>1791943271485-48-c6uyk</w:t>
            </w:r>
          </w:p>
        </w:tc>
        <w:tc>
          <w:tcPr>
            <w:tcW w:type="dxa" w:w="1020"/>
          </w:tcPr>
          <w:p>
            <w:r/>
            <w:r>
              <w:rPr>
                <w:b w:val="0"/>
              </w:rPr>
              <w:t>D2.4</w:t>
            </w:r>
          </w:p>
        </w:tc>
        <w:tc>
          <w:tcPr>
            <w:tcW w:type="dxa" w:w="1247"/>
          </w:tcPr>
          <w:p>
            <w:r/>
            <w:r>
              <w:rPr>
                <w:b w:val="0"/>
              </w:rPr>
              <w:t>PRIMARY</w:t>
            </w:r>
          </w:p>
        </w:tc>
        <w:tc>
          <w:tcPr>
            <w:tcW w:type="dxa" w:w="1247"/>
          </w:tcPr>
          <w:p>
            <w:r/>
            <w:r>
              <w:rPr>
                <w:b w:val="0"/>
              </w:rPr>
              <w:t>3</w:t>
            </w:r>
          </w:p>
        </w:tc>
        <w:tc>
          <w:tcPr>
            <w:tcW w:type="dxa" w:w="3969"/>
          </w:tcPr>
          <w:p>
            <w:r/>
            <w:r>
              <w:rPr>
                <w:b w:val="0"/>
              </w:rPr>
            </w:r>
          </w:p>
        </w:tc>
      </w:tr>
    </w:tbl>
    <w:p>
      <w:r>
        <w:br w:type="page"/>
      </w:r>
    </w:p>
    <w:p>
      <w:pPr>
        <w:pStyle w:val="Heading1"/>
      </w:pPr>
      <w:r>
        <w:t>1. 第五批 · BEST · D2.1 Data Governance &amp; Data Quality for AI</w:t>
      </w:r>
    </w:p>
    <w:p>
      <w:pPr>
        <w:spacing w:after="60"/>
      </w:pPr>
      <w:r>
        <w:rPr>
          <w:b w:val="0"/>
          <w:i w:val="0"/>
          <w:color w:val="5A5A5A"/>
          <w:sz w:val="17"/>
        </w:rPr>
        <w:t>ID：aaig-pipe-1791942379061-5　难度：Director-Level</w:t>
      </w:r>
    </w:p>
    <w:p>
      <w:pPr>
        <w:spacing w:after="60"/>
      </w:pPr>
      <w:r>
        <w:rPr>
          <w:b w:val="0"/>
          <w:i w:val="0"/>
        </w:rPr>
        <w:t>情境：A multinational financial services enterprise is scaling generative and predictive AI capabilities across disparate business units for automated credit underwriting and customer servicing. An initial discovery exercise identifies systemic data quality deficiencies, including undocumented dataset provenance, legacy demographic bias in training corpora, and absent data lineage across pipeline stages.</w:t>
      </w:r>
    </w:p>
    <w:p>
      <w:pPr>
        <w:spacing w:after="60"/>
      </w:pPr>
      <w:r>
        <w:rPr>
          <w:b/>
          <w:i w:val="0"/>
        </w:rPr>
        <w:t>问题：To establish sustainable data governance and ensure trustworthy AI in accordance with ISO/IEC 42001, what is the BEST initial action for the AI Governance Director to take?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automated data-profiling and lineage-tagging tool across all pipeline repositories to continuously clean, deduplicate, and validate training records.</w:t>
            </w:r>
          </w:p>
        </w:tc>
        <w:tc>
          <w:tcPr>
            <w:tcW w:type="dxa" w:w="5669"/>
            <w:shd w:val="clear" w:color="auto" w:fill="FFF2CC"/>
          </w:tcPr>
          <w:p>
            <w:r/>
            <w:r>
              <w:rPr>
                <w:b/>
              </w:rPr>
              <w:t>Ask each business unit to keep its own data quality policy and review it each year with its governance lead.</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enterprise data governance framework defining data provenance, quality thresholds, and risk ownership aligned with organizational risk appetite.</w:t>
            </w:r>
          </w:p>
        </w:tc>
        <w:tc>
          <w:tcPr>
            <w:tcW w:type="dxa" w:w="5669"/>
            <w:shd w:val="clear" w:color="auto" w:fill="FFF2CC"/>
          </w:tcPr>
          <w:p>
            <w:r/>
            <w:r>
              <w:rPr>
                <w:b/>
              </w:rPr>
              <w:t>Agree common rules for data provenance and quality, with a named person accountable for each dataset.</w:t>
            </w:r>
          </w:p>
        </w:tc>
        <w:tc>
          <w:tcPr>
            <w:tcW w:type="dxa" w:w="1361"/>
          </w:tcPr>
          <w:p>
            <w:r/>
            <w:r>
              <w:rPr>
                <w:b w:val="0"/>
                <w:color w:val="BE5000"/>
              </w:rPr>
              <w:t>✱ 已改</w:t>
            </w:r>
          </w:p>
        </w:tc>
      </w:tr>
      <w:tr>
        <w:tc>
          <w:tcPr>
            <w:tcW w:type="dxa" w:w="907"/>
          </w:tcPr>
          <w:p>
            <w:r/>
            <w:r>
              <w:rPr>
                <w:b/>
              </w:rPr>
              <w:t>C</w:t>
            </w:r>
          </w:p>
        </w:tc>
        <w:tc>
          <w:tcPr>
            <w:tcW w:type="dxa" w:w="5669"/>
          </w:tcPr>
          <w:p>
            <w:r/>
            <w:r>
              <w:rPr>
                <w:b w:val="0"/>
              </w:rPr>
              <w:t>Mandate that individual data engineering teams immediately re-label and purge non-compliant training data prior to formally ratifying domain-specific policies.</w:t>
            </w:r>
          </w:p>
        </w:tc>
        <w:tc>
          <w:tcPr>
            <w:tcW w:type="dxa" w:w="5669"/>
          </w:tcPr>
          <w:p>
            <w:r/>
            <w:r>
              <w:rPr>
                <w:b w:val="0"/>
              </w:rPr>
              <w:t>Mandate that individual data engineering teams immediately re-label and purge non-compliant training data prior to formally ratifying domain-specific policies.</w:t>
            </w:r>
          </w:p>
        </w:tc>
        <w:tc>
          <w:tcPr>
            <w:tcW w:type="dxa" w:w="1361"/>
          </w:tcPr>
          <w:p>
            <w:r/>
            <w:r>
              <w:rPr>
                <w:b w:val="0"/>
                <w:color w:val="787878"/>
              </w:rPr>
              <w:t>未改</w:t>
            </w:r>
          </w:p>
        </w:tc>
      </w:tr>
      <w:tr>
        <w:tc>
          <w:tcPr>
            <w:tcW w:type="dxa" w:w="907"/>
          </w:tcPr>
          <w:p>
            <w:r/>
            <w:r>
              <w:rPr>
                <w:b/>
              </w:rPr>
              <w:t>D</w:t>
            </w:r>
          </w:p>
        </w:tc>
        <w:tc>
          <w:tcPr>
            <w:tcW w:type="dxa" w:w="5669"/>
          </w:tcPr>
          <w:p>
            <w:r/>
            <w:r>
              <w:rPr>
                <w:b w:val="0"/>
              </w:rPr>
              <w:t>Direct the Internal Audit team to continuously monitor feature pipelines and make operational approvals of training datasets prior to model development.</w:t>
            </w:r>
          </w:p>
        </w:tc>
        <w:tc>
          <w:tcPr>
            <w:tcW w:type="dxa" w:w="5669"/>
            <w:shd w:val="clear" w:color="auto" w:fill="FFF2CC"/>
          </w:tcPr>
          <w:p>
            <w:r/>
            <w:r>
              <w:rPr>
                <w:b/>
              </w:rPr>
              <w:t>Appoint a data steward in each business unit and let each steward set the quality rules for the datasets that unit owns.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 and Annex B.7) and NIST AI RMF (GOVERN 1.2), effective AI governance requires a top-down mandate. The BEST approach is establishing an enterprise-wide AI data governance framework that formalizes decision rights, provenance standards, quality criteria, and risk ownership aligned with risk appetite before procuring tools or performing ad-hoc remediations.</w:t>
      </w:r>
    </w:p>
    <w:p>
      <w:pPr>
        <w:spacing w:after="60"/>
      </w:pPr>
      <w:r>
        <w:rPr>
          <w:b/>
          <w:i w:val="0"/>
          <w:sz w:val="18"/>
        </w:rPr>
        <w:t>改写后的错误选项解析与错误类型：</w:t>
      </w:r>
    </w:p>
    <w:p>
      <w:pPr>
        <w:spacing w:after="60"/>
      </w:pPr>
      <w:r>
        <w:rPr>
          <w:b w:val="0"/>
          <w:i w:val="0"/>
          <w:sz w:val="18"/>
        </w:rPr>
        <w:t xml:space="preserve">  A（已改）A: Separate unit policies give structure, but without common thresholds and a named person accountable for each dataset, each unit still defines quality in its own way.　【类型：Unit-level policies without common standards】</w:t>
      </w:r>
    </w:p>
    <w:p>
      <w:pPr>
        <w:spacing w:after="60"/>
      </w:pPr>
      <w:r>
        <w:rPr>
          <w:b w:val="0"/>
          <w:i w:val="0"/>
          <w:sz w:val="18"/>
        </w:rPr>
        <w:t xml:space="preserve">  C（未改）Focuses on operational remediation at the unit level before overarching data taxonomies, quality standards, and governance policies have been established (wrong sequence).　【类型：Remediation before the policies are ratified】</w:t>
      </w:r>
    </w:p>
    <w:p>
      <w:pPr>
        <w:spacing w:after="60"/>
      </w:pPr>
      <w:r>
        <w:rPr>
          <w:b w:val="0"/>
          <w:i w:val="0"/>
          <w:sz w:val="18"/>
        </w:rPr>
        <w:t xml:space="preserve">  D（已改）D: Stewards are useful, but local rules recreate the inconsistency. The framework has to come first and the stewards then apply it.　【类型：Local rules without enterprise standards】</w:t>
      </w:r>
    </w:p>
    <w:p>
      <w:pPr>
        <w:spacing w:after="60"/>
      </w:pPr>
      <w:r>
        <w:rPr>
          <w:b w:val="0"/>
          <w:i w:val="0"/>
          <w:color w:val="5A5A5A"/>
          <w:sz w:val="17"/>
        </w:rPr>
        <w:t>出处（沿用原文，未核验）：NIST AI RMF 1.0 GOVERN 1.2, MAP 2.3 &amp; MEASURE 2.7; EU AI Act Art. 10 (for high-risk systems); ISO/IEC 42001:2023 (verify exact data governance clauses/annexes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 第五批 · BEST · D3.1 Buy vs. Build &amp; Third-Party Sourcing Decisions</w:t>
      </w:r>
    </w:p>
    <w:p>
      <w:pPr>
        <w:spacing w:after="60"/>
      </w:pPr>
      <w:r>
        <w:rPr>
          <w:b w:val="0"/>
          <w:i w:val="0"/>
          <w:color w:val="5A5A5A"/>
          <w:sz w:val="17"/>
        </w:rPr>
        <w:t>ID：aaig-pipe-1791942403792-10　难度：Intermediate</w:t>
      </w:r>
    </w:p>
    <w:p>
      <w:pPr>
        <w:spacing w:after="60"/>
      </w:pPr>
      <w:r>
        <w:rPr>
          <w:b w:val="0"/>
          <w:i w:val="0"/>
        </w:rPr>
        <w:t>情境：A multinational financial institution is evaluating whether to develop a proprietary Large Language Model in-house or procure an enterprise multi-tenant AI solution from an external cloud provider to assist with credit underwriting. The project sponsor wants to expedite vendor selection to meet an aggressive corporate quarterly deadline.</w:t>
      </w:r>
    </w:p>
    <w:p>
      <w:pPr>
        <w:spacing w:after="60"/>
      </w:pPr>
      <w:r>
        <w:rPr>
          <w:b/>
          <w:i w:val="0"/>
        </w:rPr>
        <w:t>问题：From an AI governance perspective, which of the following is the BEST approach to guide this sourcing determination?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 multi-criteria evaluation framework aligning strategic objectives, risk appetite, compliance obligations, and total cost of ownership.</w:t>
            </w:r>
          </w:p>
        </w:tc>
        <w:tc>
          <w:tcPr>
            <w:tcW w:type="dxa" w:w="5669"/>
            <w:shd w:val="clear" w:color="auto" w:fill="FFF2CC"/>
          </w:tcPr>
          <w:p>
            <w:r/>
            <w:r>
              <w:rPr>
                <w:b/>
              </w:rPr>
              <w:t>Set a multi-criteria evaluation covering strategy, risk appetite, compliance duties and total cost.</w:t>
            </w:r>
          </w:p>
        </w:tc>
        <w:tc>
          <w:tcPr>
            <w:tcW w:type="dxa" w:w="1361"/>
          </w:tcPr>
          <w:p>
            <w:r/>
            <w:r>
              <w:rPr>
                <w:b w:val="0"/>
                <w:color w:val="BE5000"/>
              </w:rPr>
              <w:t>✱ 已改</w:t>
            </w:r>
          </w:p>
        </w:tc>
      </w:tr>
      <w:tr>
        <w:tc>
          <w:tcPr>
            <w:tcW w:type="dxa" w:w="907"/>
          </w:tcPr>
          <w:p>
            <w:r/>
            <w:r>
              <w:rPr>
                <w:b/>
              </w:rPr>
              <w:t>B</w:t>
            </w:r>
          </w:p>
        </w:tc>
        <w:tc>
          <w:tcPr>
            <w:tcW w:type="dxa" w:w="5669"/>
          </w:tcPr>
          <w:p>
            <w:r/>
            <w:r>
              <w:rPr>
                <w:b w:val="0"/>
              </w:rPr>
              <w:t>Negotiate custom service level agreements and indemnification clauses regarding intellectual property infringement before conducting an initial organizational risk assessment.</w:t>
            </w:r>
          </w:p>
        </w:tc>
        <w:tc>
          <w:tcPr>
            <w:tcW w:type="dxa" w:w="5669"/>
            <w:shd w:val="clear" w:color="auto" w:fill="FFF2CC"/>
          </w:tcPr>
          <w:p>
            <w:r/>
            <w:r>
              <w:rPr>
                <w:b/>
              </w:rPr>
              <w:t>Negotiate service levels and indemnity clauses with the vendor before the firm has assessed the risks of the sourcing options.</w:t>
            </w:r>
          </w:p>
        </w:tc>
        <w:tc>
          <w:tcPr>
            <w:tcW w:type="dxa" w:w="1361"/>
          </w:tcPr>
          <w:p>
            <w:r/>
            <w:r>
              <w:rPr>
                <w:b w:val="0"/>
                <w:color w:val="BE5000"/>
              </w:rPr>
              <w:t>✱ 已改</w:t>
            </w:r>
          </w:p>
        </w:tc>
      </w:tr>
      <w:tr>
        <w:tc>
          <w:tcPr>
            <w:tcW w:type="dxa" w:w="907"/>
          </w:tcPr>
          <w:p>
            <w:r/>
            <w:r>
              <w:rPr>
                <w:b/>
              </w:rPr>
              <w:t>C</w:t>
            </w:r>
          </w:p>
        </w:tc>
        <w:tc>
          <w:tcPr>
            <w:tcW w:type="dxa" w:w="5669"/>
          </w:tcPr>
          <w:p>
            <w:r/>
            <w:r>
              <w:rPr>
                <w:b w:val="0"/>
              </w:rPr>
              <w:t>Mandate red-teaming benchmarks and technical latency stress testing on the third-party model to determine whether vendor performance meets functional throughput requirements.</w:t>
            </w:r>
          </w:p>
        </w:tc>
        <w:tc>
          <w:tcPr>
            <w:tcW w:type="dxa" w:w="5669"/>
            <w:shd w:val="clear" w:color="auto" w:fill="FFF2CC"/>
          </w:tcPr>
          <w:p>
            <w:r/>
            <w:r>
              <w:rPr>
                <w:b/>
              </w:rPr>
              <w:t>Ask two business sponsors to rank the options by expected benefit and take the option with the higher ranking.</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sourcing determination to the engineering lead who maintains sole authority over software architecture and infrastructure budgets.</w:t>
            </w:r>
          </w:p>
        </w:tc>
        <w:tc>
          <w:tcPr>
            <w:tcW w:type="dxa" w:w="5669"/>
            <w:shd w:val="clear" w:color="auto" w:fill="FFF2CC"/>
          </w:tcPr>
          <w:p>
            <w:r/>
            <w:r>
              <w:rPr>
                <w:b/>
              </w:rPr>
              <w:t>Ask the procurement team to pick the supplier with the lowest bid and record the choice for the governance committee.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 &amp; 8) and NIST AI RMF (GOVERN 1.2, MAP 1.5), AI sourcing decisions (buy vs. build) must be evaluated through a structured, multi-dimensional governance framework. This framework balances strategic alignment, organizational risk appetite, regulatory compliance (e.g., model transparency, data sovereignty), and lifecycle total cost of ownership rather than solely focusing on speed or functional capability.</w:t>
      </w:r>
    </w:p>
    <w:p>
      <w:pPr>
        <w:spacing w:after="60"/>
      </w:pPr>
      <w:r>
        <w:rPr>
          <w:b/>
          <w:i w:val="0"/>
          <w:sz w:val="18"/>
        </w:rPr>
        <w:t>改写后的错误选项解析与错误类型：</w:t>
      </w:r>
    </w:p>
    <w:p>
      <w:pPr>
        <w:spacing w:after="60"/>
      </w:pPr>
      <w:r>
        <w:rPr>
          <w:b w:val="0"/>
          <w:i w:val="0"/>
          <w:sz w:val="18"/>
        </w:rPr>
        <w:t xml:space="preserve">  B（已改）B: Contract terms matter, but negotiating them before the options and their risks are assessed commits the firm too early.　【类型：Contract terms before an initial risk assessment】</w:t>
      </w:r>
    </w:p>
    <w:p>
      <w:pPr>
        <w:spacing w:after="60"/>
      </w:pPr>
      <w:r>
        <w:rPr>
          <w:b w:val="0"/>
          <w:i w:val="0"/>
          <w:sz w:val="18"/>
        </w:rPr>
        <w:t xml:space="preserve">  C（已改）C: Sponsor ranking captures expected benefit, but not risk appetite, compliance duties or the cost of the option over its lifecycle.　【类型：Single-criterion ranking】</w:t>
      </w:r>
    </w:p>
    <w:p>
      <w:pPr>
        <w:spacing w:after="60"/>
      </w:pPr>
      <w:r>
        <w:rPr>
          <w:b w:val="0"/>
          <w:i w:val="0"/>
          <w:sz w:val="18"/>
        </w:rPr>
        <w:t xml:space="preserve">  D（已改）D: The lowest bid fits cost, but cost is only one factor. Strategy, risk and compliance duties have to be weighed before the choice.　【类型：Cost as the sole criterion】</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 第五批 · MOST · D1.3 Policies, Principles, Charters &amp; Procedures</w:t>
      </w:r>
    </w:p>
    <w:p>
      <w:pPr>
        <w:spacing w:after="60"/>
      </w:pPr>
      <w:r>
        <w:rPr>
          <w:b w:val="0"/>
          <w:i w:val="0"/>
          <w:color w:val="5A5A5A"/>
          <w:sz w:val="17"/>
        </w:rPr>
        <w:t>ID：aaig-pipe-1791942404379-12　难度：Intermediate</w:t>
      </w:r>
    </w:p>
    <w:p>
      <w:pPr>
        <w:spacing w:after="60"/>
      </w:pPr>
      <w:r>
        <w:rPr>
          <w:b w:val="0"/>
          <w:i w:val="0"/>
        </w:rPr>
        <w:t>情境：A global financial services firm is establishing an enterprise AI governance framework aligned with NIST AI RMF and ISO/IEC 42001. Several departments have independently begun procuring software-as-a-service (SaaS) generative AI tools without prior vetting against the organization's risk tolerance or ethical standards.</w:t>
      </w:r>
    </w:p>
    <w:p>
      <w:pPr>
        <w:spacing w:after="60"/>
      </w:pPr>
      <w:r>
        <w:rPr>
          <w:b/>
          <w:i w:val="0"/>
        </w:rPr>
        <w:t>问题：Which governance control is the MOST effective mechanism to establish oversight and accountability across all business units?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Mandating an enterprise AI acceptable use policy and steering committee approval process aligned with risk appetite.</w:t>
            </w:r>
          </w:p>
        </w:tc>
        <w:tc>
          <w:tcPr>
            <w:tcW w:type="dxa" w:w="5669"/>
            <w:shd w:val="clear" w:color="auto" w:fill="FFF2CC"/>
          </w:tcPr>
          <w:p>
            <w:r/>
            <w:r>
              <w:rPr>
                <w:b/>
              </w:rPr>
              <w:t>Mandate an enterprise AI acceptable use policy and a steering committee approval process for all business units.</w:t>
            </w:r>
          </w:p>
        </w:tc>
        <w:tc>
          <w:tcPr>
            <w:tcW w:type="dxa" w:w="1361"/>
          </w:tcPr>
          <w:p>
            <w:r/>
            <w:r>
              <w:rPr>
                <w:b w:val="0"/>
                <w:color w:val="BE5000"/>
              </w:rPr>
              <w:t>✱ 已改</w:t>
            </w:r>
          </w:p>
        </w:tc>
      </w:tr>
      <w:tr>
        <w:tc>
          <w:tcPr>
            <w:tcW w:type="dxa" w:w="907"/>
          </w:tcPr>
          <w:p>
            <w:r/>
            <w:r>
              <w:rPr>
                <w:b/>
              </w:rPr>
              <w:t>B</w:t>
            </w:r>
          </w:p>
        </w:tc>
        <w:tc>
          <w:tcPr>
            <w:tcW w:type="dxa" w:w="5669"/>
          </w:tcPr>
          <w:p>
            <w:r/>
            <w:r>
              <w:rPr>
                <w:b w:val="0"/>
              </w:rPr>
              <w:t>Deploying automated network monitoring agents and endpoint data loss prevention tools to block unapproved generative AI web traffic.</w:t>
            </w:r>
          </w:p>
        </w:tc>
        <w:tc>
          <w:tcPr>
            <w:tcW w:type="dxa" w:w="5669"/>
            <w:shd w:val="clear" w:color="auto" w:fill="FFF2CC"/>
          </w:tcPr>
          <w:p>
            <w:r/>
            <w:r>
              <w:rPr>
                <w:b/>
              </w:rPr>
              <w:t>Ask each business unit to name an owner for each AI application and share the list with the risk function once a year.</w:t>
            </w:r>
          </w:p>
        </w:tc>
        <w:tc>
          <w:tcPr>
            <w:tcW w:type="dxa" w:w="1361"/>
          </w:tcPr>
          <w:p>
            <w:r/>
            <w:r>
              <w:rPr>
                <w:b w:val="0"/>
                <w:color w:val="BE5000"/>
              </w:rPr>
              <w:t>✱ 已改</w:t>
            </w:r>
          </w:p>
        </w:tc>
      </w:tr>
      <w:tr>
        <w:tc>
          <w:tcPr>
            <w:tcW w:type="dxa" w:w="907"/>
          </w:tcPr>
          <w:p>
            <w:r/>
            <w:r>
              <w:rPr>
                <w:b/>
              </w:rPr>
              <w:t>C</w:t>
            </w:r>
          </w:p>
        </w:tc>
        <w:tc>
          <w:tcPr>
            <w:tcW w:type="dxa" w:w="5669"/>
          </w:tcPr>
          <w:p>
            <w:r/>
            <w:r>
              <w:rPr>
                <w:b w:val="0"/>
              </w:rPr>
              <w:t>Conducting detailed algorithmic impact assessments and bias audits across all business unit productivity tools currently in operational use.</w:t>
            </w:r>
          </w:p>
        </w:tc>
        <w:tc>
          <w:tcPr>
            <w:tcW w:type="dxa" w:w="5669"/>
            <w:shd w:val="clear" w:color="auto" w:fill="FFF2CC"/>
          </w:tcPr>
          <w:p>
            <w:r/>
            <w:r>
              <w:rPr>
                <w:b/>
              </w:rPr>
              <w:t>Run an awareness campaign on responsible AI use and ask all employees to confirm that they have read the guidance.</w:t>
            </w:r>
          </w:p>
        </w:tc>
        <w:tc>
          <w:tcPr>
            <w:tcW w:type="dxa" w:w="1361"/>
          </w:tcPr>
          <w:p>
            <w:r/>
            <w:r>
              <w:rPr>
                <w:b w:val="0"/>
                <w:color w:val="BE5000"/>
              </w:rPr>
              <w:t>✱ 已改</w:t>
            </w:r>
          </w:p>
        </w:tc>
      </w:tr>
      <w:tr>
        <w:tc>
          <w:tcPr>
            <w:tcW w:type="dxa" w:w="907"/>
          </w:tcPr>
          <w:p>
            <w:r/>
            <w:r>
              <w:rPr>
                <w:b/>
              </w:rPr>
              <w:t>D</w:t>
            </w:r>
          </w:p>
        </w:tc>
        <w:tc>
          <w:tcPr>
            <w:tcW w:type="dxa" w:w="5669"/>
          </w:tcPr>
          <w:p>
            <w:r/>
            <w:r>
              <w:rPr>
                <w:b w:val="0"/>
              </w:rPr>
              <w:t>Delegating AI tool evaluation and compliance sign-off authority exclusively to individual business unit managers to expedite departmental workflows.</w:t>
            </w:r>
          </w:p>
        </w:tc>
        <w:tc>
          <w:tcPr>
            <w:tcW w:type="dxa" w:w="5669"/>
            <w:shd w:val="clear" w:color="auto" w:fill="FFF2CC"/>
          </w:tcPr>
          <w:p>
            <w:r/>
            <w:r>
              <w:rPr>
                <w:b/>
              </w:rPr>
              <w:t>Delegate AI tool evaluation and compliance sign-off to the business unit managers who will use the tools.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5 and 6) and NIST AI RMF (GOVERN 1.1 and 1.2), effective AI governance requires establishing top-down foundational controls, notably an enterprise-wide AI acceptable use policy and a centralized cross-functional steering committee. This ensures that organizational risk appetite, ethical boundaries, and clear decision rights are codified before systems are onboarded, providing consistent enterprise-wide accountability.</w:t>
      </w:r>
    </w:p>
    <w:p>
      <w:pPr>
        <w:spacing w:after="60"/>
      </w:pPr>
      <w:r>
        <w:rPr>
          <w:b/>
          <w:i w:val="0"/>
          <w:sz w:val="18"/>
        </w:rPr>
        <w:t>改写后的错误选项解析与错误类型：</w:t>
      </w:r>
    </w:p>
    <w:p>
      <w:pPr>
        <w:spacing w:after="60"/>
      </w:pPr>
      <w:r>
        <w:rPr>
          <w:b w:val="0"/>
          <w:i w:val="0"/>
          <w:sz w:val="18"/>
        </w:rPr>
        <w:t xml:space="preserve">  B（已改）B: A list shows what is in use, but it sets no rules and no approval route, so accountability across units stays unclear.　【类型：Inventory without rules】</w:t>
      </w:r>
    </w:p>
    <w:p>
      <w:pPr>
        <w:spacing w:after="60"/>
      </w:pPr>
      <w:r>
        <w:rPr>
          <w:b w:val="0"/>
          <w:i w:val="0"/>
          <w:sz w:val="18"/>
        </w:rPr>
        <w:t xml:space="preserve">  C（已改）C: Awareness raises understanding, but it does not set approval routes or decision rights across business units.　【类型：Awareness mistaken for oversight】</w:t>
      </w:r>
    </w:p>
    <w:p>
      <w:pPr>
        <w:spacing w:after="60"/>
      </w:pPr>
      <w:r>
        <w:rPr>
          <w:b w:val="0"/>
          <w:i w:val="0"/>
          <w:sz w:val="18"/>
        </w:rPr>
        <w:t xml:space="preserve">  D（已改）D: Delegation speeds up work, but sign-off by the units that use the tools leaves no enterprise-wide accountability.　【类型：Delegation without enterprise criteria】</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 第五批 · PRIMARY · D3.6 Third-Party &amp; Supply Chain AI Risk Management</w:t>
      </w:r>
    </w:p>
    <w:p>
      <w:pPr>
        <w:spacing w:after="60"/>
      </w:pPr>
      <w:r>
        <w:rPr>
          <w:b w:val="0"/>
          <w:i w:val="0"/>
          <w:color w:val="5A5A5A"/>
          <w:sz w:val="17"/>
        </w:rPr>
        <w:t>ID：aaig-pipe-1791942454013-23　难度：Director-Level</w:t>
      </w:r>
    </w:p>
    <w:p>
      <w:pPr>
        <w:spacing w:after="60"/>
      </w:pPr>
      <w:r>
        <w:rPr>
          <w:b w:val="0"/>
          <w:i w:val="0"/>
        </w:rPr>
        <w:t>情境：A multinational enterprise plans to embed an external vendor's proprietary foundational model into its core customer-facing underwriting and decision-making pipeline. To comply with ISO/IEC 42001 supplier controls and NIST AI RMF (GOVERN 6), leadership must address potential risks associated with supply chain opacity, upstream data lineage, and hidden model dependencies.</w:t>
      </w:r>
    </w:p>
    <w:p>
      <w:pPr>
        <w:spacing w:after="60"/>
      </w:pPr>
      <w:r>
        <w:rPr>
          <w:b/>
          <w:i w:val="0"/>
        </w:rPr>
        <w:t>问题：What is the enterprise AI Governance Director's PRIMARY objective when formalizing oversight for this third-party AI supply chain arrangement?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continuous real-time telemetry monitoring, automated drift alerting, and empirical red-teaming pipelines directly within the vendor's hosting infrastructure.</w:t>
            </w:r>
          </w:p>
        </w:tc>
        <w:tc>
          <w:tcPr>
            <w:tcW w:type="dxa" w:w="5669"/>
          </w:tcPr>
          <w:p>
            <w:r/>
            <w:r>
              <w:rPr>
                <w:b w:val="0"/>
              </w:rPr>
              <w:t>Mandate continuous real-time telemetry monitoring, automated drift alerting, and empirical red-teaming pipelines directly within the vendor's hosting infrastructure.</w:t>
            </w:r>
          </w:p>
        </w:tc>
        <w:tc>
          <w:tcPr>
            <w:tcW w:type="dxa" w:w="1361"/>
          </w:tcPr>
          <w:p>
            <w:r/>
            <w:r>
              <w:rPr>
                <w:b w:val="0"/>
                <w:color w:val="787878"/>
              </w:rPr>
              <w:t>未改</w:t>
            </w:r>
          </w:p>
        </w:tc>
      </w:tr>
      <w:tr>
        <w:tc>
          <w:tcPr>
            <w:tcW w:type="dxa" w:w="907"/>
          </w:tcPr>
          <w:p>
            <w:r/>
            <w:r>
              <w:rPr>
                <w:b/>
              </w:rPr>
              <w:t>B</w:t>
            </w:r>
          </w:p>
        </w:tc>
        <w:tc>
          <w:tcPr>
            <w:tcW w:type="dxa" w:w="5669"/>
          </w:tcPr>
          <w:p>
            <w:r/>
            <w:r>
              <w:rPr>
                <w:b w:val="0"/>
              </w:rPr>
              <w:t>Execute recurring forensic bias audits and independent algorithmic reviews across vendor model checkpoints prior to contract execution.</w:t>
            </w:r>
          </w:p>
        </w:tc>
        <w:tc>
          <w:tcPr>
            <w:tcW w:type="dxa" w:w="5669"/>
            <w:shd w:val="clear" w:color="auto" w:fill="FFF2CC"/>
          </w:tcPr>
          <w:p>
            <w:r/>
            <w:r>
              <w:rPr>
                <w:b/>
              </w:rPr>
              <w:t>Ask the supplier to complete the firm's standard security questionnaire once at onboarding and file the answers.</w:t>
            </w:r>
          </w:p>
        </w:tc>
        <w:tc>
          <w:tcPr>
            <w:tcW w:type="dxa" w:w="1361"/>
          </w:tcPr>
          <w:p>
            <w:r/>
            <w:r>
              <w:rPr>
                <w:b w:val="0"/>
                <w:color w:val="BE5000"/>
              </w:rPr>
              <w:t>✱ 已改</w:t>
            </w:r>
          </w:p>
        </w:tc>
      </w:tr>
      <w:tr>
        <w:tc>
          <w:tcPr>
            <w:tcW w:type="dxa" w:w="907"/>
          </w:tcPr>
          <w:p>
            <w:r/>
            <w:r>
              <w:rPr>
                <w:b/>
              </w:rPr>
              <w:t>C</w:t>
            </w:r>
          </w:p>
        </w:tc>
        <w:tc>
          <w:tcPr>
            <w:tcW w:type="dxa" w:w="5669"/>
          </w:tcPr>
          <w:p>
            <w:r/>
            <w:r>
              <w:rPr>
                <w:b w:val="0"/>
              </w:rPr>
              <w:t>Formally execute commercial procurement contracts and directly assume first-line operational ownership of the third-party model adaptation.</w:t>
            </w:r>
          </w:p>
        </w:tc>
        <w:tc>
          <w:tcPr>
            <w:tcW w:type="dxa" w:w="5669"/>
            <w:shd w:val="clear" w:color="auto" w:fill="FFF2CC"/>
          </w:tcPr>
          <w:p>
            <w:r/>
            <w:r>
              <w:rPr>
                <w:b/>
              </w:rPr>
              <w:t>Approve the supplier arrangement once the business owner confirms that the commercial terms are acceptable.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supplier risk tiering criteria, governance expectations, and contractual assurance rights aligned to enterprise risk appetite.</w:t>
            </w:r>
          </w:p>
        </w:tc>
        <w:tc>
          <w:tcPr>
            <w:tcW w:type="dxa" w:w="5669"/>
            <w:shd w:val="clear" w:color="auto" w:fill="FFF2CC"/>
          </w:tcPr>
          <w:p>
            <w:r/>
            <w:r>
              <w:rPr>
                <w:b/>
              </w:rPr>
              <w:t>Set supplier risk tiers, expectations for transparency and contractual assurance rights that fit the firm's appetite for risk.</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AI governance perspective (anchored in ISO/IEC 42001 Clause 8.2/Control A.8.4 and NIST AI RMF GOVERN 6.1/6.2), the primary role of the governance function in third-party and supply chain management is top-down: defining supplier AI risk categorization criteria, codifying governance and transparency expectations, and ensuring contractual agreements reserve appropriate audit, compliance, and assurance rights consistent with the organization's risk appetite.</w:t>
      </w:r>
    </w:p>
    <w:p>
      <w:pPr>
        <w:spacing w:after="60"/>
      </w:pPr>
      <w:r>
        <w:rPr>
          <w:b/>
          <w:i w:val="0"/>
          <w:sz w:val="18"/>
        </w:rPr>
        <w:t>改写后的错误选项解析与错误类型：</w:t>
      </w:r>
    </w:p>
    <w:p>
      <w:pPr>
        <w:spacing w:after="60"/>
      </w:pPr>
      <w:r>
        <w:rPr>
          <w:b w:val="0"/>
          <w:i w:val="0"/>
          <w:sz w:val="18"/>
        </w:rPr>
        <w:t xml:space="preserve">  A（未改）Option A is incorrect due to wrong PRIORITY: while technical telemetry and runtime monitoring are valuable operational controls, focusing primarily on technical instrumentation misses the governance mandate of setting supplier policies, risk boundaries, and contractual obligations.　【类型：Technical monitoring inside the vendor's infrastructure】</w:t>
      </w:r>
    </w:p>
    <w:p>
      <w:pPr>
        <w:spacing w:after="60"/>
      </w:pPr>
      <w:r>
        <w:rPr>
          <w:b w:val="0"/>
          <w:i w:val="0"/>
          <w:sz w:val="18"/>
        </w:rPr>
        <w:t xml:space="preserve">  B（已改）B: A questionnaire records the supplier's claims at one point in time. It sets no tiers, expectations or audit rights.　【类型：One-off self-assessment】</w:t>
      </w:r>
    </w:p>
    <w:p>
      <w:pPr>
        <w:spacing w:after="60"/>
      </w:pPr>
      <w:r>
        <w:rPr>
          <w:b w:val="0"/>
          <w:i w:val="0"/>
          <w:sz w:val="18"/>
        </w:rPr>
        <w:t xml:space="preserve">  C（已改）C: Commercial acceptance is a business decision. The governance objective is risk tiering and assurance rights that continue through the arrangement.　【类型：Commercial approval mistaken for oversight】</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5. 第五批 · BEST · D2.1 Data Governance &amp; Data Quality for AI</w:t>
      </w:r>
    </w:p>
    <w:p>
      <w:pPr>
        <w:spacing w:after="60"/>
      </w:pPr>
      <w:r>
        <w:rPr>
          <w:b w:val="0"/>
          <w:i w:val="0"/>
          <w:color w:val="5A5A5A"/>
          <w:sz w:val="17"/>
        </w:rPr>
        <w:t>ID：aaig-pipe-1791942470081-25　难度：Director-Level</w:t>
      </w:r>
    </w:p>
    <w:p>
      <w:pPr>
        <w:spacing w:after="60"/>
      </w:pPr>
      <w:r>
        <w:rPr>
          <w:b w:val="0"/>
          <w:i w:val="0"/>
        </w:rPr>
        <w:t>情境：A multinational financial services enterprise is expanding its automated credit underwriting models by ingesting alternative, unstructured third-party consumer data streams across multiple subsidiaries. A recent AI maturity assessment identified severe gaps in data lineage, inconsistent data quality metrics, and unverified data provenance, creating heightened exposure to regulatory non-compliance under emerging AI frameworks.</w:t>
      </w:r>
    </w:p>
    <w:p>
      <w:pPr>
        <w:spacing w:after="60"/>
      </w:pPr>
      <w:r>
        <w:rPr>
          <w:b/>
          <w:i w:val="0"/>
        </w:rPr>
        <w:t>问题：From an AI governance director's perspective, which of the following is the BEST approach to institutionalize enterprise-wide data quality and data governance for these AI systems?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data profiling pipelines and algorithmic anomaly detection toolsets into feature stores to remediate distribution shifts dynamically.</w:t>
            </w:r>
          </w:p>
        </w:tc>
        <w:tc>
          <w:tcPr>
            <w:tcW w:type="dxa" w:w="5669"/>
            <w:shd w:val="clear" w:color="auto" w:fill="FFF2CC"/>
          </w:tcPr>
          <w:p>
            <w:r/>
            <w:r>
              <w:rPr>
                <w:b/>
              </w:rPr>
              <w:t>Ask business units to name a data owner for each dataset, who then decides what quality is acceptable.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AI data governance framework defining cross-functional ownership, data quality and provenance criteria, and independent verification mechanisms.</w:t>
            </w:r>
          </w:p>
        </w:tc>
        <w:tc>
          <w:tcPr>
            <w:tcW w:type="dxa" w:w="5669"/>
            <w:shd w:val="clear" w:color="auto" w:fill="FFF2CC"/>
          </w:tcPr>
          <w:p>
            <w:r/>
            <w:r>
              <w:rPr>
                <w:b/>
              </w:rPr>
              <w:t>Agree one set of data quality and provenance criteria with named owners and independent verification.</w:t>
            </w:r>
          </w:p>
        </w:tc>
        <w:tc>
          <w:tcPr>
            <w:tcW w:type="dxa" w:w="1361"/>
          </w:tcPr>
          <w:p>
            <w:r/>
            <w:r>
              <w:rPr>
                <w:b w:val="0"/>
                <w:color w:val="BE5000"/>
              </w:rPr>
              <w:t>✱ 已改</w:t>
            </w:r>
          </w:p>
        </w:tc>
      </w:tr>
      <w:tr>
        <w:tc>
          <w:tcPr>
            <w:tcW w:type="dxa" w:w="907"/>
          </w:tcPr>
          <w:p>
            <w:r/>
            <w:r>
              <w:rPr>
                <w:b/>
              </w:rPr>
              <w:t>C</w:t>
            </w:r>
          </w:p>
        </w:tc>
        <w:tc>
          <w:tcPr>
            <w:tcW w:type="dxa" w:w="5669"/>
          </w:tcPr>
          <w:p>
            <w:r/>
            <w:r>
              <w:rPr>
                <w:b w:val="0"/>
              </w:rPr>
              <w:t>Mandate immediate data cleansing sprints and third-party vendor audits across all business unit underwriting pipelines before approving any new model releases.</w:t>
            </w:r>
          </w:p>
        </w:tc>
        <w:tc>
          <w:tcPr>
            <w:tcW w:type="dxa" w:w="5669"/>
          </w:tcPr>
          <w:p>
            <w:r/>
            <w:r>
              <w:rPr>
                <w:b w:val="0"/>
              </w:rPr>
              <w:t>Mandate immediate data cleansing sprints and third-party vendor audits across all business unit underwriting pipelines before approving any new model releases.</w:t>
            </w:r>
          </w:p>
        </w:tc>
        <w:tc>
          <w:tcPr>
            <w:tcW w:type="dxa" w:w="1361"/>
          </w:tcPr>
          <w:p>
            <w:r/>
            <w:r>
              <w:rPr>
                <w:b w:val="0"/>
                <w:color w:val="787878"/>
              </w:rPr>
              <w:t>未改</w:t>
            </w:r>
          </w:p>
        </w:tc>
      </w:tr>
      <w:tr>
        <w:tc>
          <w:tcPr>
            <w:tcW w:type="dxa" w:w="907"/>
          </w:tcPr>
          <w:p>
            <w:r/>
            <w:r>
              <w:rPr>
                <w:b/>
              </w:rPr>
              <w:t>D</w:t>
            </w:r>
          </w:p>
        </w:tc>
        <w:tc>
          <w:tcPr>
            <w:tcW w:type="dxa" w:w="5669"/>
          </w:tcPr>
          <w:p>
            <w:r/>
            <w:r>
              <w:rPr>
                <w:b w:val="0"/>
              </w:rPr>
              <w:t>Authorize the independent internal audit function to define and enforce acceptable training data provenance thresholds and quality tolerances across the enterprise.</w:t>
            </w:r>
          </w:p>
        </w:tc>
        <w:tc>
          <w:tcPr>
            <w:tcW w:type="dxa" w:w="5669"/>
            <w:shd w:val="clear" w:color="auto" w:fill="FFF2CC"/>
          </w:tcPr>
          <w:p>
            <w:r/>
            <w:r>
              <w:rPr>
                <w:b/>
              </w:rPr>
              <w:t>Hire an outside data consultancy to cleanse the training data and certify it as fit for purpose.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(Section 6 and Annex A.6) and NIST AI RMF (GOVERN 1.2, MAP 2.3), effective data governance for AI requires establishing a top-down, formalized framework. This entails explicit cross-functional accountability (data owners, AI developers, risk managers), clear standards for data quality, provenance, and lineage, along with objective second-line monitoring, rather than fragmented or purely technical solutions.</w:t>
      </w:r>
    </w:p>
    <w:p>
      <w:pPr>
        <w:spacing w:after="60"/>
      </w:pPr>
      <w:r>
        <w:rPr>
          <w:b/>
          <w:i w:val="0"/>
          <w:sz w:val="18"/>
        </w:rPr>
        <w:t>改写后的错误选项解析与错误类型：</w:t>
      </w:r>
    </w:p>
    <w:p>
      <w:pPr>
        <w:spacing w:after="60"/>
      </w:pPr>
      <w:r>
        <w:rPr>
          <w:b w:val="0"/>
          <w:i w:val="0"/>
          <w:sz w:val="18"/>
        </w:rPr>
        <w:t xml:space="preserve">  A（已改）A: Owners are needed, but if each owner decides acceptable quality alone, the standards differ and nobody verifies them independently.　【类型：Ownership without common criteria】</w:t>
      </w:r>
    </w:p>
    <w:p>
      <w:pPr>
        <w:spacing w:after="60"/>
      </w:pPr>
      <w:r>
        <w:rPr>
          <w:b w:val="0"/>
          <w:i w:val="0"/>
          <w:sz w:val="18"/>
        </w:rPr>
        <w:t xml:space="preserve">  C（未改）Option C represents wrong SEQUENCE/TIMING; initiating ad-hoc cleansing sprints and audits acts on tactical symptoms prematurely without first instituting the formal policy, standardized metrics, and governance requirements that govern data quality.　【类型：Remediation before the framework exists】</w:t>
      </w:r>
    </w:p>
    <w:p>
      <w:pPr>
        <w:spacing w:after="60"/>
      </w:pPr>
      <w:r>
        <w:rPr>
          <w:b w:val="0"/>
          <w:i w:val="0"/>
          <w:sz w:val="18"/>
        </w:rPr>
        <w:t xml:space="preserve">  D（已改）D: A one-off cleanse and certificate fixes today's data, but sets no owners, criteria or verification that continue as the data changes.　【类型：One-off cleanse mistaken for governance】</w:t>
      </w:r>
    </w:p>
    <w:p>
      <w:pPr>
        <w:spacing w:after="60"/>
      </w:pPr>
      <w:r>
        <w:rPr>
          <w:b w:val="0"/>
          <w:i w:val="0"/>
          <w:color w:val="5A5A5A"/>
          <w:sz w:val="17"/>
        </w:rPr>
        <w:t>出处（沿用原文，未核验）：NIST AI RMF 1.0 GOVERN 1.2, MAP 2.3 &amp; MEASURE 2.7; EU AI Act Art. 10 (for high-risk systems); ISO/IEC 42001:2023 (verify exact data governance clauses/annexes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6. 第五批 · MOST · D3.3 Model Drift, Degradation &amp; Performance KPIs</w:t>
      </w:r>
    </w:p>
    <w:p>
      <w:pPr>
        <w:spacing w:after="60"/>
      </w:pPr>
      <w:r>
        <w:rPr>
          <w:b w:val="0"/>
          <w:i w:val="0"/>
          <w:color w:val="5A5A5A"/>
          <w:sz w:val="17"/>
        </w:rPr>
        <w:t>ID：aaig-pipe-1791943105269-12-9ueky　难度：Intermediate</w:t>
      </w:r>
    </w:p>
    <w:p>
      <w:pPr>
        <w:spacing w:after="60"/>
      </w:pPr>
      <w:r>
        <w:rPr>
          <w:b w:val="0"/>
          <w:i w:val="0"/>
        </w:rPr>
        <w:t>情境：A financial services institution utilizes an automated machine learning model to evaluate credit risk for commercial loans. Six months following deployment, ongoing telemetry detects significant feature drift in macroeconomic variables and a steady degradation in predictive accuracy relative to baseline metrics.</w:t>
      </w:r>
    </w:p>
    <w:p>
      <w:pPr>
        <w:spacing w:after="60"/>
      </w:pPr>
      <w:r>
        <w:rPr>
          <w:b/>
          <w:i w:val="0"/>
        </w:rPr>
        <w:t>问题：Which of the following controls is the MOST effective governance mechanism to ensure the system operates within defined risk tolerance?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Allow the first-line MLOps engineering team to recalibrate acceptance thresholds dynamically based on production throughput.</w:t>
            </w:r>
          </w:p>
        </w:tc>
        <w:tc>
          <w:tcPr>
            <w:tcW w:type="dxa" w:w="5669"/>
          </w:tcPr>
          <w:p>
            <w:r/>
            <w:r>
              <w:rPr>
                <w:b w:val="0"/>
              </w:rPr>
              <w:t>Allow the first-line MLOps engineering team to recalibrate acceptance thresholds dynamically based on production throughput.</w:t>
            </w:r>
          </w:p>
        </w:tc>
        <w:tc>
          <w:tcPr>
            <w:tcW w:type="dxa" w:w="1361"/>
          </w:tcPr>
          <w:p>
            <w:r/>
            <w:r>
              <w:rPr>
                <w:b w:val="0"/>
                <w:color w:val="787878"/>
              </w:rPr>
              <w:t>未改</w:t>
            </w:r>
          </w:p>
        </w:tc>
      </w:tr>
      <w:tr>
        <w:tc>
          <w:tcPr>
            <w:tcW w:type="dxa" w:w="907"/>
          </w:tcPr>
          <w:p>
            <w:r/>
            <w:r>
              <w:rPr>
                <w:b/>
              </w:rPr>
              <w:t>B</w:t>
            </w:r>
          </w:p>
        </w:tc>
        <w:tc>
          <w:tcPr>
            <w:tcW w:type="dxa" w:w="5669"/>
          </w:tcPr>
          <w:p>
            <w:r/>
            <w:r>
              <w:rPr>
                <w:b w:val="0"/>
              </w:rPr>
              <w:t>Retrain the production model immediately using recent inference payloads to optimize loss function convergence.</w:t>
            </w:r>
          </w:p>
        </w:tc>
        <w:tc>
          <w:tcPr>
            <w:tcW w:type="dxa" w:w="5669"/>
            <w:shd w:val="clear" w:color="auto" w:fill="FFF2CC"/>
          </w:tcPr>
          <w:p>
            <w:r/>
            <w:r>
              <w:rPr>
                <w:b/>
              </w:rPr>
              <w:t>Add the macroeconomic variables to the monitoring report and ask the model owner to watch them every week.</w:t>
            </w:r>
          </w:p>
        </w:tc>
        <w:tc>
          <w:tcPr>
            <w:tcW w:type="dxa" w:w="1361"/>
          </w:tcPr>
          <w:p>
            <w:r/>
            <w:r>
              <w:rPr>
                <w:b w:val="0"/>
                <w:color w:val="BE5000"/>
              </w:rPr>
              <w:t>✱ 已改</w:t>
            </w:r>
          </w:p>
        </w:tc>
      </w:tr>
      <w:tr>
        <w:tc>
          <w:tcPr>
            <w:tcW w:type="dxa" w:w="907"/>
          </w:tcPr>
          <w:p>
            <w:r/>
            <w:r>
              <w:rPr>
                <w:b/>
              </w:rPr>
              <w:t>C</w:t>
            </w:r>
          </w:p>
        </w:tc>
        <w:tc>
          <w:tcPr>
            <w:tcW w:type="dxa" w:w="5669"/>
          </w:tcPr>
          <w:p>
            <w:r/>
            <w:r>
              <w:rPr>
                <w:b w:val="0"/>
              </w:rPr>
              <w:t>Conduct a comprehensive third-line independent assurance review of the credit portfolio after year-end closing.</w:t>
            </w:r>
          </w:p>
        </w:tc>
        <w:tc>
          <w:tcPr>
            <w:tcW w:type="dxa" w:w="5669"/>
            <w:shd w:val="clear" w:color="auto" w:fill="FFF2CC"/>
          </w:tcPr>
          <w:p>
            <w:r/>
            <w:r>
              <w:rPr>
                <w:b/>
              </w:rPr>
              <w:t>Ask the model validation team to review the model every quarter and report its findings to the credit committee.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predefined performance threshold triggers tied to automated escalation and model fallback procedures.</w:t>
            </w:r>
          </w:p>
        </w:tc>
        <w:tc>
          <w:tcPr>
            <w:tcW w:type="dxa" w:w="5669"/>
            <w:shd w:val="clear" w:color="auto" w:fill="FFF2CC"/>
          </w:tcPr>
          <w:p>
            <w:r/>
            <w:r>
              <w:rPr>
                <w:b/>
              </w:rPr>
              <w:t>Set predefined performance thresholds that trigger escalation and model fallback procedures when they are crossed.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9.1) and NIST AI RMF (MANAGE 2.2, MEASURE 2.6), robust AI performance monitoring requires predefined quantitative thresholds linked directly to defined escalation pathways and fallback mechanisms (e.g., human-in-the-loop review or rule-based fallbacks). This ensures that model degradation and drift are addressed systematically before enterprise risk appetite is breached.</w:t>
      </w:r>
    </w:p>
    <w:p>
      <w:pPr>
        <w:spacing w:after="60"/>
      </w:pPr>
      <w:r>
        <w:rPr>
          <w:b/>
          <w:i w:val="0"/>
          <w:sz w:val="18"/>
        </w:rPr>
        <w:t>改写后的错误选项解析与错误类型：</w:t>
      </w:r>
    </w:p>
    <w:p>
      <w:pPr>
        <w:spacing w:after="60"/>
      </w:pPr>
      <w:r>
        <w:rPr>
          <w:b w:val="0"/>
          <w:i w:val="0"/>
          <w:sz w:val="18"/>
        </w:rPr>
        <w:t xml:space="preserve">  A（未改）Option A violates governance boundaries (wrong authorization/scope); first-line operational engineers cannot unilaterally alter risk acceptance thresholds, as this requires second-line oversight and alignment with the enterprise risk appetite.　【类型：Operating team adjusting its own limits】</w:t>
      </w:r>
    </w:p>
    <w:p>
      <w:pPr>
        <w:spacing w:after="60"/>
      </w:pPr>
      <w:r>
        <w:rPr>
          <w:b w:val="0"/>
          <w:i w:val="0"/>
          <w:sz w:val="18"/>
        </w:rPr>
        <w:t xml:space="preserve">  B（已改）B: More visibility helps, but watching a dashboard is not a control until limits and the required responses are agreed.　【类型：Visibility without an obligation to act】</w:t>
      </w:r>
    </w:p>
    <w:p>
      <w:pPr>
        <w:spacing w:after="60"/>
      </w:pPr>
      <w:r>
        <w:rPr>
          <w:b w:val="0"/>
          <w:i w:val="0"/>
          <w:sz w:val="18"/>
        </w:rPr>
        <w:t xml:space="preserve">  C（已改）C: A periodic review is good practice, but the degradation continues between reviews and nothing defines when the firm must act.　【类型：Periodic review without triggers】</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7. 第五批 · MOST · D1.3 Policies, Principles, Charters &amp; Procedures</w:t>
      </w:r>
    </w:p>
    <w:p>
      <w:pPr>
        <w:spacing w:after="60"/>
      </w:pPr>
      <w:r>
        <w:rPr>
          <w:b w:val="0"/>
          <w:i w:val="0"/>
          <w:color w:val="5A5A5A"/>
          <w:sz w:val="17"/>
        </w:rPr>
        <w:t>ID：aaig-pipe-1791943144401-22-8tbz6　难度：Intermediate</w:t>
      </w:r>
    </w:p>
    <w:p>
      <w:pPr>
        <w:spacing w:after="60"/>
      </w:pPr>
      <w:r>
        <w:rPr>
          <w:b w:val="0"/>
          <w:i w:val="0"/>
        </w:rPr>
        <w:t>情境：A multinational financial services firm is scaling its adoption of generative AI across multiple autonomous business units, resulting in inconsistent risk assessments and emergent shadow AI initiatives. To address this risk, the board mandates the immediate operationalization of an Artificial Intelligence Management System (AIMS) aligned with ISO/IEC 42001 and NIST AI RMF GOVERN functions.</w:t>
      </w:r>
    </w:p>
    <w:p>
      <w:pPr>
        <w:spacing w:after="60"/>
      </w:pPr>
      <w:r>
        <w:rPr>
          <w:b/>
          <w:i w:val="0"/>
        </w:rPr>
        <w:t>问题：Which of the following is the MOST effective governance control to ensure consistent organizational compliance with the newly established AI policy?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automated model monitoring toolsets and telemetry dashboards across all engineering pipelines.</w:t>
            </w:r>
          </w:p>
        </w:tc>
        <w:tc>
          <w:tcPr>
            <w:tcW w:type="dxa" w:w="5669"/>
            <w:shd w:val="clear" w:color="auto" w:fill="FFF2CC"/>
          </w:tcPr>
          <w:p>
            <w:r/>
            <w:r>
              <w:rPr>
                <w:b/>
              </w:rPr>
              <w:t>Ask each business unit to confirm every quarter that it follows the new AI policy and to report any exceptions to the board.</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an AI steering committee that enforces gated approvals and maps risks to defined enterprise tolerances.</w:t>
            </w:r>
          </w:p>
        </w:tc>
        <w:tc>
          <w:tcPr>
            <w:tcW w:type="dxa" w:w="5669"/>
            <w:shd w:val="clear" w:color="auto" w:fill="FFF2CC"/>
          </w:tcPr>
          <w:p>
            <w:r/>
            <w:r>
              <w:rPr>
                <w:b/>
              </w:rPr>
              <w:t>Set up a committee that enforces gated approvals and maps risks to agreed enterprise tolerances.</w:t>
            </w:r>
          </w:p>
        </w:tc>
        <w:tc>
          <w:tcPr>
            <w:tcW w:type="dxa" w:w="1361"/>
          </w:tcPr>
          <w:p>
            <w:r/>
            <w:r>
              <w:rPr>
                <w:b w:val="0"/>
                <w:color w:val="BE5000"/>
              </w:rPr>
              <w:t>✱ 已改</w:t>
            </w:r>
          </w:p>
        </w:tc>
      </w:tr>
      <w:tr>
        <w:tc>
          <w:tcPr>
            <w:tcW w:type="dxa" w:w="907"/>
          </w:tcPr>
          <w:p>
            <w:r/>
            <w:r>
              <w:rPr>
                <w:b/>
              </w:rPr>
              <w:t>C</w:t>
            </w:r>
          </w:p>
        </w:tc>
        <w:tc>
          <w:tcPr>
            <w:tcW w:type="dxa" w:w="5669"/>
          </w:tcPr>
          <w:p>
            <w:r/>
            <w:r>
              <w:rPr>
                <w:b w:val="0"/>
              </w:rPr>
              <w:t>Mandating pre-deployment algorithmic conformity assessments prior to formalizing the enterprise AI charter.</w:t>
            </w:r>
          </w:p>
        </w:tc>
        <w:tc>
          <w:tcPr>
            <w:tcW w:type="dxa" w:w="5669"/>
            <w:shd w:val="clear" w:color="auto" w:fill="FFF2CC"/>
          </w:tcPr>
          <w:p>
            <w:r/>
            <w:r>
              <w:rPr>
                <w:b/>
              </w:rPr>
              <w:t>Publish the AI policy on the intranet and run a training course on it for all staff who build or buy AI tools.</w:t>
            </w:r>
          </w:p>
        </w:tc>
        <w:tc>
          <w:tcPr>
            <w:tcW w:type="dxa" w:w="1361"/>
          </w:tcPr>
          <w:p>
            <w:r/>
            <w:r>
              <w:rPr>
                <w:b w:val="0"/>
                <w:color w:val="BE5000"/>
              </w:rPr>
              <w:t>✱ 已改</w:t>
            </w:r>
          </w:p>
        </w:tc>
      </w:tr>
      <w:tr>
        <w:tc>
          <w:tcPr>
            <w:tcW w:type="dxa" w:w="907"/>
          </w:tcPr>
          <w:p>
            <w:r/>
            <w:r>
              <w:rPr>
                <w:b/>
              </w:rPr>
              <w:t>D</w:t>
            </w:r>
          </w:p>
        </w:tc>
        <w:tc>
          <w:tcPr>
            <w:tcW w:type="dxa" w:w="5669"/>
          </w:tcPr>
          <w:p>
            <w:r/>
            <w:r>
              <w:rPr>
                <w:b w:val="0"/>
              </w:rPr>
              <w:t>Empowering individual product development teams to self-certify their generative AI use cases and establish domain-specific acceptable use thresholds.</w:t>
            </w:r>
          </w:p>
        </w:tc>
        <w:tc>
          <w:tcPr>
            <w:tcW w:type="dxa" w:w="5669"/>
          </w:tcPr>
          <w:p>
            <w:r/>
            <w:r>
              <w:rPr>
                <w:b w:val="0"/>
              </w:rPr>
              <w:t>Empowering individual product development teams to self-certify their generative AI use cases and establish domain-specific acceptable use thresholds.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主解析（未改动）：Establishing a centralized, cross-functional AI steering committee with clear decision rights and stage-gate approval processes is the most effective governance control. Aligned with ISO/IEC 42001 (Clause 5 - Leadership) and NIST AI RMF (GOVERN 1.1 and 1.2), this top-down mechanism ensures organizational accountability, unifies decentralized business units, and enforces adherence to enterprise risk appetite and policies before systems are deployed.</w:t>
      </w:r>
    </w:p>
    <w:p>
      <w:pPr>
        <w:spacing w:after="60"/>
      </w:pPr>
      <w:r>
        <w:rPr>
          <w:b/>
          <w:i w:val="0"/>
          <w:sz w:val="18"/>
        </w:rPr>
        <w:t>改写后的错误选项解析与错误类型：</w:t>
      </w:r>
    </w:p>
    <w:p>
      <w:pPr>
        <w:spacing w:after="60"/>
      </w:pPr>
      <w:r>
        <w:rPr>
          <w:b w:val="0"/>
          <w:i w:val="0"/>
          <w:sz w:val="18"/>
        </w:rPr>
        <w:t xml:space="preserve">  A（已改）A: Self-confirmation raises awareness, but without gated approvals nobody checks a use case before it goes ahead.　【类型：Attestation instead of a gate】</w:t>
      </w:r>
    </w:p>
    <w:p>
      <w:pPr>
        <w:spacing w:after="60"/>
      </w:pPr>
      <w:r>
        <w:rPr>
          <w:b w:val="0"/>
          <w:i w:val="0"/>
          <w:sz w:val="18"/>
        </w:rPr>
        <w:t xml:space="preserve">  C（已改）C: Training makes the rules known, but it creates no approval step that can stop or condition a non-compliant use case.　【类型：Awareness mistaken for enforcement】</w:t>
      </w:r>
    </w:p>
    <w:p>
      <w:pPr>
        <w:spacing w:after="60"/>
      </w:pPr>
      <w:r>
        <w:rPr>
          <w:b w:val="0"/>
          <w:i w:val="0"/>
          <w:sz w:val="18"/>
        </w:rPr>
        <w:t xml:space="preserve">  D（未改）Option D is incorrect because allowing first-line product teams to define acceptable use thresholds and self-certify creates a conflict of interest, violates the Three Lines Model, and fails to maintain consistent enterprise-level risk governance.　【类型：Self-certification by the teams being governed】</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8. 第五批 · FIRST · D2.2 Enterprise AI Asset Inventory &amp; Model Cards</w:t>
      </w:r>
    </w:p>
    <w:p>
      <w:pPr>
        <w:spacing w:after="60"/>
      </w:pPr>
      <w:r>
        <w:rPr>
          <w:b w:val="0"/>
          <w:i w:val="0"/>
          <w:color w:val="5A5A5A"/>
          <w:sz w:val="17"/>
        </w:rPr>
        <w:t>ID：aaig-pipe-1791943166460-26-wrliw　难度：Intermediate</w:t>
      </w:r>
    </w:p>
    <w:p>
      <w:pPr>
        <w:spacing w:after="60"/>
      </w:pPr>
      <w:r>
        <w:rPr>
          <w:b w:val="0"/>
          <w:i w:val="0"/>
        </w:rPr>
        <w:t>情境：A multinational financial services enterprise is establishing an enterprise-wide AI asset inventory and model card program to comply with ISO/IEC 42001 and satisfy NIST AI RMF recommendations. Multiple business units have historically developed, customized, or integrated third-party AI models without centralized tracking or consistent documentation standards.</w:t>
      </w:r>
    </w:p>
    <w:p>
      <w:pPr>
        <w:spacing w:after="60"/>
      </w:pPr>
      <w:r>
        <w:rPr>
          <w:b/>
          <w:i w:val="0"/>
        </w:rPr>
        <w:t>问题：What should the enterprise AI governance committee do FIRST to initiate the AI asset inventory and model card framework?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an enterprise-wide AI asset taxonomy and define minimum mandatory metadata attributes aligned with risk appetite.</w:t>
            </w:r>
          </w:p>
        </w:tc>
        <w:tc>
          <w:tcPr>
            <w:tcW w:type="dxa" w:w="5669"/>
            <w:shd w:val="clear" w:color="auto" w:fill="FFF2CC"/>
          </w:tcPr>
          <w:p>
            <w:r/>
            <w:r>
              <w:rPr>
                <w:b/>
              </w:rPr>
              <w:t>Define an enterprise AI asset taxonomy and the minimum metadata each entry must have, aligned with risk appetite.</w:t>
            </w:r>
          </w:p>
        </w:tc>
        <w:tc>
          <w:tcPr>
            <w:tcW w:type="dxa" w:w="1361"/>
          </w:tcPr>
          <w:p>
            <w:r/>
            <w:r>
              <w:rPr>
                <w:b w:val="0"/>
                <w:color w:val="BE5000"/>
              </w:rPr>
              <w:t>✱ 已改</w:t>
            </w:r>
          </w:p>
        </w:tc>
      </w:tr>
      <w:tr>
        <w:tc>
          <w:tcPr>
            <w:tcW w:type="dxa" w:w="907"/>
          </w:tcPr>
          <w:p>
            <w:r/>
            <w:r>
              <w:rPr>
                <w:b/>
              </w:rPr>
              <w:t>B</w:t>
            </w:r>
          </w:p>
        </w:tc>
        <w:tc>
          <w:tcPr>
            <w:tcW w:type="dxa" w:w="5669"/>
          </w:tcPr>
          <w:p>
            <w:r/>
            <w:r>
              <w:rPr>
                <w:b w:val="0"/>
              </w:rPr>
              <w:t>Mandate that all first-line data science teams populate comprehensive model cards for existing production models using a draft schema.</w:t>
            </w:r>
          </w:p>
        </w:tc>
        <w:tc>
          <w:tcPr>
            <w:tcW w:type="dxa" w:w="5669"/>
          </w:tcPr>
          <w:p>
            <w:r/>
            <w:r>
              <w:rPr>
                <w:b w:val="0"/>
              </w:rPr>
              <w:t>Mandate that all first-line data science teams populate comprehensive model cards for existing production models using a draft schema.</w:t>
            </w:r>
          </w:p>
        </w:tc>
        <w:tc>
          <w:tcPr>
            <w:tcW w:type="dxa" w:w="1361"/>
          </w:tcPr>
          <w:p>
            <w:r/>
            <w:r>
              <w:rPr>
                <w:b w:val="0"/>
                <w:color w:val="787878"/>
              </w:rPr>
              <w:t>未改</w:t>
            </w:r>
          </w:p>
        </w:tc>
      </w:tr>
      <w:tr>
        <w:tc>
          <w:tcPr>
            <w:tcW w:type="dxa" w:w="907"/>
          </w:tcPr>
          <w:p>
            <w:r/>
            <w:r>
              <w:rPr>
                <w:b/>
              </w:rPr>
              <w:t>C</w:t>
            </w:r>
          </w:p>
        </w:tc>
        <w:tc>
          <w:tcPr>
            <w:tcW w:type="dxa" w:w="5669"/>
          </w:tcPr>
          <w:p>
            <w:r/>
            <w:r>
              <w:rPr>
                <w:b w:val="0"/>
              </w:rPr>
              <w:t>Procure and deploy an automated metadata harvesting tool to scan code repositories for undocumented machine learning models across developer environments.</w:t>
            </w:r>
          </w:p>
        </w:tc>
        <w:tc>
          <w:tcPr>
            <w:tcW w:type="dxa" w:w="5669"/>
            <w:shd w:val="clear" w:color="auto" w:fill="FFF2CC"/>
          </w:tcPr>
          <w:p>
            <w:r/>
            <w:r>
              <w:rPr>
                <w:b/>
              </w:rPr>
              <w:t>Ask each business unit to list the AI systems it knows about in a spreadsheet and send it to the committee within 30 days.</w:t>
            </w:r>
          </w:p>
        </w:tc>
        <w:tc>
          <w:tcPr>
            <w:tcW w:type="dxa" w:w="1361"/>
          </w:tcPr>
          <w:p>
            <w:r/>
            <w:r>
              <w:rPr>
                <w:b w:val="0"/>
                <w:color w:val="BE5000"/>
              </w:rPr>
              <w:t>✱ 已改</w:t>
            </w:r>
          </w:p>
        </w:tc>
      </w:tr>
      <w:tr>
        <w:tc>
          <w:tcPr>
            <w:tcW w:type="dxa" w:w="907"/>
          </w:tcPr>
          <w:p>
            <w:r/>
            <w:r>
              <w:rPr>
                <w:b/>
              </w:rPr>
              <w:t>D</w:t>
            </w:r>
          </w:p>
        </w:tc>
        <w:tc>
          <w:tcPr>
            <w:tcW w:type="dxa" w:w="5669"/>
          </w:tcPr>
          <w:p>
            <w:r/>
            <w:r>
              <w:rPr>
                <w:b w:val="0"/>
              </w:rPr>
              <w:t>Direct the internal audit team to conduct an independent baseline assessment of all deployed algorithms against regulatory requirements.</w:t>
            </w:r>
          </w:p>
        </w:tc>
        <w:tc>
          <w:tcPr>
            <w:tcW w:type="dxa" w:w="5669"/>
            <w:shd w:val="clear" w:color="auto" w:fill="FFF2CC"/>
          </w:tcPr>
          <w:p>
            <w:r/>
            <w:r>
              <w:rPr>
                <w:b/>
              </w:rPr>
              <w:t>Rank the business units by their expected AI risk and ask the head of the highest-risk unit, who is accountable for it, to build its inventory first.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 and Clause 8) and NIST AI RMF (GOVERN 1.1, MAP 1.1), establishing governance over AI assets requires first defining what constitutes an AI asset within the organization via an approved taxonomy and establishing the baseline metadata criteria (such as intended use, ownership, data lineage, and risk tier). Deploying tools or requiring first-line documentation without established definitions and governance-approved criteria leads to inconsistent, unmanageable asset registers.</w:t>
      </w:r>
    </w:p>
    <w:p>
      <w:pPr>
        <w:spacing w:after="60"/>
      </w:pPr>
      <w:r>
        <w:rPr>
          <w:b/>
          <w:i w:val="0"/>
          <w:sz w:val="18"/>
        </w:rPr>
        <w:t>改写后的错误选项解析与错误类型：</w:t>
      </w:r>
    </w:p>
    <w:p>
      <w:pPr>
        <w:spacing w:after="60"/>
      </w:pPr>
      <w:r>
        <w:rPr>
          <w:b w:val="0"/>
          <w:i w:val="0"/>
          <w:sz w:val="18"/>
        </w:rPr>
        <w:t xml:space="preserve">  B（未改）Option B represents premature operational execution; requiring teams to complete model cards before establishing formal criteria, classification thresholds, and governance definitions causes rework and inconsistent reporting.　【类型：Documentation before a schema is agreed】</w:t>
      </w:r>
    </w:p>
    <w:p>
      <w:pPr>
        <w:spacing w:after="60"/>
      </w:pPr>
      <w:r>
        <w:rPr>
          <w:b w:val="0"/>
          <w:i w:val="0"/>
          <w:sz w:val="18"/>
        </w:rPr>
        <w:t xml:space="preserve">  C（已改）C: A quick list shows what units remember, but with no common taxonomy or required fields the entries cannot be compared or risk-tiered.　【类型：Unstructured list before a taxonomy】</w:t>
      </w:r>
    </w:p>
    <w:p>
      <w:pPr>
        <w:spacing w:after="60"/>
      </w:pPr>
      <w:r>
        <w:rPr>
          <w:b w:val="0"/>
          <w:i w:val="0"/>
          <w:sz w:val="18"/>
        </w:rPr>
        <w:t xml:space="preserve">  D（已改）D: Starting with one unit may help, but without a common taxonomy and minimum fields each unit builds a different inventory.　【类型：Sequencing by unit before common standards】</w:t>
      </w:r>
    </w:p>
    <w:p>
      <w:pPr>
        <w:spacing w:after="60"/>
      </w:pPr>
      <w:r>
        <w:rPr>
          <w:b w:val="0"/>
          <w:i w:val="0"/>
          <w:color w:val="5A5A5A"/>
          <w:sz w:val="17"/>
        </w:rPr>
        <w:t>出处（沿用原文，未核验）：NIST AI RMF 1.0 GOVERN 1.2, GOVERN 1.6 &amp; MAP 1.1; Mitchell et al. (arXiv:1810.03993); ISO/IEC 42001:2023 (verify exact inventory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9. 第五批 · MOST · D2.3 Privacy by Design &amp; Data Minimization</w:t>
      </w:r>
    </w:p>
    <w:p>
      <w:pPr>
        <w:spacing w:after="60"/>
      </w:pPr>
      <w:r>
        <w:rPr>
          <w:b w:val="0"/>
          <w:i w:val="0"/>
          <w:color w:val="5A5A5A"/>
          <w:sz w:val="17"/>
        </w:rPr>
        <w:t>ID：aaig-pipe-1791943170521-27-c05z1　难度：Director-Level</w:t>
      </w:r>
    </w:p>
    <w:p>
      <w:pPr>
        <w:spacing w:after="60"/>
      </w:pPr>
      <w:r>
        <w:rPr>
          <w:b w:val="0"/>
          <w:i w:val="0"/>
        </w:rPr>
        <w:t>情境：A global financial services firm is architecting an enterprise customer intelligence platform that aggregates cross-channel behavioral telemetry, real-time transaction records, and customer support transcripts. Under the organization's Artificial Intelligence Management System (ISO/IEC 42001) and applicable privacy regulations, the AI Steering Committee must implement an architectural control mechanism to enforce data minimization principles across the pipeline.</w:t>
      </w:r>
    </w:p>
    <w:p>
      <w:pPr>
        <w:spacing w:after="60"/>
      </w:pPr>
      <w:r>
        <w:rPr>
          <w:b/>
          <w:i w:val="0"/>
        </w:rPr>
        <w:t>问题：Which architectural governance control is MOST effective for ensuring adherence to data minimization and privacy by design prior to model training?</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that data engineering teams apply differential privacy and homomorphic encryption across all feature stores regardless of utility.</w:t>
            </w:r>
          </w:p>
        </w:tc>
        <w:tc>
          <w:tcPr>
            <w:tcW w:type="dxa" w:w="5669"/>
            <w:shd w:val="clear" w:color="auto" w:fill="FFF2CC"/>
          </w:tcPr>
          <w:p>
            <w:r/>
            <w:r>
              <w:rPr>
                <w:b/>
              </w:rPr>
              <w:t>Ask data science teams to document why each attribute is used and keep the documentation with the model record.</w:t>
            </w:r>
          </w:p>
        </w:tc>
        <w:tc>
          <w:tcPr>
            <w:tcW w:type="dxa" w:w="1361"/>
          </w:tcPr>
          <w:p>
            <w:r/>
            <w:r>
              <w:rPr>
                <w:b w:val="0"/>
                <w:color w:val="BE5000"/>
              </w:rPr>
              <w:t>✱ 已改</w:t>
            </w:r>
          </w:p>
        </w:tc>
      </w:tr>
      <w:tr>
        <w:tc>
          <w:tcPr>
            <w:tcW w:type="dxa" w:w="907"/>
          </w:tcPr>
          <w:p>
            <w:r/>
            <w:r>
              <w:rPr>
                <w:b/>
              </w:rPr>
              <w:t>B</w:t>
            </w:r>
          </w:p>
        </w:tc>
        <w:tc>
          <w:tcPr>
            <w:tcW w:type="dxa" w:w="5669"/>
          </w:tcPr>
          <w:p>
            <w:r/>
            <w:r>
              <w:rPr>
                <w:b w:val="0"/>
              </w:rPr>
              <w:t>Commission a third-line audit of inference logs to detect, after the fact, whether unapproved customer attributes were retained.</w:t>
            </w:r>
          </w:p>
        </w:tc>
        <w:tc>
          <w:tcPr>
            <w:tcW w:type="dxa" w:w="5669"/>
          </w:tcPr>
          <w:p>
            <w:r/>
            <w:r>
              <w:rPr>
                <w:b w:val="0"/>
              </w:rPr>
              <w:t>Commission a third-line audit of inference logs to detect, after the fact, whether unapproved customer attributes were retained.</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Enforce policy-driven ingestion gating that restricts data inputs to verified, purpose-bound attributes validated through formal impact assessments.</w:t>
            </w:r>
          </w:p>
        </w:tc>
        <w:tc>
          <w:tcPr>
            <w:tcW w:type="dxa" w:w="5669"/>
            <w:shd w:val="clear" w:color="auto" w:fill="FFF2CC"/>
          </w:tcPr>
          <w:p>
            <w:r/>
            <w:r>
              <w:rPr>
                <w:b/>
              </w:rPr>
              <w:t>Enforce ingestion gating that limits inputs to verified, purpose-bound attributes confirmed through formal impact assessments.</w:t>
            </w:r>
          </w:p>
        </w:tc>
        <w:tc>
          <w:tcPr>
            <w:tcW w:type="dxa" w:w="1361"/>
          </w:tcPr>
          <w:p>
            <w:r/>
            <w:r>
              <w:rPr>
                <w:b w:val="0"/>
                <w:color w:val="BE5000"/>
              </w:rPr>
              <w:t>✱ 已改</w:t>
            </w:r>
          </w:p>
        </w:tc>
      </w:tr>
      <w:tr>
        <w:tc>
          <w:tcPr>
            <w:tcW w:type="dxa" w:w="907"/>
          </w:tcPr>
          <w:p>
            <w:r/>
            <w:r>
              <w:rPr>
                <w:b/>
              </w:rPr>
              <w:t>D</w:t>
            </w:r>
          </w:p>
        </w:tc>
        <w:tc>
          <w:tcPr>
            <w:tcW w:type="dxa" w:w="5669"/>
          </w:tcPr>
          <w:p>
            <w:r/>
            <w:r>
              <w:rPr>
                <w:b w:val="0"/>
              </w:rPr>
              <w:t>Authorize first-line data science teams to perform subjective relevance filtering and retain non-essential customer transaction fields based solely on localized validation accuracy.</w:t>
            </w:r>
          </w:p>
        </w:tc>
        <w:tc>
          <w:tcPr>
            <w:tcW w:type="dxa" w:w="5669"/>
            <w:shd w:val="clear" w:color="auto" w:fill="FFF2CC"/>
          </w:tcPr>
          <w:p>
            <w:r/>
            <w:r>
              <w:rPr>
                <w:b/>
              </w:rPr>
              <w:t>Let the privacy office review a sample of training datasets each quarter and ask teams to delete any attributes it finds unnecessary.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(Control A.6.2.2 and Data Life Cycle controls) and NIST AI RMF GOVERN/MAP functions, Privacy by Design and data minimization require proactive, top-down governance that restricts the collection and processing of personal data to only what is strictly necessary and legally justified for the specified purpose. Enforcing policy-driven ingestion gates linked to formal Data Protection Impact Assessments (DPIAs) and documented business objectives ensures that non-essential or high-risk attributes are filtered out architecturally before entering training feature stores.</w:t>
      </w:r>
    </w:p>
    <w:p>
      <w:pPr>
        <w:spacing w:after="60"/>
      </w:pPr>
      <w:r>
        <w:rPr>
          <w:b/>
          <w:i w:val="0"/>
          <w:sz w:val="18"/>
        </w:rPr>
        <w:t>改写后的错误选项解析与错误类型：</w:t>
      </w:r>
    </w:p>
    <w:p>
      <w:pPr>
        <w:spacing w:after="60"/>
      </w:pPr>
      <w:r>
        <w:rPr>
          <w:b w:val="0"/>
          <w:i w:val="0"/>
          <w:sz w:val="18"/>
        </w:rPr>
        <w:t xml:space="preserve">  A（已改）A: Documentation records intent, but nothing stops unneeded attributes entering training, so minimization depends on each team's judgement.　【类型：Documentation without a gate】</w:t>
      </w:r>
    </w:p>
    <w:p>
      <w:pPr>
        <w:spacing w:after="60"/>
      </w:pPr>
      <w:r>
        <w:rPr>
          <w:b w:val="0"/>
          <w:i w:val="0"/>
          <w:sz w:val="18"/>
        </w:rPr>
        <w:t xml:space="preserve">  B（未改）Option B represents a wrong sequence/timing error; third-line internal audit evaluations of production logs occur post-deployment and provide retrospective assurance, which is ineffective at proactively preventing unnecessary data ingestion and contamination during training.　【类型：After-the-fact detection instead of prevention】</w:t>
      </w:r>
    </w:p>
    <w:p>
      <w:pPr>
        <w:spacing w:after="60"/>
      </w:pPr>
      <w:r>
        <w:rPr>
          <w:b w:val="0"/>
          <w:i w:val="0"/>
          <w:sz w:val="18"/>
        </w:rPr>
        <w:t xml:space="preserve">  D（已改）D: A sampled review finds some problems, but the data has already been used for training and unsampled datasets are never checked.　【类型：Sampled review after ingestion】</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10. 第五批 · PRIMARY · D2.4 Algorithmic Bias &amp; Representation Drift</w:t>
      </w:r>
    </w:p>
    <w:p>
      <w:pPr>
        <w:spacing w:after="60"/>
      </w:pPr>
      <w:r>
        <w:rPr>
          <w:b w:val="0"/>
          <w:i w:val="0"/>
          <w:color w:val="5A5A5A"/>
          <w:sz w:val="17"/>
        </w:rPr>
        <w:t>ID：aaig-pipe-1791943088709-8-8nnep　难度：Intermediate</w:t>
      </w:r>
    </w:p>
    <w:p>
      <w:pPr>
        <w:spacing w:after="60"/>
      </w:pPr>
      <w:r>
        <w:rPr>
          <w:b w:val="0"/>
          <w:i w:val="0"/>
        </w:rPr>
        <w:t>情境：A multinational financial services institution utilizes an automated machine learning model to evaluate personal loan applications. During ongoing production surveillance, the second-line model risk management team detects significant representation drift: loan approval rates for younger applicant cohorts have dropped sharply compared to historical baselines, despite macroeconomic stability and unchanged default rates in that cohort.</w:t>
      </w:r>
    </w:p>
    <w:p>
      <w:pPr>
        <w:spacing w:after="60"/>
      </w:pPr>
      <w:r>
        <w:rPr>
          <w:b/>
          <w:i w:val="0"/>
        </w:rPr>
        <w:t>问题：According to enterprise AI governance standards such as ISO/IEC 42001 and NIST AI RMF, what is the PRIMARY governance objective when addressing this emerging algorithmic bias?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automated in-processing bias mitigation tools directly to production before establishing updated demographic baseline definitions.</w:t>
            </w:r>
          </w:p>
        </w:tc>
        <w:tc>
          <w:tcPr>
            <w:tcW w:type="dxa" w:w="5669"/>
            <w:shd w:val="clear" w:color="auto" w:fill="FFF2CC"/>
          </w:tcPr>
          <w:p>
            <w:r/>
            <w:r>
              <w:rPr>
                <w:b/>
              </w:rPr>
              <w:t>Ask the model team to retrain the model on recent applicants and publish the new accuracy figures to the risk committee.</w:t>
            </w:r>
          </w:p>
        </w:tc>
        <w:tc>
          <w:tcPr>
            <w:tcW w:type="dxa" w:w="1361"/>
          </w:tcPr>
          <w:p>
            <w:r/>
            <w:r>
              <w:rPr>
                <w:b w:val="0"/>
                <w:color w:val="BE5000"/>
              </w:rPr>
              <w:t>✱ 已改</w:t>
            </w:r>
          </w:p>
        </w:tc>
      </w:tr>
      <w:tr>
        <w:tc>
          <w:tcPr>
            <w:tcW w:type="dxa" w:w="907"/>
          </w:tcPr>
          <w:p>
            <w:r/>
            <w:r>
              <w:rPr>
                <w:b/>
              </w:rPr>
              <w:t>B</w:t>
            </w:r>
          </w:p>
        </w:tc>
        <w:tc>
          <w:tcPr>
            <w:tcW w:type="dxa" w:w="5669"/>
          </w:tcPr>
          <w:p>
            <w:r/>
            <w:r>
              <w:rPr>
                <w:b w:val="0"/>
              </w:rPr>
              <w:t>Maximizing operational throughput and raw predictive accuracy by adjusting hyperparameter weights without re-evaluating fairness metrics.</w:t>
            </w:r>
          </w:p>
        </w:tc>
        <w:tc>
          <w:tcPr>
            <w:tcW w:type="dxa" w:w="5669"/>
          </w:tcPr>
          <w:p>
            <w:r/>
            <w:r>
              <w:rPr>
                <w:b w:val="0"/>
              </w:rPr>
              <w:t>Maximizing operational throughput and raw predictive accuracy by adjusting hyperparameter weights without re-evaluating fairness metrics.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Ensuring model outcomes align with established risk appetite thresholds, legal non-discrimination mandates, and defined fairness criteria.</w:t>
            </w:r>
          </w:p>
        </w:tc>
        <w:tc>
          <w:tcPr>
            <w:tcW w:type="dxa" w:w="5669"/>
            <w:shd w:val="clear" w:color="auto" w:fill="FFF2CC"/>
          </w:tcPr>
          <w:p>
            <w:r/>
            <w:r>
              <w:rPr>
                <w:b/>
              </w:rPr>
              <w:t>Ensure outcomes stay within risk appetite, legal non-discrimination duties and the fairness criteria the firm has set.</w:t>
            </w:r>
          </w:p>
        </w:tc>
        <w:tc>
          <w:tcPr>
            <w:tcW w:type="dxa" w:w="1361"/>
          </w:tcPr>
          <w:p>
            <w:r/>
            <w:r>
              <w:rPr>
                <w:b w:val="0"/>
                <w:color w:val="BE5000"/>
              </w:rPr>
              <w:t>✱ 已改</w:t>
            </w:r>
          </w:p>
        </w:tc>
      </w:tr>
      <w:tr>
        <w:tc>
          <w:tcPr>
            <w:tcW w:type="dxa" w:w="907"/>
          </w:tcPr>
          <w:p>
            <w:r/>
            <w:r>
              <w:rPr>
                <w:b/>
              </w:rPr>
              <w:t>D</w:t>
            </w:r>
          </w:p>
        </w:tc>
        <w:tc>
          <w:tcPr>
            <w:tcW w:type="dxa" w:w="5669"/>
          </w:tcPr>
          <w:p>
            <w:r/>
            <w:r>
              <w:rPr>
                <w:b w:val="0"/>
              </w:rPr>
              <w:t>Tasking the independent third-line internal audit team with recalibrating credit scoring weights and retraining the production model.</w:t>
            </w:r>
          </w:p>
        </w:tc>
        <w:tc>
          <w:tcPr>
            <w:tcW w:type="dxa" w:w="5669"/>
            <w:shd w:val="clear" w:color="auto" w:fill="FFF2CC"/>
          </w:tcPr>
          <w:p>
            <w:r/>
            <w:r>
              <w:rPr>
                <w:b/>
              </w:rPr>
              <w:t>Pause all new loan decisions until the second line has reviewed every model parameter and the governance committee has signed it off.</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and risk management perspective (aligned with ISO/IEC 42001 Clause 6 and NIST AI RMF GOVERN/MEASURE), the primary objective when managing algorithmic bias and drift is maintaining alignment with the board-approved risk appetite, applicable regulatory non-discrimination requirements, and organizational fairness principles. Technical fixes are subordinate to strategic risk alignment and ethical compliance boundaries.</w:t>
      </w:r>
    </w:p>
    <w:p>
      <w:pPr>
        <w:spacing w:after="60"/>
      </w:pPr>
      <w:r>
        <w:rPr>
          <w:b/>
          <w:i w:val="0"/>
          <w:sz w:val="18"/>
        </w:rPr>
        <w:t>改写后的错误选项解析与错误类型：</w:t>
      </w:r>
    </w:p>
    <w:p>
      <w:pPr>
        <w:spacing w:after="60"/>
      </w:pPr>
      <w:r>
        <w:rPr>
          <w:b w:val="0"/>
          <w:i w:val="0"/>
          <w:sz w:val="18"/>
        </w:rPr>
        <w:t xml:space="preserve">  A（已改）A: Retraining on recent data may reduce the drift, but accuracy figures alone do not show that fairness criteria and legal duties are met.　【类型：Accuracy reporting mistaken for fairness】</w:t>
      </w:r>
    </w:p>
    <w:p>
      <w:pPr>
        <w:spacing w:after="60"/>
      </w:pPr>
      <w:r>
        <w:rPr>
          <w:b w:val="0"/>
          <w:i w:val="0"/>
          <w:sz w:val="18"/>
        </w:rPr>
        <w:t xml:space="preserve">  B（未改）Focuses narrowly on operational throughput and technical performance metrics (raw accuracy), completely ignoring the governance priority of algorithmic fairness and regulatory compliance.　【类型：Performance goal that ignores fairness】</w:t>
      </w:r>
    </w:p>
    <w:p>
      <w:pPr>
        <w:spacing w:after="60"/>
      </w:pPr>
      <w:r>
        <w:rPr>
          <w:b w:val="0"/>
          <w:i w:val="0"/>
          <w:sz w:val="18"/>
        </w:rPr>
        <w:t xml:space="preserve">  D（已改）D: Pausing is a containment option, not the governance objective, and it removes the service without setting the criteria the firm must meet.　【类型：Containment mistaken for the objective】</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11. 第六批 · MOST · D1.3 Policies, Principles, Charters &amp; Procedures</w:t>
      </w:r>
    </w:p>
    <w:p>
      <w:pPr>
        <w:spacing w:after="60"/>
      </w:pPr>
      <w:r>
        <w:rPr>
          <w:b w:val="0"/>
          <w:i w:val="0"/>
          <w:color w:val="5A5A5A"/>
          <w:sz w:val="17"/>
        </w:rPr>
        <w:t>ID：aaig-pipe-1791943062361-2-m01ua　难度：Intermediate</w:t>
      </w:r>
    </w:p>
    <w:p>
      <w:pPr>
        <w:spacing w:after="60"/>
      </w:pPr>
      <w:r>
        <w:rPr>
          <w:b w:val="0"/>
          <w:i w:val="0"/>
        </w:rPr>
        <w:t>情境：A multinational financial services firm is scaling its use of generative AI across multiple autonomous business units. Several departments have begun releasing decentralized, inconsistent operational guidelines for model usage without coordinated oversight or alignment to enterprise risk appetite.</w:t>
      </w:r>
    </w:p>
    <w:p>
      <w:pPr>
        <w:spacing w:after="60"/>
      </w:pPr>
      <w:r>
        <w:rPr>
          <w:b/>
          <w:i w:val="0"/>
        </w:rPr>
        <w:t>问题：Which of the following governance actions is the MOST effective control to ensure consistency, accountability, and strategic alignment across the enterprise?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automated technical guardrails across development sandboxes to block unauthorized model queries.</w:t>
            </w:r>
          </w:p>
        </w:tc>
        <w:tc>
          <w:tcPr>
            <w:tcW w:type="dxa" w:w="5669"/>
          </w:tcPr>
          <w:p>
            <w:r/>
            <w:r>
              <w:rPr>
                <w:b w:val="0"/>
              </w:rPr>
              <w:t>Mandate automated technical guardrails across development sandboxes to block unauthorized model queries.</w:t>
            </w:r>
          </w:p>
        </w:tc>
        <w:tc>
          <w:tcPr>
            <w:tcW w:type="dxa" w:w="1361"/>
          </w:tcPr>
          <w:p>
            <w:r/>
            <w:r>
              <w:rPr>
                <w:b w:val="0"/>
                <w:color w:val="787878"/>
              </w:rPr>
              <w:t>未改</w:t>
            </w:r>
          </w:p>
        </w:tc>
      </w:tr>
      <w:tr>
        <w:tc>
          <w:tcPr>
            <w:tcW w:type="dxa" w:w="907"/>
          </w:tcPr>
          <w:p>
            <w:r/>
            <w:r>
              <w:rPr>
                <w:b/>
              </w:rPr>
              <w:t>B</w:t>
            </w:r>
          </w:p>
        </w:tc>
        <w:tc>
          <w:tcPr>
            <w:tcW w:type="dxa" w:w="5669"/>
          </w:tcPr>
          <w:p>
            <w:r/>
            <w:r>
              <w:rPr>
                <w:b w:val="0"/>
              </w:rPr>
              <w:t>Conduct comprehensive conformity assessments across all active machine learning pipelines before establishing central enterprise governance requirements.</w:t>
            </w:r>
          </w:p>
        </w:tc>
        <w:tc>
          <w:tcPr>
            <w:tcW w:type="dxa" w:w="5669"/>
            <w:shd w:val="clear" w:color="auto" w:fill="FFF2CC"/>
          </w:tcPr>
          <w:p>
            <w:r/>
            <w:r>
              <w:rPr>
                <w:b/>
              </w:rPr>
              <w:t>Create a central register of the AI guidelines that business units issue and ask the policy team to flag contradictions each quarter.</w:t>
            </w:r>
          </w:p>
        </w:tc>
        <w:tc>
          <w:tcPr>
            <w:tcW w:type="dxa" w:w="1361"/>
          </w:tcPr>
          <w:p>
            <w:r/>
            <w:r>
              <w:rPr>
                <w:b w:val="0"/>
                <w:color w:val="BE5000"/>
              </w:rPr>
              <w:t>✱ 已改</w:t>
            </w:r>
          </w:p>
        </w:tc>
      </w:tr>
      <w:tr>
        <w:tc>
          <w:tcPr>
            <w:tcW w:type="dxa" w:w="907"/>
          </w:tcPr>
          <w:p>
            <w:r/>
            <w:r>
              <w:rPr>
                <w:b/>
              </w:rPr>
              <w:t>C</w:t>
            </w:r>
          </w:p>
        </w:tc>
        <w:tc>
          <w:tcPr>
            <w:tcW w:type="dxa" w:w="5669"/>
          </w:tcPr>
          <w:p>
            <w:r/>
            <w:r>
              <w:rPr>
                <w:b w:val="0"/>
              </w:rPr>
              <w:t>Authorize internal audit to draft operational prompt procedures and directly enforce risk mitigation boundaries across business units.</w:t>
            </w:r>
          </w:p>
        </w:tc>
        <w:tc>
          <w:tcPr>
            <w:tcW w:type="dxa" w:w="5669"/>
            <w:shd w:val="clear" w:color="auto" w:fill="FFF2CC"/>
          </w:tcPr>
          <w:p>
            <w:r/>
            <w:r>
              <w:rPr>
                <w:b/>
              </w:rPr>
              <w:t>Ask each business unit to write its own AI usage guidelines and send a copy to the risk function for the record.</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an enterprise AI policy approved by executive leadership that defines core principles, risk appetite, and decision rights.</w:t>
            </w:r>
          </w:p>
        </w:tc>
        <w:tc>
          <w:tcPr>
            <w:tcW w:type="dxa" w:w="5669"/>
            <w:shd w:val="clear" w:color="auto" w:fill="FFF2CC"/>
          </w:tcPr>
          <w:p>
            <w:r/>
            <w:r>
              <w:rPr>
                <w:b/>
              </w:rPr>
              <w:t>Issue one AI policy, approved by senior leadership, that sets the principles and says who decides what.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an enterprise AI policy and charter endorsed by executive leadership is the foundational governance mechanism to align decentralized AI activities with enterprise strategy and risk appetite. Under ISO/IEC 42001 (Clause 5.2) and NIST AI RMF (GOVERN 1.1, 1.2), top-down governance must define organizational principles, accountability, and decision rights before standardized operational procedures and technical controls can be effectively deployed.</w:t>
      </w:r>
    </w:p>
    <w:p>
      <w:pPr>
        <w:spacing w:after="60"/>
      </w:pPr>
      <w:r>
        <w:rPr>
          <w:b/>
          <w:i w:val="0"/>
          <w:sz w:val="18"/>
        </w:rPr>
        <w:t>改写后的错误选项解析与错误类型：</w:t>
      </w:r>
    </w:p>
    <w:p>
      <w:pPr>
        <w:spacing w:after="60"/>
      </w:pPr>
      <w:r>
        <w:rPr>
          <w:b w:val="0"/>
          <w:i w:val="0"/>
          <w:sz w:val="18"/>
        </w:rPr>
        <w:t xml:space="preserve">  A（未改）Option A focuses prematurely on low-level technical filtering in sandboxes rather than establishing the overarching enterprise governance structure and policies required to guide the organization.　【类型：Technical blocking before the rules exist】</w:t>
      </w:r>
    </w:p>
    <w:p>
      <w:pPr>
        <w:spacing w:after="60"/>
      </w:pPr>
      <w:r>
        <w:rPr>
          <w:b w:val="0"/>
          <w:i w:val="0"/>
          <w:sz w:val="18"/>
        </w:rPr>
        <w:t xml:space="preserve">  B（已改）B: A register shows the inconsistency, but flagging contradictions afterwards does not give the units one standard to follow.　【类型：Detecting inconsistency instead of preventing it】</w:t>
      </w:r>
    </w:p>
    <w:p>
      <w:pPr>
        <w:spacing w:after="60"/>
      </w:pPr>
      <w:r>
        <w:rPr>
          <w:b w:val="0"/>
          <w:i w:val="0"/>
          <w:sz w:val="18"/>
        </w:rPr>
        <w:t xml:space="preserve">  C（已改）C: Local guidelines respond quickly, but copies filed for the record create no common standard and nobody checks consistency.　【类型：Local guidelines without a common standard】</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12. 第六批 · MOST · D1.8 Framework Mapping (NIST AI RMF GOVERN/MAP/MEASURE/MANAGE)</w:t>
      </w:r>
    </w:p>
    <w:p>
      <w:pPr>
        <w:spacing w:after="60"/>
      </w:pPr>
      <w:r>
        <w:rPr>
          <w:b w:val="0"/>
          <w:i w:val="0"/>
          <w:color w:val="5A5A5A"/>
          <w:sz w:val="17"/>
        </w:rPr>
        <w:t>ID：aaig-pipe-1791943222206-37-po9vv　难度：Director-Level</w:t>
      </w:r>
    </w:p>
    <w:p>
      <w:pPr>
        <w:spacing w:after="60"/>
      </w:pPr>
      <w:r>
        <w:rPr>
          <w:b w:val="0"/>
          <w:i w:val="0"/>
        </w:rPr>
        <w:t>情境：A multinational financial institution is operationalizing the NIST AI Risk Management Framework (AI RMF 1.0) across its high-stakes automated credit-underwriting systems. While the enterprise has completed contextual risk mapping (MAP) and established quantitative assessment metrics for fairness, explainability, and drift (MEASURE), audit findings indicate that evaluated model risks rarely result in actionable enterprise risk treatments before deployment.</w:t>
      </w:r>
    </w:p>
    <w:p>
      <w:pPr>
        <w:spacing w:after="60"/>
      </w:pPr>
      <w:r>
        <w:rPr>
          <w:b/>
          <w:i w:val="0"/>
        </w:rPr>
        <w:t>问题：Which mechanism is the MOST effective governance control to ensure that metric evaluations from the MEASURE function systematically drive risk mitigation decisions within the MANAGE function?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Establishing enterprise-defined risk tolerance thresholds that systematically trigger tiered escalation and risk treatment workflows approved by the risk committee.</w:t>
            </w:r>
          </w:p>
        </w:tc>
        <w:tc>
          <w:tcPr>
            <w:tcW w:type="dxa" w:w="5669"/>
            <w:shd w:val="clear" w:color="auto" w:fill="FFF2CC"/>
          </w:tcPr>
          <w:p>
            <w:r/>
            <w:r>
              <w:rPr>
                <w:b/>
              </w:rPr>
              <w:t>Set risk limits for each metric so that crossing a limit starts a defined escalation and risk treatment step.</w:t>
            </w:r>
          </w:p>
        </w:tc>
        <w:tc>
          <w:tcPr>
            <w:tcW w:type="dxa" w:w="1361"/>
          </w:tcPr>
          <w:p>
            <w:r/>
            <w:r>
              <w:rPr>
                <w:b w:val="0"/>
                <w:color w:val="BE5000"/>
              </w:rPr>
              <w:t>✱ 已改</w:t>
            </w:r>
          </w:p>
        </w:tc>
      </w:tr>
      <w:tr>
        <w:tc>
          <w:tcPr>
            <w:tcW w:type="dxa" w:w="907"/>
          </w:tcPr>
          <w:p>
            <w:r/>
            <w:r>
              <w:rPr>
                <w:b/>
              </w:rPr>
              <w:t>B</w:t>
            </w:r>
          </w:p>
        </w:tc>
        <w:tc>
          <w:tcPr>
            <w:tcW w:type="dxa" w:w="5669"/>
          </w:tcPr>
          <w:p>
            <w:r/>
            <w:r>
              <w:rPr>
                <w:b w:val="0"/>
              </w:rPr>
              <w:t>Deploying continuous automated model performance telemetry dashboards that ingest and visualize real-time statistical data drift directly for frontline machine learning engineering teams.</w:t>
            </w:r>
          </w:p>
        </w:tc>
        <w:tc>
          <w:tcPr>
            <w:tcW w:type="dxa" w:w="5669"/>
            <w:shd w:val="clear" w:color="auto" w:fill="FFF2CC"/>
          </w:tcPr>
          <w:p>
            <w:r/>
            <w:r>
              <w:rPr>
                <w:b/>
              </w:rPr>
              <w:t>Ask the risk committee to review the MEASURE results each quarter and decide case by case which findings need action.</w:t>
            </w:r>
          </w:p>
        </w:tc>
        <w:tc>
          <w:tcPr>
            <w:tcW w:type="dxa" w:w="1361"/>
          </w:tcPr>
          <w:p>
            <w:r/>
            <w:r>
              <w:rPr>
                <w:b w:val="0"/>
                <w:color w:val="BE5000"/>
              </w:rPr>
              <w:t>✱ 已改</w:t>
            </w:r>
          </w:p>
        </w:tc>
      </w:tr>
      <w:tr>
        <w:tc>
          <w:tcPr>
            <w:tcW w:type="dxa" w:w="907"/>
          </w:tcPr>
          <w:p>
            <w:r/>
            <w:r>
              <w:rPr>
                <w:b/>
              </w:rPr>
              <w:t>C</w:t>
            </w:r>
          </w:p>
        </w:tc>
        <w:tc>
          <w:tcPr>
            <w:tcW w:type="dxa" w:w="5669"/>
          </w:tcPr>
          <w:p>
            <w:r/>
            <w:r>
              <w:rPr>
                <w:b w:val="0"/>
              </w:rPr>
              <w:t>Conducting post-incident forensic root cause analyses and retroactively updating AI impact assessment profiles after adverse lending decisions occur.</w:t>
            </w:r>
          </w:p>
        </w:tc>
        <w:tc>
          <w:tcPr>
            <w:tcW w:type="dxa" w:w="5669"/>
          </w:tcPr>
          <w:p>
            <w:r/>
            <w:r>
              <w:rPr>
                <w:b w:val="0"/>
              </w:rPr>
              <w:t>Conducting post-incident forensic root cause analyses and retroactively updating AI impact assessment profiles after adverse lending decisions occur.</w:t>
            </w:r>
          </w:p>
        </w:tc>
        <w:tc>
          <w:tcPr>
            <w:tcW w:type="dxa" w:w="1361"/>
          </w:tcPr>
          <w:p>
            <w:r/>
            <w:r>
              <w:rPr>
                <w:b w:val="0"/>
                <w:color w:val="787878"/>
              </w:rPr>
              <w:t>未改</w:t>
            </w:r>
          </w:p>
        </w:tc>
      </w:tr>
      <w:tr>
        <w:tc>
          <w:tcPr>
            <w:tcW w:type="dxa" w:w="907"/>
          </w:tcPr>
          <w:p>
            <w:r/>
            <w:r>
              <w:rPr>
                <w:b/>
              </w:rPr>
              <w:t>D</w:t>
            </w:r>
          </w:p>
        </w:tc>
        <w:tc>
          <w:tcPr>
            <w:tcW w:type="dxa" w:w="5669"/>
          </w:tcPr>
          <w:p>
            <w:r/>
            <w:r>
              <w:rPr>
                <w:b w:val="0"/>
              </w:rPr>
              <w:t>Empowering frontline data science project leads to independently adjust model fairness hyper-parameters whenever algorithmic disparities exceed localized tolerances.</w:t>
            </w:r>
          </w:p>
        </w:tc>
        <w:tc>
          <w:tcPr>
            <w:tcW w:type="dxa" w:w="5669"/>
            <w:shd w:val="clear" w:color="auto" w:fill="FFF2CC"/>
          </w:tcPr>
          <w:p>
            <w:r/>
            <w:r>
              <w:rPr>
                <w:b/>
              </w:rPr>
              <w:t>Give each model owner a monthly target for open MEASURE findings and report the progress to the committee.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(GOVERN 1.2, MANAGE 1.1, and MANAGE 2.4), the bridge between MEASURE (evaluation) and MANAGE (treatment) requires enterprise-level governance oversight. Establishing pre-approved risk tolerance thresholds and formalized escalation workflows ensures that when measurement metrics breach defined tolerances, appropriate risk mitigation, transfer, or avoidance actions are enacted with second-line oversight and executive accountability.</w:t>
      </w:r>
    </w:p>
    <w:p>
      <w:pPr>
        <w:spacing w:after="60"/>
      </w:pPr>
      <w:r>
        <w:rPr>
          <w:b/>
          <w:i w:val="0"/>
          <w:sz w:val="18"/>
        </w:rPr>
        <w:t>改写后的错误选项解析与错误类型：</w:t>
      </w:r>
    </w:p>
    <w:p>
      <w:pPr>
        <w:spacing w:after="60"/>
      </w:pPr>
      <w:r>
        <w:rPr>
          <w:b w:val="0"/>
          <w:i w:val="0"/>
          <w:sz w:val="18"/>
        </w:rPr>
        <w:t xml:space="preserve">  B（已改）B: A quarterly review informs decisions, but with no set limits every case is argued afresh and some findings are never acted on.　【类型：Case-by-case review without defined limits】</w:t>
      </w:r>
    </w:p>
    <w:p>
      <w:pPr>
        <w:spacing w:after="60"/>
      </w:pPr>
      <w:r>
        <w:rPr>
          <w:b w:val="0"/>
          <w:i w:val="0"/>
          <w:sz w:val="18"/>
        </w:rPr>
        <w:t xml:space="preserve">  C（未改）Option C represents reactive, post-deployment remediation after harm has already occurred (wrong sequence/timing), failing to provide a proactive governance control that prevents unmitigated model risks.　【类型：Reactive review after harm has occurred】</w:t>
      </w:r>
    </w:p>
    <w:p>
      <w:pPr>
        <w:spacing w:after="60"/>
      </w:pPr>
      <w:r>
        <w:rPr>
          <w:b w:val="0"/>
          <w:i w:val="0"/>
          <w:sz w:val="18"/>
        </w:rPr>
        <w:t xml:space="preserve">  D（已改）D: Targets for closing findings measure activity, but they do not connect a metric result to a defined treatment decision.　【类型：Activity target instead of a trigger】</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13. 第六批 · FIRST · D1.2 Strategic Alignment &amp; Business Objectives</w:t>
      </w:r>
    </w:p>
    <w:p>
      <w:pPr>
        <w:spacing w:after="60"/>
      </w:pPr>
      <w:r>
        <w:rPr>
          <w:b w:val="0"/>
          <w:i w:val="0"/>
          <w:color w:val="5A5A5A"/>
          <w:sz w:val="17"/>
        </w:rPr>
        <w:t>ID：aaig-pipe-1791943243672-41-65gxx　难度：Director-Level</w:t>
      </w:r>
    </w:p>
    <w:p>
      <w:pPr>
        <w:spacing w:after="60"/>
      </w:pPr>
      <w:r>
        <w:rPr>
          <w:b w:val="0"/>
          <w:i w:val="0"/>
        </w:rPr>
        <w:t>情境：A multinational commercial bank plans to adopt generative AI across retail banking operations to drive digital growth and reduce operational costs. The board has approved a multi-million-dollar AI modernization initiative, but the organization currently lacks formalized governance connecting these technological investments to corporate strategy and enterprise risk boundaries.</w:t>
      </w:r>
    </w:p>
    <w:p>
      <w:pPr>
        <w:spacing w:after="60"/>
      </w:pPr>
      <w:r>
        <w:rPr>
          <w:b/>
          <w:i w:val="0"/>
        </w:rPr>
        <w:t>问题：To achieve strategic alignment and establish sustainable oversight, what should the organization execute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 enterprise AI observability platform to track model drift and pipeline latency across retail workloads.</w:t>
            </w:r>
          </w:p>
        </w:tc>
        <w:tc>
          <w:tcPr>
            <w:tcW w:type="dxa" w:w="5669"/>
            <w:shd w:val="clear" w:color="auto" w:fill="FFF2CC"/>
          </w:tcPr>
          <w:p>
            <w:r/>
            <w:r>
              <w:rPr>
                <w:b/>
              </w:rPr>
              <w:t>Survey the business units for the AI use cases they plan and rank them by expected revenue before agreeing any structure.</w:t>
            </w:r>
          </w:p>
        </w:tc>
        <w:tc>
          <w:tcPr>
            <w:tcW w:type="dxa" w:w="1361"/>
          </w:tcPr>
          <w:p>
            <w:r/>
            <w:r>
              <w:rPr>
                <w:b w:val="0"/>
                <w:color w:val="BE5000"/>
              </w:rPr>
              <w:t>✱ 已改</w:t>
            </w:r>
          </w:p>
        </w:tc>
      </w:tr>
      <w:tr>
        <w:tc>
          <w:tcPr>
            <w:tcW w:type="dxa" w:w="907"/>
          </w:tcPr>
          <w:p>
            <w:r/>
            <w:r>
              <w:rPr>
                <w:b/>
              </w:rPr>
              <w:t>B</w:t>
            </w:r>
          </w:p>
        </w:tc>
        <w:tc>
          <w:tcPr>
            <w:tcW w:type="dxa" w:w="5669"/>
          </w:tcPr>
          <w:p>
            <w:r/>
            <w:r>
              <w:rPr>
                <w:b w:val="0"/>
              </w:rPr>
              <w:t>Perform rigorous algorithmic audits and ISO-aligned conformity assessments on candidate third-party foundational models considered for retail deployment.</w:t>
            </w:r>
          </w:p>
        </w:tc>
        <w:tc>
          <w:tcPr>
            <w:tcW w:type="dxa" w:w="5669"/>
          </w:tcPr>
          <w:p>
            <w:r/>
            <w:r>
              <w:rPr>
                <w:b w:val="0"/>
              </w:rPr>
              <w:t>Perform rigorous algorithmic audits and ISO-aligned conformity assessments on candidate third-party foundational models considered for retail deployment.</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an executive AI steering committee to define governance charters and align AI initiatives with enterprise risk appetite.</w:t>
            </w:r>
          </w:p>
        </w:tc>
        <w:tc>
          <w:tcPr>
            <w:tcW w:type="dxa" w:w="5669"/>
            <w:shd w:val="clear" w:color="auto" w:fill="FFF2CC"/>
          </w:tcPr>
          <w:p>
            <w:r/>
            <w:r>
              <w:rPr>
                <w:b/>
              </w:rPr>
              <w:t>Set up an executive committee to define who decides on AI and link AI initiatives to the firm's strategy.</w:t>
            </w:r>
          </w:p>
        </w:tc>
        <w:tc>
          <w:tcPr>
            <w:tcW w:type="dxa" w:w="1361"/>
          </w:tcPr>
          <w:p>
            <w:r/>
            <w:r>
              <w:rPr>
                <w:b w:val="0"/>
                <w:color w:val="BE5000"/>
              </w:rPr>
              <w:t>✱ 已改</w:t>
            </w:r>
          </w:p>
        </w:tc>
      </w:tr>
      <w:tr>
        <w:tc>
          <w:tcPr>
            <w:tcW w:type="dxa" w:w="907"/>
          </w:tcPr>
          <w:p>
            <w:r/>
            <w:r>
              <w:rPr>
                <w:b/>
              </w:rPr>
              <w:t>D</w:t>
            </w:r>
          </w:p>
        </w:tc>
        <w:tc>
          <w:tcPr>
            <w:tcW w:type="dxa" w:w="5669"/>
          </w:tcPr>
          <w:p>
            <w:r/>
            <w:r>
              <w:rPr>
                <w:b w:val="0"/>
              </w:rPr>
              <w:t>Authorize first-line business unit product owners to establish localized AI risk appetite boundaries and operational compliance criteria independently.</w:t>
            </w:r>
          </w:p>
        </w:tc>
        <w:tc>
          <w:tcPr>
            <w:tcW w:type="dxa" w:w="5669"/>
            <w:shd w:val="clear" w:color="auto" w:fill="FFF2CC"/>
          </w:tcPr>
          <w:p>
            <w:r/>
            <w:r>
              <w:rPr>
                <w:b/>
              </w:rPr>
              <w:t>Ask the chief executive to appoint an AI sponsor in each business unit to push initiatives forward in line with unit targets.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 and 5.2) and NIST AI RMF (GOVERN 1.1 and 1.2), establishing top-down governance via an executive steering committee and formal charter is the foundational first step. This ensures executive accountability, cross-functional oversight, and explicit linkage between AI strategies, organizational objectives, and enterprise risk appetite before technical deployment or operational evaluations occur.</w:t>
      </w:r>
    </w:p>
    <w:p>
      <w:pPr>
        <w:spacing w:after="60"/>
      </w:pPr>
      <w:r>
        <w:rPr>
          <w:b/>
          <w:i w:val="0"/>
          <w:sz w:val="18"/>
        </w:rPr>
        <w:t>改写后的错误选项解析与错误类型：</w:t>
      </w:r>
    </w:p>
    <w:p>
      <w:pPr>
        <w:spacing w:after="60"/>
      </w:pPr>
      <w:r>
        <w:rPr>
          <w:b w:val="0"/>
          <w:i w:val="0"/>
          <w:sz w:val="18"/>
        </w:rPr>
        <w:t xml:space="preserve">  A（已改）A: A ranked list shows ambition, but nobody yet decides which initiatives fit the strategy or who may approve them.　【类型：Ranking by revenue before decision rights】</w:t>
      </w:r>
    </w:p>
    <w:p>
      <w:pPr>
        <w:spacing w:after="60"/>
      </w:pPr>
      <w:r>
        <w:rPr>
          <w:b w:val="0"/>
          <w:i w:val="0"/>
          <w:sz w:val="18"/>
        </w:rPr>
        <w:t xml:space="preserve">  B（未改）Performing algorithmic audits and conformity assessments represents wrong sequence and timing; validating individual models is an operational verification activity that must be guided by established enterprise risk criteria and governance policies.　【类型：Assessing candidate models before the strategy is aligned】</w:t>
      </w:r>
    </w:p>
    <w:p>
      <w:pPr>
        <w:spacing w:after="60"/>
      </w:pPr>
      <w:r>
        <w:rPr>
          <w:b w:val="0"/>
          <w:i w:val="0"/>
          <w:sz w:val="18"/>
        </w:rPr>
        <w:t xml:space="preserve">  D（已改）D: Sponsors drive delivery, but unit-by-unit targets do not align the initiatives to one enterprise strategy or set who decides.　【类型：Unit sponsors without enterprise alignment】</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14. 第六批 · PRIMARY · D1.4 Roles, Responsibilities &amp; Three Lines Model</w:t>
      </w:r>
    </w:p>
    <w:p>
      <w:pPr>
        <w:spacing w:after="60"/>
      </w:pPr>
      <w:r>
        <w:rPr>
          <w:b w:val="0"/>
          <w:i w:val="0"/>
          <w:color w:val="5A5A5A"/>
          <w:sz w:val="17"/>
        </w:rPr>
        <w:t>ID：aaig-pipe-1791943238742-43-l38z6　难度：Director-Level</w:t>
      </w:r>
    </w:p>
    <w:p>
      <w:pPr>
        <w:spacing w:after="60"/>
      </w:pPr>
      <w:r>
        <w:rPr>
          <w:b w:val="0"/>
          <w:i w:val="0"/>
        </w:rPr>
        <w:t>情境：A multinational financial services enterprise is operationalizing foundation models across decentralized product units for automated credit underwriting and customer intelligence. To satisfy ISO/IEC 42001 requirements and NIST AI RMF governance recommendations, the enterprise is defining accountability across the Three Lines Model.</w:t>
      </w:r>
    </w:p>
    <w:p>
      <w:pPr>
        <w:spacing w:after="60"/>
      </w:pPr>
      <w:r>
        <w:rPr>
          <w:b/>
          <w:i w:val="0"/>
        </w:rPr>
        <w:t>问题：What is the PRIMARY responsibility of the second line of defense in this AI governance operating model?</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Executing end-to-end data pipeline validation and hyperparameter tuning to ensure algorithmic performance meets operational targets.</w:t>
            </w:r>
          </w:p>
        </w:tc>
        <w:tc>
          <w:tcPr>
            <w:tcW w:type="dxa" w:w="5669"/>
            <w:shd w:val="clear" w:color="auto" w:fill="FFF2CC"/>
          </w:tcPr>
          <w:p>
            <w:r/>
            <w:r>
              <w:rPr>
                <w:b/>
              </w:rPr>
              <w:t>Running the day-to-day controls over each model and fixing issues as they arise within the approved limits.</w:t>
            </w:r>
          </w:p>
        </w:tc>
        <w:tc>
          <w:tcPr>
            <w:tcW w:type="dxa" w:w="1361"/>
          </w:tcPr>
          <w:p>
            <w:r/>
            <w:r>
              <w:rPr>
                <w:b w:val="0"/>
                <w:color w:val="BE5000"/>
              </w:rPr>
              <w:t>✱ 已改</w:t>
            </w:r>
          </w:p>
        </w:tc>
      </w:tr>
      <w:tr>
        <w:tc>
          <w:tcPr>
            <w:tcW w:type="dxa" w:w="907"/>
          </w:tcPr>
          <w:p>
            <w:r/>
            <w:r>
              <w:rPr>
                <w:b/>
              </w:rPr>
              <w:t>B</w:t>
            </w:r>
          </w:p>
        </w:tc>
        <w:tc>
          <w:tcPr>
            <w:tcW w:type="dxa" w:w="5669"/>
          </w:tcPr>
          <w:p>
            <w:r/>
            <w:r>
              <w:rPr>
                <w:b w:val="0"/>
              </w:rPr>
              <w:t>Remediating detected algorithmic drift and deploying model retraining patches immediately following production performance drops.</w:t>
            </w:r>
          </w:p>
        </w:tc>
        <w:tc>
          <w:tcPr>
            <w:tcW w:type="dxa" w:w="5669"/>
            <w:shd w:val="clear" w:color="auto" w:fill="FFF2CC"/>
          </w:tcPr>
          <w:p>
            <w:r/>
            <w:r>
              <w:rPr>
                <w:b/>
              </w:rPr>
              <w:t>Approving each model for release into production and accepting the residual risk on behalf of the business.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Establishing AI risk thresholds, monitoring policy compliance, and providing objective challenge to business unit model owners.</w:t>
            </w:r>
          </w:p>
        </w:tc>
        <w:tc>
          <w:tcPr>
            <w:tcW w:type="dxa" w:w="5669"/>
            <w:shd w:val="clear" w:color="auto" w:fill="FFF2CC"/>
          </w:tcPr>
          <w:p>
            <w:r/>
            <w:r>
              <w:rPr>
                <w:b/>
              </w:rPr>
              <w:t>Setting risk limits, checking compliance with the AI rules, and giving objective challenge to the teams that run the models.</w:t>
            </w:r>
          </w:p>
        </w:tc>
        <w:tc>
          <w:tcPr>
            <w:tcW w:type="dxa" w:w="1361"/>
          </w:tcPr>
          <w:p>
            <w:r/>
            <w:r>
              <w:rPr>
                <w:b w:val="0"/>
                <w:color w:val="BE5000"/>
              </w:rPr>
              <w:t>✱ 已改</w:t>
            </w:r>
          </w:p>
        </w:tc>
      </w:tr>
      <w:tr>
        <w:tc>
          <w:tcPr>
            <w:tcW w:type="dxa" w:w="907"/>
          </w:tcPr>
          <w:p>
            <w:r/>
            <w:r>
              <w:rPr>
                <w:b/>
              </w:rPr>
              <w:t>D</w:t>
            </w:r>
          </w:p>
        </w:tc>
        <w:tc>
          <w:tcPr>
            <w:tcW w:type="dxa" w:w="5669"/>
          </w:tcPr>
          <w:p>
            <w:r/>
            <w:r>
              <w:rPr>
                <w:b w:val="0"/>
              </w:rPr>
              <w:t>Providing independent, objective assurance directly to the audit committee regarding the overall effectiveness of AI management controls.</w:t>
            </w:r>
          </w:p>
        </w:tc>
        <w:tc>
          <w:tcPr>
            <w:tcW w:type="dxa" w:w="5669"/>
          </w:tcPr>
          <w:p>
            <w:r/>
            <w:r>
              <w:rPr>
                <w:b w:val="0"/>
              </w:rPr>
              <w:t>Providing independent, objective assurance directly to the audit committee regarding the overall effectiveness of AI management controls.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主解析（未改动）：Under the IIA Three Lines Model (2020), both first- and second-line roles are part of management. First-line business units own and operate AI models and manage day-to-day operational risks, whereas second-line roles (Risk Management and Compliance) provide complementary expertise, establish risk frameworks and thresholds within delegated authority, monitor policy compliance, and provide objective challenge to first-line model owners. Independent assurance to the audit committee belongs to the third line (Internal Audit). This role allocation supports accountability requirements in NIST AI RMF (GOVERN 2.1) and ISO/IEC 42001.</w:t>
      </w:r>
    </w:p>
    <w:p>
      <w:pPr>
        <w:spacing w:after="60"/>
      </w:pPr>
      <w:r>
        <w:rPr>
          <w:b/>
          <w:i w:val="0"/>
          <w:sz w:val="18"/>
        </w:rPr>
        <w:t>改写后的错误选项解析与错误类型：</w:t>
      </w:r>
    </w:p>
    <w:p>
      <w:pPr>
        <w:spacing w:after="60"/>
      </w:pPr>
      <w:r>
        <w:rPr>
          <w:b w:val="0"/>
          <w:i w:val="0"/>
          <w:sz w:val="18"/>
        </w:rPr>
        <w:t xml:space="preserve">  A（已改）A: Day-to-day control and fixing issues are management duties of the first line. The second line oversees and challenges them.　【类型：First-line duty assigned to the second line】</w:t>
      </w:r>
    </w:p>
    <w:p>
      <w:pPr>
        <w:spacing w:after="60"/>
      </w:pPr>
      <w:r>
        <w:rPr>
          <w:b w:val="0"/>
          <w:i w:val="0"/>
          <w:sz w:val="18"/>
        </w:rPr>
        <w:t xml:space="preserve">  B（已改）B: Release approval and risk acceptance belong to the management that runs the system. The second line advises and challenges, it does not decide for them.　【类型：Management decision assigned to the second line】</w:t>
      </w:r>
    </w:p>
    <w:p>
      <w:pPr>
        <w:spacing w:after="60"/>
      </w:pPr>
      <w:r>
        <w:rPr>
          <w:b w:val="0"/>
          <w:i w:val="0"/>
          <w:sz w:val="18"/>
        </w:rPr>
        <w:t xml:space="preserve">  D（未改）Option D is incorrect because providing independent, objective assurance directly to the board's audit committee is the explicit and exclusive mandate of the third line of defense (Internal Audit).　【类型：Third-line duty assigned to the second line】</w:t>
      </w:r>
    </w:p>
    <w:p>
      <w:pPr>
        <w:spacing w:after="60"/>
      </w:pPr>
      <w:r>
        <w:rPr>
          <w:b w:val="0"/>
          <w:i w:val="0"/>
          <w:color w:val="5A5A5A"/>
          <w:sz w:val="17"/>
        </w:rPr>
        <w:t>出处（沿用原文，未核验）：IIA Three Lines Model (2020) Principles 2–4; NIST AI RMF 1.0 GOVERN 1.2 &amp; 2.1; ISO/IEC 42001:2023 (verify Cl. 5.3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15. 第六批 · MOST · D2.3 Privacy by Design &amp; Data Minimization</w:t>
      </w:r>
    </w:p>
    <w:p>
      <w:pPr>
        <w:spacing w:after="60"/>
      </w:pPr>
      <w:r>
        <w:rPr>
          <w:b w:val="0"/>
          <w:i w:val="0"/>
          <w:color w:val="5A5A5A"/>
          <w:sz w:val="17"/>
        </w:rPr>
        <w:t>ID：aaig-pipe-1791943269969-47-mryb2　难度：Director-Level</w:t>
      </w:r>
    </w:p>
    <w:p>
      <w:pPr>
        <w:spacing w:after="60"/>
      </w:pPr>
      <w:r>
        <w:rPr>
          <w:b w:val="0"/>
          <w:i w:val="0"/>
        </w:rPr>
        <w:t>情境：A multinational financial enterprise is re-architecting its core predictive modeling platform into a distributed multi-agent system that ingests cross-border transaction telemetry and customer interaction histories. During an architecture review, the Chief Risk Officer raises concerns regarding potential regulatory violations stemming from model memorization of sensitive personal records and uncontrolled feature sprawl.</w:t>
      </w:r>
    </w:p>
    <w:p>
      <w:pPr>
        <w:spacing w:after="60"/>
      </w:pPr>
      <w:r>
        <w:rPr>
          <w:b/>
          <w:i w:val="0"/>
        </w:rPr>
        <w:t>问题：Which architectural governance control is the MOST effective for embedding Privacy by Design and data minimization across the end-to-end AI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Establishing a second-line AI architectural gating process that mandates purposeful feature rationalization and cryptographic tokenization prior to pipeline ingestion.</w:t>
            </w:r>
          </w:p>
        </w:tc>
        <w:tc>
          <w:tcPr>
            <w:tcW w:type="dxa" w:w="5669"/>
            <w:shd w:val="clear" w:color="auto" w:fill="FFF2CC"/>
          </w:tcPr>
          <w:p>
            <w:r/>
            <w:r>
              <w:rPr>
                <w:b/>
              </w:rPr>
              <w:t>Set up a second-line gating step that requires each feature to be justified and tokenized before data enters the pipeline.</w:t>
            </w:r>
          </w:p>
        </w:tc>
        <w:tc>
          <w:tcPr>
            <w:tcW w:type="dxa" w:w="1361"/>
          </w:tcPr>
          <w:p>
            <w:r/>
            <w:r>
              <w:rPr>
                <w:b w:val="0"/>
                <w:color w:val="BE5000"/>
              </w:rPr>
              <w:t>✱ 已改</w:t>
            </w:r>
          </w:p>
        </w:tc>
      </w:tr>
      <w:tr>
        <w:tc>
          <w:tcPr>
            <w:tcW w:type="dxa" w:w="907"/>
          </w:tcPr>
          <w:p>
            <w:r/>
            <w:r>
              <w:rPr>
                <w:b/>
              </w:rPr>
              <w:t>B</w:t>
            </w:r>
          </w:p>
        </w:tc>
        <w:tc>
          <w:tcPr>
            <w:tcW w:type="dxa" w:w="5669"/>
          </w:tcPr>
          <w:p>
            <w:r/>
            <w:r>
              <w:rPr>
                <w:b w:val="0"/>
              </w:rPr>
              <w:t>Conducting post-hoc empirical extraction attacks and model inversion testing during acceptance staging to remove non-essential feature attributions prior to production deployment.</w:t>
            </w:r>
          </w:p>
        </w:tc>
        <w:tc>
          <w:tcPr>
            <w:tcW w:type="dxa" w:w="5669"/>
            <w:shd w:val="clear" w:color="auto" w:fill="FFF2CC"/>
          </w:tcPr>
          <w:p>
            <w:r/>
            <w:r>
              <w:rPr>
                <w:b/>
              </w:rPr>
              <w:t>Require a privacy review of each model after it has been trained, and remove the attributes that the review finds unnecessary.</w:t>
            </w:r>
          </w:p>
        </w:tc>
        <w:tc>
          <w:tcPr>
            <w:tcW w:type="dxa" w:w="1361"/>
          </w:tcPr>
          <w:p>
            <w:r/>
            <w:r>
              <w:rPr>
                <w:b w:val="0"/>
                <w:color w:val="BE5000"/>
              </w:rPr>
              <w:t>✱ 已改</w:t>
            </w:r>
          </w:p>
        </w:tc>
      </w:tr>
      <w:tr>
        <w:tc>
          <w:tcPr>
            <w:tcW w:type="dxa" w:w="907"/>
          </w:tcPr>
          <w:p>
            <w:r/>
            <w:r>
              <w:rPr>
                <w:b/>
              </w:rPr>
              <w:t>C</w:t>
            </w:r>
          </w:p>
        </w:tc>
        <w:tc>
          <w:tcPr>
            <w:tcW w:type="dxa" w:w="5669"/>
          </w:tcPr>
          <w:p>
            <w:r/>
            <w:r>
              <w:rPr>
                <w:b w:val="0"/>
              </w:rPr>
              <w:t>Delegating final feature-selection authority and data-retention threshold approvals exclusively to the first-line ML engineering squads building each model pipeline.</w:t>
            </w:r>
          </w:p>
        </w:tc>
        <w:tc>
          <w:tcPr>
            <w:tcW w:type="dxa" w:w="5669"/>
            <w:shd w:val="clear" w:color="auto" w:fill="FFF2CC"/>
          </w:tcPr>
          <w:p>
            <w:r/>
            <w:r>
              <w:rPr>
                <w:b/>
              </w:rPr>
              <w:t>Ask each team's privacy champion to approve its feature list and keep the approval with the model record.</w:t>
            </w:r>
          </w:p>
        </w:tc>
        <w:tc>
          <w:tcPr>
            <w:tcW w:type="dxa" w:w="1361"/>
          </w:tcPr>
          <w:p>
            <w:r/>
            <w:r>
              <w:rPr>
                <w:b w:val="0"/>
                <w:color w:val="BE5000"/>
              </w:rPr>
              <w:t>✱ 已改</w:t>
            </w:r>
          </w:p>
        </w:tc>
      </w:tr>
      <w:tr>
        <w:tc>
          <w:tcPr>
            <w:tcW w:type="dxa" w:w="907"/>
          </w:tcPr>
          <w:p>
            <w:r/>
            <w:r>
              <w:rPr>
                <w:b/>
              </w:rPr>
              <w:t>D</w:t>
            </w:r>
          </w:p>
        </w:tc>
        <w:tc>
          <w:tcPr>
            <w:tcW w:type="dxa" w:w="5669"/>
          </w:tcPr>
          <w:p>
            <w:r/>
            <w:r>
              <w:rPr>
                <w:b w:val="0"/>
              </w:rPr>
              <w:t>Deploying differential privacy perturbation mechanisms and automated synthetic data generators at the database layer to maximize technical obfuscation while preserving baseline analytical utility.</w:t>
            </w:r>
          </w:p>
        </w:tc>
        <w:tc>
          <w:tcPr>
            <w:tcW w:type="dxa" w:w="5669"/>
            <w:shd w:val="clear" w:color="auto" w:fill="FFF2CC"/>
          </w:tcPr>
          <w:p>
            <w:r/>
            <w:r>
              <w:rPr>
                <w:b/>
              </w:rPr>
              <w:t>Add differential privacy noise to stored data and use synthetic data wherever it is available, whatever the effect on accuracy.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(Annex A.7) and NIST AI RMF (GOVERN 1.2 and MEASURE 2.10), Privacy by Design and data minimization should be addressed systematically through risk-proportionate governance controls before data ingestion occurs. An architectural review with objective second-line challenge, where appropriate under delegated authority, can help verify business purpose limitation, eliminate unnecessary attributes at the conceptual stage, and select tokenization of sensitive identifiers where warranted by the identified privacy risks before model training.</w:t>
      </w:r>
    </w:p>
    <w:p>
      <w:pPr>
        <w:spacing w:after="60"/>
      </w:pPr>
      <w:r>
        <w:rPr>
          <w:b/>
          <w:i w:val="0"/>
          <w:sz w:val="18"/>
        </w:rPr>
        <w:t>改写后的错误选项解析与错误类型：</w:t>
      </w:r>
    </w:p>
    <w:p>
      <w:pPr>
        <w:spacing w:after="60"/>
      </w:pPr>
      <w:r>
        <w:rPr>
          <w:b w:val="0"/>
          <w:i w:val="0"/>
          <w:sz w:val="18"/>
        </w:rPr>
        <w:t xml:space="preserve">  B（已改）B: A review after training finds problems late, when the model has already learned from the unnecessary attributes.　【类型：Review after training instead of at intake】</w:t>
      </w:r>
    </w:p>
    <w:p>
      <w:pPr>
        <w:spacing w:after="60"/>
      </w:pPr>
      <w:r>
        <w:rPr>
          <w:b w:val="0"/>
          <w:i w:val="0"/>
          <w:sz w:val="18"/>
        </w:rPr>
        <w:t xml:space="preserve">  C（已改）C: Local approval depends on each team's own judgement, and nothing applies a common test of purpose and necessity before ingestion.　【类型：Local approval without a common gate】</w:t>
      </w:r>
    </w:p>
    <w:p>
      <w:pPr>
        <w:spacing w:after="60"/>
      </w:pPr>
      <w:r>
        <w:rPr>
          <w:b w:val="0"/>
          <w:i w:val="0"/>
          <w:sz w:val="18"/>
        </w:rPr>
        <w:t xml:space="preserve">  D（已改）D: Technical protection helps, but applying it everywhere regardless of need harms utility and does not show that each attribute is justified at intake.　【类型：Technical obfuscation in place of intake control】</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16. 第六批 · FIRST · D3.2 Business Case, Value Realization &amp; ROI</w:t>
      </w:r>
    </w:p>
    <w:p>
      <w:pPr>
        <w:spacing w:after="60"/>
      </w:pPr>
      <w:r>
        <w:rPr>
          <w:b w:val="0"/>
          <w:i w:val="0"/>
          <w:color w:val="5A5A5A"/>
          <w:sz w:val="17"/>
        </w:rPr>
        <w:t>ID：aaig-pipe-1791943199628-31-3294z　难度：Director-Level</w:t>
      </w:r>
    </w:p>
    <w:p>
      <w:pPr>
        <w:spacing w:after="60"/>
      </w:pPr>
      <w:r>
        <w:rPr>
          <w:b w:val="0"/>
          <w:i w:val="0"/>
        </w:rPr>
        <w:t>情境：A multinational financial services enterprise plans to invest $50 million in an enterprise-wide generative AI transformation program to streamline operations and enhance client advisory services. While multiple business units have submitted competing proposals with disparate ROI assumptions, executive management has instructed the AI Steering Committee to formalize the business case and oversee value realization.</w:t>
      </w:r>
    </w:p>
    <w:p>
      <w:pPr>
        <w:spacing w:after="60"/>
      </w:pPr>
      <w:r>
        <w:rPr>
          <w:b/>
          <w:i w:val="0"/>
        </w:rPr>
        <w:t>问题：To establish robust governance over value realization before capital allocation, what should the AI Steering Committee do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Define an AI value realization framework aligned to strategic goals and risk appetite, establishing standardized metrics and decision rights.</w:t>
            </w:r>
          </w:p>
        </w:tc>
        <w:tc>
          <w:tcPr>
            <w:tcW w:type="dxa" w:w="5669"/>
            <w:shd w:val="clear" w:color="auto" w:fill="FFF2CC"/>
          </w:tcPr>
          <w:p>
            <w:r/>
            <w:r>
              <w:rPr>
                <w:b/>
              </w:rPr>
              <w:t>Agree how value will be measured: common metrics linked to strategic goals, with a named person who decides.</w:t>
            </w:r>
          </w:p>
        </w:tc>
        <w:tc>
          <w:tcPr>
            <w:tcW w:type="dxa" w:w="1361"/>
          </w:tcPr>
          <w:p>
            <w:r/>
            <w:r>
              <w:rPr>
                <w:b w:val="0"/>
                <w:color w:val="BE5000"/>
              </w:rPr>
              <w:t>✱ 已改</w:t>
            </w:r>
          </w:p>
        </w:tc>
      </w:tr>
      <w:tr>
        <w:tc>
          <w:tcPr>
            <w:tcW w:type="dxa" w:w="907"/>
          </w:tcPr>
          <w:p>
            <w:r/>
            <w:r>
              <w:rPr>
                <w:b/>
              </w:rPr>
              <w:t>B</w:t>
            </w:r>
          </w:p>
        </w:tc>
        <w:tc>
          <w:tcPr>
            <w:tcW w:type="dxa" w:w="5669"/>
          </w:tcPr>
          <w:p>
            <w:r/>
            <w:r>
              <w:rPr>
                <w:b w:val="0"/>
              </w:rPr>
              <w:t>Commission business unit product owners to immediately conduct detailed post-implementation cost-benefit reconciliations on each proposed divisional pilot deployment.</w:t>
            </w:r>
          </w:p>
        </w:tc>
        <w:tc>
          <w:tcPr>
            <w:tcW w:type="dxa" w:w="5669"/>
          </w:tcPr>
          <w:p>
            <w:r/>
            <w:r>
              <w:rPr>
                <w:b w:val="0"/>
              </w:rPr>
              <w:t>Commission business unit product owners to immediately conduct detailed post-implementation cost-benefit reconciliations on each proposed divisional pilot deployment.</w:t>
            </w:r>
          </w:p>
        </w:tc>
        <w:tc>
          <w:tcPr>
            <w:tcW w:type="dxa" w:w="1361"/>
          </w:tcPr>
          <w:p>
            <w:r/>
            <w:r>
              <w:rPr>
                <w:b w:val="0"/>
                <w:color w:val="787878"/>
              </w:rPr>
              <w:t>未改</w:t>
            </w:r>
          </w:p>
        </w:tc>
      </w:tr>
      <w:tr>
        <w:tc>
          <w:tcPr>
            <w:tcW w:type="dxa" w:w="907"/>
          </w:tcPr>
          <w:p>
            <w:r/>
            <w:r>
              <w:rPr>
                <w:b/>
              </w:rPr>
              <w:t>C</w:t>
            </w:r>
          </w:p>
        </w:tc>
        <w:tc>
          <w:tcPr>
            <w:tcW w:type="dxa" w:w="5669"/>
          </w:tcPr>
          <w:p>
            <w:r/>
            <w:r>
              <w:rPr>
                <w:b w:val="0"/>
              </w:rPr>
              <w:t>Direct the internal audit function to establish quantitative hurdle rates and enforce mandatory return on investment thresholds prior to capital allocation by the board.</w:t>
            </w:r>
          </w:p>
        </w:tc>
        <w:tc>
          <w:tcPr>
            <w:tcW w:type="dxa" w:w="5669"/>
            <w:shd w:val="clear" w:color="auto" w:fill="FFF2CC"/>
          </w:tcPr>
          <w:p>
            <w:r/>
            <w:r>
              <w:rPr>
                <w:b/>
              </w:rPr>
              <w:t>Ask finance to set one hurdle rate for all AI projects and reject any proposal whose forecast return falls below it.</w:t>
            </w:r>
          </w:p>
        </w:tc>
        <w:tc>
          <w:tcPr>
            <w:tcW w:type="dxa" w:w="1361"/>
          </w:tcPr>
          <w:p>
            <w:r/>
            <w:r>
              <w:rPr>
                <w:b w:val="0"/>
                <w:color w:val="BE5000"/>
              </w:rPr>
              <w:t>✱ 已改</w:t>
            </w:r>
          </w:p>
        </w:tc>
      </w:tr>
      <w:tr>
        <w:tc>
          <w:tcPr>
            <w:tcW w:type="dxa" w:w="907"/>
          </w:tcPr>
          <w:p>
            <w:r/>
            <w:r>
              <w:rPr>
                <w:b/>
              </w:rPr>
              <w:t>D</w:t>
            </w:r>
          </w:p>
        </w:tc>
        <w:tc>
          <w:tcPr>
            <w:tcW w:type="dxa" w:w="5669"/>
          </w:tcPr>
          <w:p>
            <w:r/>
            <w:r>
              <w:rPr>
                <w:b w:val="0"/>
              </w:rPr>
              <w:t>Procure and deploy an enterprise-wide automated model observability dashboard to track inference resource costs, token consumption, and technical latency across all candidate pipelines.</w:t>
            </w:r>
          </w:p>
        </w:tc>
        <w:tc>
          <w:tcPr>
            <w:tcW w:type="dxa" w:w="5669"/>
            <w:shd w:val="clear" w:color="auto" w:fill="FFF2CC"/>
          </w:tcPr>
          <w:p>
            <w:r/>
            <w:r>
              <w:rPr>
                <w:b/>
              </w:rPr>
              <w:t>Ask each sponsor to present a business case for its pilot and approve the pilots with the highest forecast return first.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ISACA AI governance principles and ISO/IEC 42001 (Clauses 5.1 and 6.2), the foundational first step in value realization and portfolio integration is defining an enterprise-level value realization framework. This framework must align with the organization's overarching business strategy and risk appetite, establishing common value metrics, evaluation criteria, and stage-gate decision rights before technical tooling is selected or funds are released.</w:t>
      </w:r>
    </w:p>
    <w:p>
      <w:pPr>
        <w:spacing w:after="60"/>
      </w:pPr>
      <w:r>
        <w:rPr>
          <w:b/>
          <w:i w:val="0"/>
          <w:sz w:val="18"/>
        </w:rPr>
        <w:t>改写后的错误选项解析与错误类型：</w:t>
      </w:r>
    </w:p>
    <w:p>
      <w:pPr>
        <w:spacing w:after="60"/>
      </w:pPr>
      <w:r>
        <w:rPr>
          <w:b w:val="0"/>
          <w:i w:val="0"/>
          <w:sz w:val="18"/>
        </w:rPr>
        <w:t xml:space="preserve">  B（未改）Option B is incorrect because it reflects the wrong sequence/timing; post-implementation reconciliations are operational tracking mechanisms conducted after systems are in production, not at the initial capital planning and business case stage.　【类型：Reconciliation after implementation, before value metrics exist】</w:t>
      </w:r>
    </w:p>
    <w:p>
      <w:pPr>
        <w:spacing w:after="60"/>
      </w:pPr>
      <w:r>
        <w:rPr>
          <w:b w:val="0"/>
          <w:i w:val="0"/>
          <w:sz w:val="18"/>
        </w:rPr>
        <w:t xml:space="preserve">  C（已改）C: A single hurdle rate is a useful filter, but it ignores strategic value and risk, and nothing yet defines how benefits will be measured.　【类型：Single financial filter】</w:t>
      </w:r>
    </w:p>
    <w:p>
      <w:pPr>
        <w:spacing w:after="60"/>
      </w:pPr>
      <w:r>
        <w:rPr>
          <w:b w:val="0"/>
          <w:i w:val="0"/>
          <w:sz w:val="18"/>
        </w:rPr>
        <w:t xml:space="preserve">  D（已改）D: Business cases are needed, but with no common metrics the forecasts cannot be compared or checked later.　【类型：Forecasts without common metrics】</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17. 第六批 · PRIMARY · D3.4 Explainability, Interpretability &amp; Transparency (XAI)</w:t>
      </w:r>
    </w:p>
    <w:p>
      <w:pPr>
        <w:spacing w:after="60"/>
      </w:pPr>
      <w:r>
        <w:rPr>
          <w:b w:val="0"/>
          <w:i w:val="0"/>
          <w:color w:val="5A5A5A"/>
          <w:sz w:val="17"/>
        </w:rPr>
        <w:t>ID：aaig-pipe-1791943294885-53-cjlfm　难度：Director-Level</w:t>
      </w:r>
    </w:p>
    <w:p>
      <w:pPr>
        <w:spacing w:after="60"/>
      </w:pPr>
      <w:r>
        <w:rPr>
          <w:b w:val="0"/>
          <w:i w:val="0"/>
        </w:rPr>
        <w:t>情境：A multinational financial services institution is integrating a complex ensemble machine learning model to automate commercial lending and credit limit determinations across regulated markets. An enterprise AI governance review identifies that the model operates as a black box, posing significant compliance risks under statutory adverse-action notification requirements and exposing the firm to unmonitored bias. The Chief Risk Officer tasks the AI Governance Director with establishing an enterprise-wide Explainable AI (XAI) strategy.</w:t>
      </w:r>
    </w:p>
    <w:p>
      <w:pPr>
        <w:spacing w:after="60"/>
      </w:pPr>
      <w:r>
        <w:rPr>
          <w:b/>
          <w:i w:val="0"/>
        </w:rPr>
        <w:t>问题：From an enterprise AI governance perspective, what is the AI Governance Director's PRIMARY objective when establishing XAI requirements for this deployment?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the implementation of post-hoc attribution algorithms to maximize mathematical feature importance metrics across all operational nodes.</w:t>
            </w:r>
          </w:p>
        </w:tc>
        <w:tc>
          <w:tcPr>
            <w:tcW w:type="dxa" w:w="5669"/>
            <w:shd w:val="clear" w:color="auto" w:fill="FFF2CC"/>
          </w:tcPr>
          <w:p>
            <w:r/>
            <w:r>
              <w:rPr>
                <w:b/>
              </w:rPr>
              <w:t>Ask the vendor to supply an explanation report for every decision and keep the reports in case the regulator asks.</w:t>
            </w:r>
          </w:p>
        </w:tc>
        <w:tc>
          <w:tcPr>
            <w:tcW w:type="dxa" w:w="1361"/>
          </w:tcPr>
          <w:p>
            <w:r/>
            <w:r>
              <w:rPr>
                <w:b w:val="0"/>
                <w:color w:val="BE5000"/>
              </w:rPr>
              <w:t>✱ 已改</w:t>
            </w:r>
          </w:p>
        </w:tc>
      </w:tr>
      <w:tr>
        <w:tc>
          <w:tcPr>
            <w:tcW w:type="dxa" w:w="907"/>
          </w:tcPr>
          <w:p>
            <w:r/>
            <w:r>
              <w:rPr>
                <w:b/>
              </w:rPr>
              <w:t>B</w:t>
            </w:r>
          </w:p>
        </w:tc>
        <w:tc>
          <w:tcPr>
            <w:tcW w:type="dxa" w:w="5669"/>
          </w:tcPr>
          <w:p>
            <w:r/>
            <w:r>
              <w:rPr>
                <w:b w:val="0"/>
              </w:rPr>
              <w:t>Authorize frontline model developers to independently define the acceptable legal thresholds for model explainability and compliance.</w:t>
            </w:r>
          </w:p>
        </w:tc>
        <w:tc>
          <w:tcPr>
            <w:tcW w:type="dxa" w:w="5669"/>
          </w:tcPr>
          <w:p>
            <w:r/>
            <w:r>
              <w:rPr>
                <w:b w:val="0"/>
              </w:rPr>
              <w:t>Authorize frontline model developers to independently define the acceptable legal thresholds for model explainability and compliance.</w:t>
            </w:r>
          </w:p>
        </w:tc>
        <w:tc>
          <w:tcPr>
            <w:tcW w:type="dxa" w:w="1361"/>
          </w:tcPr>
          <w:p>
            <w:r/>
            <w:r>
              <w:rPr>
                <w:b w:val="0"/>
                <w:color w:val="787878"/>
              </w:rPr>
              <w:t>未改</w:t>
            </w:r>
          </w:p>
        </w:tc>
      </w:tr>
      <w:tr>
        <w:tc>
          <w:tcPr>
            <w:tcW w:type="dxa" w:w="907"/>
          </w:tcPr>
          <w:p>
            <w:r/>
            <w:r>
              <w:rPr>
                <w:b/>
              </w:rPr>
              <w:t>C</w:t>
            </w:r>
          </w:p>
        </w:tc>
        <w:tc>
          <w:tcPr>
            <w:tcW w:type="dxa" w:w="5669"/>
          </w:tcPr>
          <w:p>
            <w:r/>
            <w:r>
              <w:rPr>
                <w:b w:val="0"/>
              </w:rPr>
              <w:t>Deploy customer-facing interactive explainability dashboards to applicants prior to formalizing institutional interpretability thresholds.</w:t>
            </w:r>
          </w:p>
        </w:tc>
        <w:tc>
          <w:tcPr>
            <w:tcW w:type="dxa" w:w="5669"/>
            <w:shd w:val="clear" w:color="auto" w:fill="FFF2CC"/>
          </w:tcPr>
          <w:p>
            <w:r/>
            <w:r>
              <w:rPr>
                <w:b/>
              </w:rPr>
              <w:t>Publish a general description of how the model works on the firm's website for customers and regulators.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audience-tailored transparency policies aligned with organizational risk appetite and statutory adverse-action notification duties.</w:t>
            </w:r>
          </w:p>
        </w:tc>
        <w:tc>
          <w:tcPr>
            <w:tcW w:type="dxa" w:w="5669"/>
            <w:shd w:val="clear" w:color="auto" w:fill="FFF2CC"/>
          </w:tcPr>
          <w:p>
            <w:r/>
            <w:r>
              <w:rPr>
                <w:b/>
              </w:rPr>
              <w:t>Set explanation requirements for each audience, including the notices that the law requires for adverse decisions.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enterprise AI governance (anchored in NIST AI RMF GOVERN 1.2 and ISO/IEC 42001 Cl. 8.4 / Annex B.7), the primary purpose of explainability and transparency is not merely technical optimization, but ensuring that model outputs are interpretable and actionable for distinct stakeholders (e.g., regulators, affected consumers, risk officers, and auditors) in accordance with risk appetite and legal mandates. Establishing top-down, audience-tailored transparency policies ensures accountability, supports legally required adverse-action disclosures, and enables effective second-line oversight.</w:t>
      </w:r>
    </w:p>
    <w:p>
      <w:pPr>
        <w:spacing w:after="60"/>
      </w:pPr>
      <w:r>
        <w:rPr>
          <w:b/>
          <w:i w:val="0"/>
          <w:sz w:val="18"/>
        </w:rPr>
        <w:t>改写后的错误选项解析与错误类型：</w:t>
      </w:r>
    </w:p>
    <w:p>
      <w:pPr>
        <w:spacing w:after="60"/>
      </w:pPr>
      <w:r>
        <w:rPr>
          <w:b w:val="0"/>
          <w:i w:val="0"/>
          <w:sz w:val="18"/>
        </w:rPr>
        <w:t xml:space="preserve">  A（已改）A: Reports for every decision give material, but they do not set what each audience needs to know or what the law requires the firm to say.　【类型：Volume of documentation instead of audience needs】</w:t>
      </w:r>
    </w:p>
    <w:p>
      <w:pPr>
        <w:spacing w:after="60"/>
      </w:pPr>
      <w:r>
        <w:rPr>
          <w:b w:val="0"/>
          <w:i w:val="0"/>
          <w:sz w:val="18"/>
        </w:rPr>
        <w:t xml:space="preserve">  B（未改）Option B represents wrong authorization and scope by inappropriately delegating governance, legal threshold setting, and risk boundary decisions to first-line technical engineering teams rather than cross-functional risk and compliance authorities.　【类型：Developers deciding legal thresholds】</w:t>
      </w:r>
    </w:p>
    <w:p>
      <w:pPr>
        <w:spacing w:after="60"/>
      </w:pPr>
      <w:r>
        <w:rPr>
          <w:b w:val="0"/>
          <w:i w:val="0"/>
          <w:sz w:val="18"/>
        </w:rPr>
        <w:t xml:space="preserve">  C（已改）C: A general description is transparency at one level. It does not give an applicant the reasons for their own decision.　【类型：Generic disclosure for all audiences】</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18. 第六批 · BEST · D1.1 AI Governance Structure &amp; Board Oversight</w:t>
      </w:r>
    </w:p>
    <w:p>
      <w:pPr>
        <w:spacing w:after="60"/>
      </w:pPr>
      <w:r>
        <w:rPr>
          <w:b w:val="0"/>
          <w:i w:val="0"/>
          <w:color w:val="5A5A5A"/>
          <w:sz w:val="17"/>
        </w:rPr>
        <w:t>ID：aaig-pipe-1791943171040-25-5puc0　难度：Director-Level</w:t>
      </w:r>
    </w:p>
    <w:p>
      <w:pPr>
        <w:spacing w:after="60"/>
      </w:pPr>
      <w:r>
        <w:rPr>
          <w:b w:val="0"/>
          <w:i w:val="0"/>
        </w:rPr>
        <w:t>情境：A multinational financial services enterprise is expanding the deployment of high-risk predictive and generative AI models across credit underwriting, algorithmic trading, and customer support. The Board of Directors recognizes mounting regulatory scrutiny and systemic risk but currently lacks a formalized mechanism for monitoring algorithmic risk profile shifts and organizational accountability.</w:t>
      </w:r>
    </w:p>
    <w:p>
      <w:pPr>
        <w:spacing w:after="60"/>
      </w:pPr>
      <w:r>
        <w:rPr>
          <w:b/>
          <w:i w:val="0"/>
        </w:rPr>
        <w:t>问题：Which of the following is the BEST action for the Board of Directors to take to institute sustainable enterprise AI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the deployment of centralized automated algorithmic monitoring tools across all production AI systems to log fairness and drift metrics continuously.</w:t>
            </w:r>
          </w:p>
        </w:tc>
        <w:tc>
          <w:tcPr>
            <w:tcW w:type="dxa" w:w="5669"/>
            <w:shd w:val="clear" w:color="auto" w:fill="FFF2CC"/>
          </w:tcPr>
          <w:p>
            <w:r/>
            <w:r>
              <w:rPr>
                <w:b/>
              </w:rPr>
              <w:t>Ask the board to receive a yearly AI governance presentation from the chief technology officer and record any questions raised.</w:t>
            </w:r>
          </w:p>
        </w:tc>
        <w:tc>
          <w:tcPr>
            <w:tcW w:type="dxa" w:w="1361"/>
          </w:tcPr>
          <w:p>
            <w:r/>
            <w:r>
              <w:rPr>
                <w:b w:val="0"/>
                <w:color w:val="BE5000"/>
              </w:rPr>
              <w:t>✱ 已改</w:t>
            </w:r>
          </w:p>
        </w:tc>
      </w:tr>
      <w:tr>
        <w:tc>
          <w:tcPr>
            <w:tcW w:type="dxa" w:w="907"/>
          </w:tcPr>
          <w:p>
            <w:r/>
            <w:r>
              <w:rPr>
                <w:b/>
              </w:rPr>
              <w:t>B</w:t>
            </w:r>
          </w:p>
        </w:tc>
        <w:tc>
          <w:tcPr>
            <w:tcW w:type="dxa" w:w="5669"/>
          </w:tcPr>
          <w:p>
            <w:r/>
            <w:r>
              <w:rPr>
                <w:b w:val="0"/>
              </w:rPr>
              <w:t>Delegate operational risk acceptance and policy exception approval solely to decentralized business unit leaders who directly oversee AI product engineering.</w:t>
            </w:r>
          </w:p>
        </w:tc>
        <w:tc>
          <w:tcPr>
            <w:tcW w:type="dxa" w:w="5669"/>
            <w:shd w:val="clear" w:color="auto" w:fill="FFF2CC"/>
          </w:tcPr>
          <w:p>
            <w:r/>
            <w:r>
              <w:rPr>
                <w:b/>
              </w:rPr>
              <w:t>Let each business unit leader accept AI risks and approve policy exceptions for the systems that the unit runs.</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third-party conformity assessments and algorithmic red-teaming across all active models prior to establishing the governance charter.</w:t>
            </w:r>
          </w:p>
        </w:tc>
        <w:tc>
          <w:tcPr>
            <w:tcW w:type="dxa" w:w="5669"/>
            <w:shd w:val="clear" w:color="auto" w:fill="FFF2CC"/>
          </w:tcPr>
          <w:p>
            <w:r/>
            <w:r>
              <w:rPr>
                <w:b/>
              </w:rPr>
              <w:t>Commission an outside review of AI practices at peer firms and adopt the structure that most of them use.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Charter an executive AI steering committee with defined decision rights, board-aligned risk appetite thresholds, and formalized reporting cadences.</w:t>
            </w:r>
          </w:p>
        </w:tc>
        <w:tc>
          <w:tcPr>
            <w:tcW w:type="dxa" w:w="5669"/>
            <w:shd w:val="clear" w:color="auto" w:fill="FFF2CC"/>
          </w:tcPr>
          <w:p>
            <w:r/>
            <w:r>
              <w:rPr>
                <w:b/>
              </w:rPr>
              <w:t>Set up an executive AI committee with defined decision rights and regular reports to the board.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an AI steering committee charter with explicit decision rights, board-approved risk appetite thresholds, and defined reporting mechanisms represents the foundational top-down governance requirement under ISO/IEC 42001 (Clause 5: Leadership) and NIST AI RMF (GOVERN 1.1 &amp; 1.2). Governance begins with structures, accountability, and strategic alignment at the governing body level before lower-level controls or tools can be meaningfully evaluated.</w:t>
      </w:r>
    </w:p>
    <w:p>
      <w:pPr>
        <w:spacing w:after="60"/>
      </w:pPr>
      <w:r>
        <w:rPr>
          <w:b/>
          <w:i w:val="0"/>
          <w:sz w:val="18"/>
        </w:rPr>
        <w:t>改写后的错误选项解析与错误类型：</w:t>
      </w:r>
    </w:p>
    <w:p>
      <w:pPr>
        <w:spacing w:after="60"/>
      </w:pPr>
      <w:r>
        <w:rPr>
          <w:b w:val="0"/>
          <w:i w:val="0"/>
          <w:sz w:val="18"/>
        </w:rPr>
        <w:t xml:space="preserve">  A（已改）A: An annual presentation informs the board, but it creates no structure with decision rights between meetings.　【类型：Annual information instead of a structure】</w:t>
      </w:r>
    </w:p>
    <w:p>
      <w:pPr>
        <w:spacing w:after="60"/>
      </w:pPr>
      <w:r>
        <w:rPr>
          <w:b w:val="0"/>
          <w:i w:val="0"/>
          <w:sz w:val="18"/>
        </w:rPr>
        <w:t xml:space="preserve">  B（已改）B: Unit leaders know their systems, but unit-by-unit risk acceptance has no enterprise limits and no independent challenge.　【类型：Risk acceptance fragmented across units】</w:t>
      </w:r>
    </w:p>
    <w:p>
      <w:pPr>
        <w:spacing w:after="60"/>
      </w:pPr>
      <w:r>
        <w:rPr>
          <w:b w:val="0"/>
          <w:i w:val="0"/>
          <w:sz w:val="18"/>
        </w:rPr>
        <w:t xml:space="preserve">  C（已改）C: Peer practice is useful input, but copying it does not tie the structure to this firm's strategy, risk limits and board duties.　【类型：Imitation of peers】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19. 第六批 · BEST · D3.1 Buy vs. Build &amp; Third-Party Sourcing Decisions</w:t>
      </w:r>
    </w:p>
    <w:p>
      <w:pPr>
        <w:spacing w:after="60"/>
      </w:pPr>
      <w:r>
        <w:rPr>
          <w:b w:val="0"/>
          <w:i w:val="0"/>
          <w:color w:val="5A5A5A"/>
          <w:sz w:val="17"/>
        </w:rPr>
        <w:t>ID：aaig-pipe-1791943294203-50-49u23　难度：Intermediate</w:t>
      </w:r>
    </w:p>
    <w:p>
      <w:pPr>
        <w:spacing w:after="60"/>
      </w:pPr>
      <w:r>
        <w:rPr>
          <w:b w:val="0"/>
          <w:i w:val="0"/>
        </w:rPr>
        <w:t>情境：A commercial financial services firm is deciding whether to develop an internal credit-underwriting AI model or procure a commercial third-party AI-as-a-Service (AIaaS) platform. The enterprise operates under strict regulatory fair-lending requirements and must ensure consistent risk oversight.</w:t>
      </w:r>
    </w:p>
    <w:p>
      <w:pPr>
        <w:spacing w:after="60"/>
      </w:pPr>
      <w:r>
        <w:rPr>
          <w:b/>
          <w:i w:val="0"/>
        </w:rPr>
        <w:t>问题：Which of the following approaches represents the BEST governance practice for reaching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Evaluate internal engineering capabilities, lifecycle governance costs, explainability constraints, and third-party risk against defined enterprise risk tolerance.</w:t>
            </w:r>
          </w:p>
        </w:tc>
        <w:tc>
          <w:tcPr>
            <w:tcW w:type="dxa" w:w="5669"/>
            <w:shd w:val="clear" w:color="auto" w:fill="FFF2CC"/>
          </w:tcPr>
          <w:p>
            <w:r/>
            <w:r>
              <w:rPr>
                <w:b/>
              </w:rPr>
              <w:t>Compare buying and building on skills, cost over time, explainability and third-party risk against the firm's risk limits.</w:t>
            </w:r>
          </w:p>
        </w:tc>
        <w:tc>
          <w:tcPr>
            <w:tcW w:type="dxa" w:w="1361"/>
          </w:tcPr>
          <w:p>
            <w:r/>
            <w:r>
              <w:rPr>
                <w:b w:val="0"/>
                <w:color w:val="BE5000"/>
              </w:rPr>
              <w:t>✱ 已改</w:t>
            </w:r>
          </w:p>
        </w:tc>
      </w:tr>
      <w:tr>
        <w:tc>
          <w:tcPr>
            <w:tcW w:type="dxa" w:w="907"/>
          </w:tcPr>
          <w:p>
            <w:r/>
            <w:r>
              <w:rPr>
                <w:b/>
              </w:rPr>
              <w:t>B</w:t>
            </w:r>
          </w:p>
        </w:tc>
        <w:tc>
          <w:tcPr>
            <w:tcW w:type="dxa" w:w="5669"/>
          </w:tcPr>
          <w:p>
            <w:r/>
            <w:r>
              <w:rPr>
                <w:b w:val="0"/>
              </w:rPr>
              <w:t>Conduct live penetration testing and automated model bias audits on shortlisted vendor endpoints prior to establishing the business case, sourcing policy thresholds, or regulatory impact assessments.</w:t>
            </w:r>
          </w:p>
        </w:tc>
        <w:tc>
          <w:tcPr>
            <w:tcW w:type="dxa" w:w="5669"/>
            <w:shd w:val="clear" w:color="auto" w:fill="FFF2CC"/>
          </w:tcPr>
          <w:p>
            <w:r/>
            <w:r>
              <w:rPr>
                <w:b/>
              </w:rPr>
              <w:t>Ask the vendors to run a proof of concept at their own cost and pick the one whose results look strongest after four weeks.</w:t>
            </w:r>
          </w:p>
        </w:tc>
        <w:tc>
          <w:tcPr>
            <w:tcW w:type="dxa" w:w="1361"/>
          </w:tcPr>
          <w:p>
            <w:r/>
            <w:r>
              <w:rPr>
                <w:b w:val="0"/>
                <w:color w:val="BE5000"/>
              </w:rPr>
              <w:t>✱ 已改</w:t>
            </w:r>
          </w:p>
        </w:tc>
      </w:tr>
      <w:tr>
        <w:tc>
          <w:tcPr>
            <w:tcW w:type="dxa" w:w="907"/>
          </w:tcPr>
          <w:p>
            <w:r/>
            <w:r>
              <w:rPr>
                <w:b/>
              </w:rPr>
              <w:t>C</w:t>
            </w:r>
          </w:p>
        </w:tc>
        <w:tc>
          <w:tcPr>
            <w:tcW w:type="dxa" w:w="5669"/>
          </w:tcPr>
          <w:p>
            <w:r/>
            <w:r>
              <w:rPr>
                <w:b w:val="0"/>
              </w:rPr>
              <w:t>Prioritize selecting the vendor with the highest benchmark accuracy score and lowest subscription fees to optimize short-term financial return on investment and technical performance metrics.</w:t>
            </w:r>
          </w:p>
        </w:tc>
        <w:tc>
          <w:tcPr>
            <w:tcW w:type="dxa" w:w="5669"/>
            <w:shd w:val="clear" w:color="auto" w:fill="FFF2CC"/>
          </w:tcPr>
          <w:p>
            <w:r/>
            <w:r>
              <w:rPr>
                <w:b/>
              </w:rPr>
              <w:t>Select the vendor with the highest benchmark accuracy and the lowest fee, then record the choice for the committee.</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final buy-versus-build determination to the lead AI data science team, granting them unilateral authority to assess operational feasibility and contract terms.</w:t>
            </w:r>
          </w:p>
        </w:tc>
        <w:tc>
          <w:tcPr>
            <w:tcW w:type="dxa" w:w="5669"/>
            <w:shd w:val="clear" w:color="auto" w:fill="FFF2CC"/>
          </w:tcPr>
          <w:p>
            <w:r/>
            <w:r>
              <w:rPr>
                <w:b/>
              </w:rPr>
              <w:t>Let the sponsoring executive decide after consulting procurement on price and legal on contract terms.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1.2, GOVERN 6.1) and ISO/IEC 42001 (Clause 6.1 and Annex A.8), buy-versus-build AI sourcing decisions must be made holistically through an enterprise risk and governance lens. This encompasses organizational capabilities, total lifecycle costs (including ongoing monitoring and retraining), regulatory constraints (such as explainability under fair lending laws), and third-party dependency risks evaluated against the organization's approved risk appetite.</w:t>
      </w:r>
    </w:p>
    <w:p>
      <w:pPr>
        <w:spacing w:after="60"/>
      </w:pPr>
      <w:r>
        <w:rPr>
          <w:b/>
          <w:i w:val="0"/>
          <w:sz w:val="18"/>
        </w:rPr>
        <w:t>改写后的错误选项解析与错误类型：</w:t>
      </w:r>
    </w:p>
    <w:p>
      <w:pPr>
        <w:spacing w:after="60"/>
      </w:pPr>
      <w:r>
        <w:rPr>
          <w:b w:val="0"/>
          <w:i w:val="0"/>
          <w:sz w:val="18"/>
        </w:rPr>
        <w:t xml:space="preserve">  B（已改）B: A proof of concept shows technical fit, but not lifecycle cost, explainability or third-party risk, so it informs the choice only in part.　【类型：Proof of concept as the only basis】</w:t>
      </w:r>
    </w:p>
    <w:p>
      <w:pPr>
        <w:spacing w:after="60"/>
      </w:pPr>
      <w:r>
        <w:rPr>
          <w:b w:val="0"/>
          <w:i w:val="0"/>
          <w:sz w:val="18"/>
        </w:rPr>
        <w:t xml:space="preserve">  C（已改）C: Accuracy and price are real factors, but picking on them alone ignores lifecycle cost, explainability and third-party risk.　【类型：Two metrics as the whole decision】</w:t>
      </w:r>
    </w:p>
    <w:p>
      <w:pPr>
        <w:spacing w:after="60"/>
      </w:pPr>
      <w:r>
        <w:rPr>
          <w:b w:val="0"/>
          <w:i w:val="0"/>
          <w:sz w:val="18"/>
        </w:rPr>
        <w:t xml:space="preserve">  D（已改）D: Consultation on price and terms is useful, but one sponsor's judgement does not weigh capability, explainability and risk against agreed limits.　【类型：Single decision-maker with partial consultation】</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20. 第六批 · MOST · D3.3 Model Drift, Degradation &amp; Performance KPIs</w:t>
      </w:r>
    </w:p>
    <w:p>
      <w:pPr>
        <w:spacing w:after="60"/>
      </w:pPr>
      <w:r>
        <w:rPr>
          <w:b w:val="0"/>
          <w:i w:val="0"/>
          <w:color w:val="5A5A5A"/>
          <w:sz w:val="17"/>
        </w:rPr>
        <w:t>ID：aaig-pipe-1791943382925-72-rsjps　难度：Intermediate</w:t>
      </w:r>
    </w:p>
    <w:p>
      <w:pPr>
        <w:spacing w:after="60"/>
      </w:pPr>
      <w:r>
        <w:rPr>
          <w:b w:val="0"/>
          <w:i w:val="0"/>
        </w:rPr>
        <w:t>情境：A multinational financial services institution relies on a machine learning model to evaluate retail credit applications in real time. Following rapid macroeconomic interest rate changes, the model begins exhibiting concept drift, leading to a marked increase in misclassified risk profiles and variance from initial validation benchmarks.</w:t>
      </w:r>
    </w:p>
    <w:p>
      <w:pPr>
        <w:spacing w:after="60"/>
      </w:pPr>
      <w:r>
        <w:rPr>
          <w:b/>
          <w:i w:val="0"/>
        </w:rPr>
        <w:t>问题：Which of the following is the MOST effective governance control to ensure the model's ongoing operational performance remains aligned with enterprise risk appetite?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Automating continuous retraining pipelines that ingest all newly observed production data to maximize statistical predictive accuracy.</w:t>
            </w:r>
          </w:p>
        </w:tc>
        <w:tc>
          <w:tcPr>
            <w:tcW w:type="dxa" w:w="5669"/>
            <w:shd w:val="clear" w:color="auto" w:fill="FFF2CC"/>
          </w:tcPr>
          <w:p>
            <w:r/>
            <w:r>
              <w:rPr>
                <w:b/>
              </w:rPr>
              <w:t>Ask the model owner to compare accuracy with the launch figure once a quarter and write a short note on any change.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continuous drift monitoring against risk-based performance thresholds tied to formal escalation and review.</w:t>
            </w:r>
          </w:p>
        </w:tc>
        <w:tc>
          <w:tcPr>
            <w:tcW w:type="dxa" w:w="5669"/>
            <w:shd w:val="clear" w:color="auto" w:fill="FFF2CC"/>
          </w:tcPr>
          <w:p>
            <w:r/>
            <w:r>
              <w:rPr>
                <w:b/>
              </w:rPr>
              <w:t>Monitor drift against performance limits set by risk level, with escalation and review when a limit is crossed.</w:t>
            </w:r>
          </w:p>
        </w:tc>
        <w:tc>
          <w:tcPr>
            <w:tcW w:type="dxa" w:w="1361"/>
          </w:tcPr>
          <w:p>
            <w:r/>
            <w:r>
              <w:rPr>
                <w:b w:val="0"/>
                <w:color w:val="BE5000"/>
              </w:rPr>
              <w:t>✱ 已改</w:t>
            </w:r>
          </w:p>
        </w:tc>
      </w:tr>
      <w:tr>
        <w:tc>
          <w:tcPr>
            <w:tcW w:type="dxa" w:w="907"/>
          </w:tcPr>
          <w:p>
            <w:r/>
            <w:r>
              <w:rPr>
                <w:b/>
              </w:rPr>
              <w:t>C</w:t>
            </w:r>
          </w:p>
        </w:tc>
        <w:tc>
          <w:tcPr>
            <w:tcW w:type="dxa" w:w="5669"/>
          </w:tcPr>
          <w:p>
            <w:r/>
            <w:r>
              <w:rPr>
                <w:b w:val="0"/>
              </w:rPr>
              <w:t>Commissioning an immediate architectural redesign of the underlying neural network prior to establishing revised performance metrics.</w:t>
            </w:r>
          </w:p>
        </w:tc>
        <w:tc>
          <w:tcPr>
            <w:tcW w:type="dxa" w:w="5669"/>
          </w:tcPr>
          <w:p>
            <w:r/>
            <w:r>
              <w:rPr>
                <w:b w:val="0"/>
              </w:rPr>
              <w:t>Commissioning an immediate architectural redesign of the underlying neural network prior to establishing revised performance metrics.</w:t>
            </w:r>
          </w:p>
        </w:tc>
        <w:tc>
          <w:tcPr>
            <w:tcW w:type="dxa" w:w="1361"/>
          </w:tcPr>
          <w:p>
            <w:r/>
            <w:r>
              <w:rPr>
                <w:b w:val="0"/>
                <w:color w:val="787878"/>
              </w:rPr>
              <w:t>未改</w:t>
            </w:r>
          </w:p>
        </w:tc>
      </w:tr>
      <w:tr>
        <w:tc>
          <w:tcPr>
            <w:tcW w:type="dxa" w:w="907"/>
          </w:tcPr>
          <w:p>
            <w:r/>
            <w:r>
              <w:rPr>
                <w:b/>
              </w:rPr>
              <w:t>D</w:t>
            </w:r>
          </w:p>
        </w:tc>
        <w:tc>
          <w:tcPr>
            <w:tcW w:type="dxa" w:w="5669"/>
          </w:tcPr>
          <w:p>
            <w:r/>
            <w:r>
              <w:rPr>
                <w:b w:val="0"/>
              </w:rPr>
              <w:t>Tasking the third-line internal audit team with executing daily operational data drift monitoring scripts to maintain model integrity.</w:t>
            </w:r>
          </w:p>
        </w:tc>
        <w:tc>
          <w:tcPr>
            <w:tcW w:type="dxa" w:w="5669"/>
            <w:shd w:val="clear" w:color="auto" w:fill="FFF2CC"/>
          </w:tcPr>
          <w:p>
            <w:r/>
            <w:r>
              <w:rPr>
                <w:b/>
              </w:rPr>
              <w:t>Have the second line sample model outputs each month and report the error rate to the risk committee.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9.1 and NIST AI RMF (MEASURE 2.6 and MANAGE 2.4), the most effective governance control for managing model degradation and drift is implementing continuous performance monitoring against predefined, risk-aligned thresholds, paired with clear operational escalation and remediation mechanisms. This ensures that degradation is systematically identified and addressed in accordance with the enterprise's documented risk appetite and governance framework.</w:t>
      </w:r>
    </w:p>
    <w:p>
      <w:pPr>
        <w:spacing w:after="60"/>
      </w:pPr>
      <w:r>
        <w:rPr>
          <w:b/>
          <w:i w:val="0"/>
          <w:sz w:val="18"/>
        </w:rPr>
        <w:t>改写后的错误选项解析与错误类型：</w:t>
      </w:r>
    </w:p>
    <w:p>
      <w:pPr>
        <w:spacing w:after="60"/>
      </w:pPr>
      <w:r>
        <w:rPr>
          <w:b w:val="0"/>
          <w:i w:val="0"/>
          <w:sz w:val="18"/>
        </w:rPr>
        <w:t xml:space="preserve">  A（已改）A: A quarterly note records the change, but between notes the model can drift well beyond what the firm can accept.　【类型：Infrequent check without limits】</w:t>
      </w:r>
    </w:p>
    <w:p>
      <w:pPr>
        <w:spacing w:after="60"/>
      </w:pPr>
      <w:r>
        <w:rPr>
          <w:b w:val="0"/>
          <w:i w:val="0"/>
          <w:sz w:val="18"/>
        </w:rPr>
        <w:t xml:space="preserve">  C（未改）Redesigning the model architecture is a premature operational action executed out of sequence before evaluating the extent of drift against documented performance metrics and root-cause analyses.　【类型：Redesign before revised performance metrics exist】</w:t>
      </w:r>
    </w:p>
    <w:p>
      <w:pPr>
        <w:spacing w:after="60"/>
      </w:pPr>
      <w:r>
        <w:rPr>
          <w:b w:val="0"/>
          <w:i w:val="0"/>
          <w:sz w:val="18"/>
        </w:rPr>
        <w:t xml:space="preserve">  D（已改）D: Sampling gives some assurance, but with no set limit and no required response the report does not trigger action.　【类型：Sampling without a trigger】</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21. 第七批 · LEAST · D3.5 Auditability, Logging &amp; Continuous Assurance</w:t>
      </w:r>
    </w:p>
    <w:p>
      <w:pPr>
        <w:spacing w:after="60"/>
      </w:pPr>
      <w:r>
        <w:rPr>
          <w:b w:val="0"/>
          <w:i w:val="0"/>
          <w:color w:val="5A5A5A"/>
          <w:sz w:val="17"/>
        </w:rPr>
        <w:t>ID：aaig-pipe-1791942414357-14　难度：Intermediate</w:t>
      </w:r>
    </w:p>
    <w:p>
      <w:pPr>
        <w:spacing w:after="60"/>
      </w:pPr>
      <w:r>
        <w:rPr>
          <w:b w:val="0"/>
          <w:i w:val="0"/>
        </w:rPr>
        <w:t>情境：A multinational retail bank has integrated an automated credit decisioning AI system into its core lending operations. To comply with regulatory mandates and ISO/IEC 42001 requirements for recording AI system events, the enterprise is formalizing its logging, continuous assurance, and auditability framework.</w:t>
      </w:r>
    </w:p>
    <w:p>
      <w:pPr>
        <w:spacing w:after="60"/>
      </w:pPr>
      <w:r>
        <w:rPr>
          <w:b/>
          <w:i w:val="0"/>
        </w:rPr>
        <w:t>问题：Which of the following practices is the LEAST appropriate when establishing the enterprise AI logging and auditability framework?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Prioritizing the capture of tamper-evident model execution metadata and lineage over storing unmasked, raw personal payloads to balance traceability with privacy obligations.</w:t>
            </w:r>
          </w:p>
        </w:tc>
        <w:tc>
          <w:tcPr>
            <w:tcW w:type="dxa" w:w="5669"/>
          </w:tcPr>
          <w:p>
            <w:r/>
            <w:r>
              <w:rPr>
                <w:b w:val="0"/>
              </w:rPr>
              <w:t>Prioritizing the capture of tamper-evident model execution metadata and lineage over storing unmasked, raw personal payloads to balance traceability with privacy obligations.</w:t>
            </w:r>
          </w:p>
        </w:tc>
        <w:tc>
          <w:tcPr>
            <w:tcW w:type="dxa" w:w="1361"/>
          </w:tcPr>
          <w:p>
            <w:r/>
            <w:r>
              <w:rPr>
                <w:b w:val="0"/>
                <w:color w:val="787878"/>
              </w:rPr>
              <w:t>未改</w:t>
            </w:r>
          </w:p>
        </w:tc>
      </w:tr>
      <w:tr>
        <w:tc>
          <w:tcPr>
            <w:tcW w:type="dxa" w:w="907"/>
          </w:tcPr>
          <w:p>
            <w:r/>
            <w:r>
              <w:rPr>
                <w:b/>
              </w:rPr>
              <w:t>B</w:t>
            </w:r>
          </w:p>
        </w:tc>
        <w:tc>
          <w:tcPr>
            <w:tcW w:type="dxa" w:w="5669"/>
          </w:tcPr>
          <w:p>
            <w:r/>
            <w:r>
              <w:rPr>
                <w:b w:val="0"/>
              </w:rPr>
              <w:t>Establishing data logging formats, retention schedules, and metric baselines prior to production deployment to ensure continuous monitoring effectively tracks model drift.</w:t>
            </w:r>
          </w:p>
        </w:tc>
        <w:tc>
          <w:tcPr>
            <w:tcW w:type="dxa" w:w="5669"/>
          </w:tcPr>
          <w:p>
            <w:r/>
            <w:r>
              <w:rPr>
                <w:b w:val="0"/>
              </w:rPr>
              <w:t>Establishing data logging formats, retention schedules, and metric baselines prior to production deployment to ensure continuous monitoring effectively tracks model drift.</w:t>
            </w:r>
          </w:p>
        </w:tc>
        <w:tc>
          <w:tcPr>
            <w:tcW w:type="dxa" w:w="1361"/>
          </w:tcPr>
          <w:p>
            <w:r/>
            <w:r>
              <w:rPr>
                <w:b w:val="0"/>
                <w:color w:val="787878"/>
              </w:rPr>
              <w:t>未改</w:t>
            </w:r>
          </w:p>
        </w:tc>
      </w:tr>
      <w:tr>
        <w:tc>
          <w:tcPr>
            <w:tcW w:type="dxa" w:w="907"/>
          </w:tcPr>
          <w:p>
            <w:r/>
            <w:r>
              <w:rPr>
                <w:b/>
              </w:rPr>
              <w:t>C</w:t>
            </w:r>
          </w:p>
        </w:tc>
        <w:tc>
          <w:tcPr>
            <w:tcW w:type="dxa" w:w="5669"/>
          </w:tcPr>
          <w:p>
            <w:r/>
            <w:r>
              <w:rPr>
                <w:b w:val="0"/>
              </w:rPr>
              <w:t>Assigning independent verification of logging controls to the third line while the second-line risk management function oversees adherence to AI governance policies.</w:t>
            </w:r>
          </w:p>
        </w:tc>
        <w:tc>
          <w:tcPr>
            <w:tcW w:type="dxa" w:w="5669"/>
          </w:tcPr>
          <w:p>
            <w:r/>
            <w:r>
              <w:rPr>
                <w:b w:val="0"/>
              </w:rPr>
              <w:t>Assigning independent verification of logging controls to the third line while the second-line risk management function oversees adherence to AI governance policies.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Granting first-line AI operations engineers write and delete access to inference logs to enable manual correction of operational discrepancies during incident triage.</w:t>
            </w:r>
          </w:p>
        </w:tc>
        <w:tc>
          <w:tcPr>
            <w:tcW w:type="dxa" w:w="5669"/>
            <w:shd w:val="clear" w:color="auto" w:fill="FFF2CC"/>
          </w:tcPr>
          <w:p>
            <w:r/>
            <w:r>
              <w:rPr>
                <w:b/>
              </w:rPr>
              <w:t>Letting the operations team edit or delete inference log entries during incident triage so the records match the final findings.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主解析（未改动）：Granting first-line operations engineers write or delete privileges to operational inference logs destroys log immutability and non-repudiation. Under ISO/IEC 42001 (Annex A.6.3) and NIST AI RMF (MEASURE 2.6), AI event logs must remain tamper-evident to serve as reliable audit trails for regulatory compliance, post-incident root-cause analysis, and continuous assurance. Any remediation during operational triage should be captured via separate compensating audit records rather than mutating primary execution logs.</w:t>
      </w:r>
    </w:p>
    <w:p>
      <w:pPr>
        <w:spacing w:after="60"/>
      </w:pPr>
      <w:r>
        <w:rPr>
          <w:b/>
          <w:i w:val="0"/>
          <w:sz w:val="18"/>
        </w:rPr>
        <w:t>改写后的错误选项解析与错误类型：</w:t>
      </w:r>
    </w:p>
    <w:p>
      <w:pPr>
        <w:spacing w:after="60"/>
      </w:pPr>
      <w:r>
        <w:rPr>
          <w:b w:val="0"/>
          <w:i w:val="0"/>
          <w:sz w:val="18"/>
        </w:rPr>
        <w:t xml:space="preserve">  A（未改）This is an appropriate governance practice aligning technical priority and direction; capturing immutable metadata and decision lineage satisfies auditability without unnecessarily violating data minimization or privacy requirements.　【类型：Sound practice: tamper-evident capture balanced with privacy】</w:t>
      </w:r>
    </w:p>
    <w:p>
      <w:pPr>
        <w:spacing w:after="60"/>
      </w:pPr>
      <w:r>
        <w:rPr>
          <w:b w:val="0"/>
          <w:i w:val="0"/>
          <w:sz w:val="18"/>
        </w:rPr>
        <w:t xml:space="preserve">  B（未改）This is an appropriate governance practice focusing on proper lifecycle sequence; defining baselines, formats, and retention rules before deployment ensures the monitoring pipeline is governable from day one.　【类型：Sound practice: formats, retention and baselines set before launch】</w:t>
      </w:r>
    </w:p>
    <w:p>
      <w:pPr>
        <w:spacing w:after="60"/>
      </w:pPr>
      <w:r>
        <w:rPr>
          <w:b w:val="0"/>
          <w:i w:val="0"/>
          <w:sz w:val="18"/>
        </w:rPr>
        <w:t xml:space="preserve">  C（未改）This is an appropriate governance practice aligning with the Three Lines Model; it correctly authorizes the second line to maintain oversight of compliance while tasking the third line with independent assurance.　【类型：Sound practice: independent verification of logging controls】</w:t>
      </w:r>
    </w:p>
    <w:p>
      <w:pPr>
        <w:spacing w:after="60"/>
      </w:pPr>
      <w:r>
        <w:rPr>
          <w:b w:val="0"/>
          <w:i w:val="0"/>
          <w:color w:val="5A5A5A"/>
          <w:sz w:val="17"/>
        </w:rPr>
        <w:t>出处（沿用原文，未核验）：EU AI Act Arts. 12, 19 &amp; 26(6); NIST AI RMF 1.0 MEASURE 2.4, 2.6, 2.7 &amp; MANAGE 4.1; IIA Three Lines Model (2020); ISO/IEC 42001:2023 Cl. 9.1 (verify logging controls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22. 第七批 · LEAST · D3.5 Auditability, Logging &amp; Continuous Assurance</w:t>
      </w:r>
    </w:p>
    <w:p>
      <w:pPr>
        <w:spacing w:after="60"/>
      </w:pPr>
      <w:r>
        <w:rPr>
          <w:b w:val="0"/>
          <w:i w:val="0"/>
          <w:color w:val="5A5A5A"/>
          <w:sz w:val="17"/>
        </w:rPr>
        <w:t>ID：aaig-pipe-1791943115211-14-nny8a　难度：Intermediate</w:t>
      </w:r>
    </w:p>
    <w:p>
      <w:pPr>
        <w:spacing w:after="60"/>
      </w:pPr>
      <w:r>
        <w:rPr>
          <w:b w:val="0"/>
          <w:i w:val="0"/>
        </w:rPr>
        <w:t>情境：A multinational financial institution integrates an automated credit scoring AI system into its core lending workflow. To comply with ISO/IEC 42001 and NIST AI RMF continuous assurance mandates, the enterprise establishes telemetry pipelines and auditability mechanisms to evaluate operational decisions, data drift, and model integrity.</w:t>
      </w:r>
    </w:p>
    <w:p>
      <w:pPr>
        <w:spacing w:after="60"/>
      </w:pPr>
      <w:r>
        <w:rPr>
          <w:b/>
          <w:i w:val="0"/>
        </w:rPr>
        <w:t>问题：From an AI governance and continuous auditability perspective, which of the following practices is the LEAST acceptable?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Permitting production support teams to truncate anomalous inference logs to avoid telemetry storage overflow.</w:t>
            </w:r>
          </w:p>
        </w:tc>
        <w:tc>
          <w:tcPr>
            <w:tcW w:type="dxa" w:w="5669"/>
            <w:shd w:val="clear" w:color="auto" w:fill="FFF2CC"/>
          </w:tcPr>
          <w:p>
            <w:r/>
            <w:r>
              <w:rPr>
                <w:b/>
              </w:rPr>
              <w:t>Permitting production support teams to truncate anomalous inference logs when storage runs short.</w:t>
            </w:r>
          </w:p>
        </w:tc>
        <w:tc>
          <w:tcPr>
            <w:tcW w:type="dxa" w:w="1361"/>
          </w:tcPr>
          <w:p>
            <w:r/>
            <w:r>
              <w:rPr>
                <w:b w:val="0"/>
                <w:color w:val="BE5000"/>
              </w:rPr>
              <w:t>✱ 已改</w:t>
            </w:r>
          </w:p>
        </w:tc>
      </w:tr>
      <w:tr>
        <w:tc>
          <w:tcPr>
            <w:tcW w:type="dxa" w:w="907"/>
          </w:tcPr>
          <w:p>
            <w:r/>
            <w:r>
              <w:rPr>
                <w:b/>
              </w:rPr>
              <w:t>B</w:t>
            </w:r>
          </w:p>
        </w:tc>
        <w:tc>
          <w:tcPr>
            <w:tcW w:type="dxa" w:w="5669"/>
          </w:tcPr>
          <w:p>
            <w:r/>
            <w:r>
              <w:rPr>
                <w:b w:val="0"/>
              </w:rPr>
              <w:t>Scheduling periodic retrospective audits of high-risk decisions once monitoring confirms a stable baseline.</w:t>
            </w:r>
          </w:p>
        </w:tc>
        <w:tc>
          <w:tcPr>
            <w:tcW w:type="dxa" w:w="5669"/>
          </w:tcPr>
          <w:p>
            <w:r/>
            <w:r>
              <w:rPr>
                <w:b w:val="0"/>
              </w:rPr>
              <w:t>Scheduling periodic retrospective audits of high-risk decisions once monitoring confirms a stable baseline.</w:t>
            </w:r>
          </w:p>
        </w:tc>
        <w:tc>
          <w:tcPr>
            <w:tcW w:type="dxa" w:w="1361"/>
          </w:tcPr>
          <w:p>
            <w:r/>
            <w:r>
              <w:rPr>
                <w:b w:val="0"/>
                <w:color w:val="787878"/>
              </w:rPr>
              <w:t>未改</w:t>
            </w:r>
          </w:p>
        </w:tc>
      </w:tr>
      <w:tr>
        <w:tc>
          <w:tcPr>
            <w:tcW w:type="dxa" w:w="907"/>
          </w:tcPr>
          <w:p>
            <w:r/>
            <w:r>
              <w:rPr>
                <w:b/>
              </w:rPr>
              <w:t>C</w:t>
            </w:r>
          </w:p>
        </w:tc>
        <w:tc>
          <w:tcPr>
            <w:tcW w:type="dxa" w:w="5669"/>
          </w:tcPr>
          <w:p>
            <w:r/>
            <w:r>
              <w:rPr>
                <w:b w:val="0"/>
              </w:rPr>
              <w:t>Establishing immutable, time-stamped logging of model inputs, outputs and confidence scores to support traceability.</w:t>
            </w:r>
          </w:p>
        </w:tc>
        <w:tc>
          <w:tcPr>
            <w:tcW w:type="dxa" w:w="5669"/>
          </w:tcPr>
          <w:p>
            <w:r/>
            <w:r>
              <w:rPr>
                <w:b w:val="0"/>
              </w:rPr>
              <w:t>Establishing immutable, time-stamped logging of model inputs, outputs and confidence scores to support traceability.</w:t>
            </w:r>
          </w:p>
        </w:tc>
        <w:tc>
          <w:tcPr>
            <w:tcW w:type="dxa" w:w="1361"/>
          </w:tcPr>
          <w:p>
            <w:r/>
            <w:r>
              <w:rPr>
                <w:b w:val="0"/>
                <w:color w:val="787878"/>
              </w:rPr>
              <w:t>未改</w:t>
            </w:r>
          </w:p>
        </w:tc>
      </w:tr>
      <w:tr>
        <w:tc>
          <w:tcPr>
            <w:tcW w:type="dxa" w:w="907"/>
          </w:tcPr>
          <w:p>
            <w:r/>
            <w:r>
              <w:rPr>
                <w:b/>
              </w:rPr>
              <w:t>D</w:t>
            </w:r>
          </w:p>
        </w:tc>
        <w:tc>
          <w:tcPr>
            <w:tcW w:type="dxa" w:w="5669"/>
          </w:tcPr>
          <w:p>
            <w:r/>
            <w:r>
              <w:rPr>
                <w:b w:val="0"/>
              </w:rPr>
              <w:t>Authorizing the second-line risk function to independently review telemetry and calibrate alerts against approved risk appetite.</w:t>
            </w:r>
          </w:p>
        </w:tc>
        <w:tc>
          <w:tcPr>
            <w:tcW w:type="dxa" w:w="5669"/>
          </w:tcPr>
          <w:p>
            <w:r/>
            <w:r>
              <w:rPr>
                <w:b w:val="0"/>
              </w:rPr>
              <w:t>Authorizing the second-line risk function to independently review telemetry and calibrate alerts against approved risk appetite.</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主解析（未改动）：Permitting 1st-line production support personnel to truncate or modify anomalous inference logs violates core principles of auditability, data integrity, and continuous assurance outlined in ISO/IEC 42001 Cl. 9.1 and NIST AI RMF MEASURE 2.6. Anomalous logs often contain evidence of model degradation, bias, or adversarial inputs; discarding or altering them destroys the forensic audit trail and invalidates independent third-line assurance.</w:t>
      </w:r>
    </w:p>
    <w:p>
      <w:pPr>
        <w:spacing w:after="60"/>
      </w:pPr>
      <w:r>
        <w:rPr>
          <w:b/>
          <w:i w:val="0"/>
          <w:sz w:val="18"/>
        </w:rPr>
        <w:t>改写后的错误选项解析与错误类型：</w:t>
      </w:r>
    </w:p>
    <w:p>
      <w:pPr>
        <w:spacing w:after="60"/>
      </w:pPr>
      <w:r>
        <w:rPr>
          <w:b w:val="0"/>
          <w:i w:val="0"/>
          <w:sz w:val="18"/>
        </w:rPr>
        <w:t xml:space="preserve">  B（未改）Option B represents an acceptable sequence where continuous operational monitoring runs alongside scheduled retrospective deep-dives, though candidates might mistakenly view periodic audits as improperly delayed or duplicative.　【类型：Sound practice: retrospective audits of high-risk decisions】</w:t>
      </w:r>
    </w:p>
    <w:p>
      <w:pPr>
        <w:spacing w:after="60"/>
      </w:pPr>
      <w:r>
        <w:rPr>
          <w:b w:val="0"/>
          <w:i w:val="0"/>
          <w:sz w:val="18"/>
        </w:rPr>
        <w:t xml:space="preserve">  C（未改）Option C is a recommended practice under ISO/IEC 42001 Annex A.9; candidates confusing technical logging depth with administrative burden might mistake this comprehensive traceability control for an unacceptable priority.　【类型：Sound practice: immutable time-stamped logging】</w:t>
      </w:r>
    </w:p>
    <w:p>
      <w:pPr>
        <w:spacing w:after="60"/>
      </w:pPr>
      <w:r>
        <w:rPr>
          <w:b w:val="0"/>
          <w:i w:val="0"/>
          <w:sz w:val="18"/>
        </w:rPr>
        <w:t xml:space="preserve">  D（未改）Option D reflects proper Three Lines Model governance, where 2nd-line risk oversight independently evaluates operational telemetry against enterprise risk appetite rather than leaving alert calibration solely to 1st-line system operators.　【类型：Sound practice: second-line review of alert calibration】</w:t>
      </w:r>
    </w:p>
    <w:p>
      <w:pPr>
        <w:spacing w:after="60"/>
      </w:pPr>
      <w:r>
        <w:rPr>
          <w:b w:val="0"/>
          <w:i w:val="0"/>
          <w:color w:val="5A5A5A"/>
          <w:sz w:val="17"/>
        </w:rPr>
        <w:t>出处（沿用原文，未核验）：EU AI Act Arts. 12, 19 &amp; 26(6); NIST AI RMF 1.0 MEASURE 2.4, 2.6, 2.7 &amp; MANAGE 4.1; IIA Three Lines Model (2020); ISO/IEC 42001:2023 Cl. 9.1 (verify logging controls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23. 第七批 · LEAST · D1.9 Risk Appetite, Tolerance &amp; Continuous Oversight</w:t>
      </w:r>
    </w:p>
    <w:p>
      <w:pPr>
        <w:spacing w:after="60"/>
      </w:pPr>
      <w:r>
        <w:rPr>
          <w:b w:val="0"/>
          <w:i w:val="0"/>
          <w:color w:val="5A5A5A"/>
          <w:sz w:val="17"/>
        </w:rPr>
        <w:t>ID：aaig-pipe-1791943330756-59-in7ze　难度：Director-Level</w:t>
      </w:r>
    </w:p>
    <w:p>
      <w:pPr>
        <w:spacing w:after="60"/>
      </w:pPr>
      <w:r>
        <w:rPr>
          <w:b w:val="0"/>
          <w:i w:val="0"/>
        </w:rPr>
        <w:t>情境：A multinational financial services enterprise deploys a high-impact generative AI and predictive scoring platform across retail lending operations. The board of directors has established a formal AI risk appetite statement defining strict boundaries for algorithmic bias, hallucination rates, and model drift. The AI governance committee is establishing continuous oversight mechanisms to ensure ongoing adherence to these enterprise tolerances.</w:t>
      </w:r>
    </w:p>
    <w:p>
      <w:pPr>
        <w:spacing w:after="60"/>
      </w:pPr>
      <w:r>
        <w:rPr>
          <w:b/>
          <w:i w:val="0"/>
        </w:rPr>
        <w:t>问题：When implementing continuous oversight against the board-approved risk appetite, which of the following practices is LEAST appropriate for the enterprise to adopt?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Prioritizing escalation protocols based on aggregate enterprise risk appetite impact rather than localized statistical variations alone.</w:t>
            </w:r>
          </w:p>
        </w:tc>
        <w:tc>
          <w:tcPr>
            <w:tcW w:type="dxa" w:w="5669"/>
          </w:tcPr>
          <w:p>
            <w:r/>
            <w:r>
              <w:rPr>
                <w:b w:val="0"/>
              </w:rPr>
              <w:t>Prioritizing escalation protocols based on aggregate enterprise risk appetite impact rather than localized statistical variations alone.</w:t>
            </w:r>
          </w:p>
        </w:tc>
        <w:tc>
          <w:tcPr>
            <w:tcW w:type="dxa" w:w="1361"/>
          </w:tcPr>
          <w:p>
            <w:r/>
            <w:r>
              <w:rPr>
                <w:b w:val="0"/>
                <w:color w:val="787878"/>
              </w:rPr>
              <w:t>未改</w:t>
            </w:r>
          </w:p>
        </w:tc>
      </w:tr>
      <w:tr>
        <w:tc>
          <w:tcPr>
            <w:tcW w:type="dxa" w:w="907"/>
          </w:tcPr>
          <w:p>
            <w:r/>
            <w:r>
              <w:rPr>
                <w:b/>
              </w:rPr>
              <w:t>B</w:t>
            </w:r>
          </w:p>
        </w:tc>
        <w:tc>
          <w:tcPr>
            <w:tcW w:type="dxa" w:w="5669"/>
          </w:tcPr>
          <w:p>
            <w:r/>
            <w:r>
              <w:rPr>
                <w:b w:val="0"/>
              </w:rPr>
              <w:t>Formally defining quantitative residual risk tolerance bands and formal escalation pathways prior to activating continuous production telemetry.</w:t>
            </w:r>
          </w:p>
        </w:tc>
        <w:tc>
          <w:tcPr>
            <w:tcW w:type="dxa" w:w="5669"/>
          </w:tcPr>
          <w:p>
            <w:r/>
            <w:r>
              <w:rPr>
                <w:b w:val="0"/>
              </w:rPr>
              <w:t>Formally defining quantitative residual risk tolerance bands and formal escalation pathways prior to activating continuous production telemetry.</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Permitting first-line model operations teams to dynamically adjust tolerance thresholds to suppress repeated automated drift alerts.</w:t>
            </w:r>
          </w:p>
        </w:tc>
        <w:tc>
          <w:tcPr>
            <w:tcW w:type="dxa" w:w="5669"/>
            <w:shd w:val="clear" w:color="auto" w:fill="FFF2CC"/>
          </w:tcPr>
          <w:p>
            <w:r/>
            <w:r>
              <w:rPr>
                <w:b/>
              </w:rPr>
              <w:t>Letting the model operations teams change the thresholds themselves to stop repeated drift alerts from reaching the risk function.</w:t>
            </w:r>
          </w:p>
        </w:tc>
        <w:tc>
          <w:tcPr>
            <w:tcW w:type="dxa" w:w="1361"/>
          </w:tcPr>
          <w:p>
            <w:r/>
            <w:r>
              <w:rPr>
                <w:b w:val="0"/>
                <w:color w:val="BE5000"/>
              </w:rPr>
              <w:t>✱ 已改</w:t>
            </w:r>
          </w:p>
        </w:tc>
      </w:tr>
      <w:tr>
        <w:tc>
          <w:tcPr>
            <w:tcW w:type="dxa" w:w="907"/>
          </w:tcPr>
          <w:p>
            <w:r/>
            <w:r>
              <w:rPr>
                <w:b/>
              </w:rPr>
              <w:t>D</w:t>
            </w:r>
          </w:p>
        </w:tc>
        <w:tc>
          <w:tcPr>
            <w:tcW w:type="dxa" w:w="5669"/>
          </w:tcPr>
          <w:p>
            <w:r/>
            <w:r>
              <w:rPr>
                <w:b w:val="0"/>
              </w:rPr>
              <w:t>Tasking second-line risk management with independent challenge of proposed threshold adjustments prior to executive sign-off.</w:t>
            </w:r>
          </w:p>
        </w:tc>
        <w:tc>
          <w:tcPr>
            <w:tcW w:type="dxa" w:w="5669"/>
          </w:tcPr>
          <w:p>
            <w:r/>
            <w:r>
              <w:rPr>
                <w:b w:val="0"/>
              </w:rPr>
              <w:t>Tasking second-line risk management with independent challenge of proposed threshold adjustments prior to executive sign-off.</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主解析（未改动）：Permitting first-line operational teams to unilaterally or dynamically adjust risk tolerance thresholds defeats the continuous oversight architecture and violates the Three Lines Model. Risk appetite and associated tolerance limits are established by the governing body and executive management, with second-line oversight. Allowing operational teams (first line) to alter thresholds to avoid alerting masks unmanaged risk, removes accountability, and breaches ISO/IEC 42001 (Clause 6.1, 9.1) and NIST AI RMF GOVERN 1.2 principles.</w:t>
      </w:r>
    </w:p>
    <w:p>
      <w:pPr>
        <w:spacing w:after="60"/>
      </w:pPr>
      <w:r>
        <w:rPr>
          <w:b/>
          <w:i w:val="0"/>
          <w:sz w:val="18"/>
        </w:rPr>
        <w:t>改写后的错误选项解析与错误类型：</w:t>
      </w:r>
    </w:p>
    <w:p>
      <w:pPr>
        <w:spacing w:after="60"/>
      </w:pPr>
      <w:r>
        <w:rPr>
          <w:b w:val="0"/>
          <w:i w:val="0"/>
          <w:sz w:val="18"/>
        </w:rPr>
        <w:t xml:space="preserve">  A（未改）This is an appropriate governance practice (proper risk direction and priority) because risk oversight must focus on aggregate business impact and risk appetite alignment rather than getting lost in isolated, low-level technical noise.　【类型：Sound practice: escalation by aggregate enterprise impact】</w:t>
      </w:r>
    </w:p>
    <w:p>
      <w:pPr>
        <w:spacing w:after="60"/>
      </w:pPr>
      <w:r>
        <w:rPr>
          <w:b w:val="0"/>
          <w:i w:val="0"/>
          <w:sz w:val="18"/>
        </w:rPr>
        <w:t xml:space="preserve">  B（未改）This is an appropriate governance practice (proper sequence and timing) because establishing baseline tolerance limits and escalation triggers before operational activation ensures controls are operationalized from inception.　【类型：Sound practice: tolerance bands and escalation set before monitoring starts】</w:t>
      </w:r>
    </w:p>
    <w:p>
      <w:pPr>
        <w:spacing w:after="60"/>
      </w:pPr>
      <w:r>
        <w:rPr>
          <w:b w:val="0"/>
          <w:i w:val="0"/>
          <w:sz w:val="18"/>
        </w:rPr>
        <w:t xml:space="preserve">  D（未改）This is an appropriate governance practice (proper authorization and scope) because the second line of defense is explicitly responsible for challenging first-line assumptions, controls, and threshold modifications before governance sign-off.　【类型：Sound practice: second-line challenge of threshold changes】</w:t>
      </w:r>
    </w:p>
    <w:p>
      <w:pPr>
        <w:spacing w:after="60"/>
      </w:pPr>
      <w:r>
        <w:rPr>
          <w:b w:val="0"/>
          <w:i w:val="0"/>
          <w:color w:val="5A5A5A"/>
          <w:sz w:val="17"/>
        </w:rPr>
        <w:t>出处（沿用原文，未核验）：NIST AI RMF 1.0 GOVERN 1.2, MANAGE 1.3, MANAGE 2.4 &amp; MANAGE 4.1; IIA Three Lines Model (2020) Principles 2 &amp; 3; ISO/IEC 42001:2023 Cl. 6.1 &amp; 9.1 (verify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24. 第七批 · LEAST · D1.5 Ethical Frameworks &amp; Responsible AI Principles</w:t>
      </w:r>
    </w:p>
    <w:p>
      <w:pPr>
        <w:spacing w:after="60"/>
      </w:pPr>
      <w:r>
        <w:rPr>
          <w:b w:val="0"/>
          <w:i w:val="0"/>
          <w:color w:val="5A5A5A"/>
          <w:sz w:val="17"/>
        </w:rPr>
        <w:t>ID：aaig-pipe-1791943346650-64-3nlj2　难度：Intermediate</w:t>
      </w:r>
    </w:p>
    <w:p>
      <w:pPr>
        <w:spacing w:after="60"/>
      </w:pPr>
      <w:r>
        <w:rPr>
          <w:b w:val="0"/>
          <w:i w:val="0"/>
        </w:rPr>
        <w:t>情境：A multinational financial services enterprise is operationalizing an ethical AI framework aligned with ISO/IEC 42001 and the NIST AI Risk Management Framework (AI RMF 1.0) GOVERN function. The AI Ethics Steering Committee is defining core policies, responsibilities, and procedural baselines across the AI system lifecycle to ensure responsible AI principles are upheld.</w:t>
      </w:r>
    </w:p>
    <w:p>
      <w:pPr>
        <w:spacing w:after="60"/>
      </w:pPr>
      <w:r>
        <w:rPr>
          <w:b/>
          <w:i w:val="0"/>
        </w:rPr>
        <w:t>问题：Which of the following practices is LEAST acceptable when establishing and operationalizing the enterprise's responsible AI ethical framework?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Empowering second-line risk functions to independently challenge and veto AI deployments that do not satisfy approved organizational risk tolerances.</w:t>
            </w:r>
          </w:p>
        </w:tc>
        <w:tc>
          <w:tcPr>
            <w:tcW w:type="dxa" w:w="5669"/>
          </w:tcPr>
          <w:p>
            <w:r/>
            <w:r>
              <w:rPr>
                <w:b w:val="0"/>
              </w:rPr>
              <w:t>Empowering second-line risk functions to independently challenge and veto AI deployments that do not satisfy approved organizational risk tolerances.</w:t>
            </w:r>
          </w:p>
        </w:tc>
        <w:tc>
          <w:tcPr>
            <w:tcW w:type="dxa" w:w="1361"/>
          </w:tcPr>
          <w:p>
            <w:r/>
            <w:r>
              <w:rPr>
                <w:b w:val="0"/>
                <w:color w:val="787878"/>
              </w:rPr>
              <w:t>未改</w:t>
            </w:r>
          </w:p>
        </w:tc>
      </w:tr>
      <w:tr>
        <w:tc>
          <w:tcPr>
            <w:tcW w:type="dxa" w:w="907"/>
          </w:tcPr>
          <w:p>
            <w:r/>
            <w:r>
              <w:rPr>
                <w:b/>
              </w:rPr>
              <w:t>B</w:t>
            </w:r>
          </w:p>
        </w:tc>
        <w:tc>
          <w:tcPr>
            <w:tcW w:type="dxa" w:w="5669"/>
          </w:tcPr>
          <w:p>
            <w:r/>
            <w:r>
              <w:rPr>
                <w:b w:val="0"/>
              </w:rPr>
              <w:t>Mandating that technical development teams track statistical parity and disparate impact metrics across protected attributes prior to model release.</w:t>
            </w:r>
          </w:p>
        </w:tc>
        <w:tc>
          <w:tcPr>
            <w:tcW w:type="dxa" w:w="5669"/>
          </w:tcPr>
          <w:p>
            <w:r/>
            <w:r>
              <w:rPr>
                <w:b w:val="0"/>
              </w:rPr>
              <w:t>Mandating that technical development teams track statistical parity and disparate impact metrics across protected attributes prior to model release.</w:t>
            </w:r>
          </w:p>
        </w:tc>
        <w:tc>
          <w:tcPr>
            <w:tcW w:type="dxa" w:w="1361"/>
          </w:tcPr>
          <w:p>
            <w:r/>
            <w:r>
              <w:rPr>
                <w:b w:val="0"/>
                <w:color w:val="787878"/>
              </w:rPr>
              <w:t>未改</w:t>
            </w:r>
          </w:p>
        </w:tc>
      </w:tr>
      <w:tr>
        <w:tc>
          <w:tcPr>
            <w:tcW w:type="dxa" w:w="907"/>
          </w:tcPr>
          <w:p>
            <w:r/>
            <w:r>
              <w:rPr>
                <w:b/>
              </w:rPr>
              <w:t>C</w:t>
            </w:r>
          </w:p>
        </w:tc>
        <w:tc>
          <w:tcPr>
            <w:tcW w:type="dxa" w:w="5669"/>
          </w:tcPr>
          <w:p>
            <w:r/>
            <w:r>
              <w:rPr>
                <w:b w:val="0"/>
              </w:rPr>
              <w:t>Requiring multi-disciplinary stakeholder consultations to capture diverse user perspectives before establishing operational fairness thresholds.</w:t>
            </w:r>
          </w:p>
        </w:tc>
        <w:tc>
          <w:tcPr>
            <w:tcW w:type="dxa" w:w="5669"/>
          </w:tcPr>
          <w:p>
            <w:r/>
            <w:r>
              <w:rPr>
                <w:b w:val="0"/>
              </w:rPr>
              <w:t>Requiring multi-disciplinary stakeholder consultations to capture diverse user perspectives before establishing operational fairness thresholds.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Permitting first-line business units to waive algorithmic fairness evaluations whenever deploying third-party commercial off-the-shelf AI models.</w:t>
            </w:r>
          </w:p>
        </w:tc>
        <w:tc>
          <w:tcPr>
            <w:tcW w:type="dxa" w:w="5669"/>
            <w:shd w:val="clear" w:color="auto" w:fill="FFF2CC"/>
          </w:tcPr>
          <w:p>
            <w:r/>
            <w:r>
              <w:rPr>
                <w:b/>
              </w:rPr>
              <w:t>Letting business units waive fairness evaluations when the AI model is bought from a third party instead of built in-house.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主解析（未改动）：Permitting business units to bypass algorithmic fairness evaluations based on third-party vendor sourcing is unacceptable under sound AI enterprise governance. Under ISO/IEC 42001 and NIST AI RMF (GOVERN 1.2 and GOVERN 4.1), accountability for system impacts remains with the acquiring enterprise; commercial off-the-shelf (COTS) AI components must undergo third-party risk assessment and fairness verification equivalent to in-house models.</w:t>
      </w:r>
    </w:p>
    <w:p>
      <w:pPr>
        <w:spacing w:after="60"/>
      </w:pPr>
      <w:r>
        <w:rPr>
          <w:b/>
          <w:i w:val="0"/>
          <w:sz w:val="18"/>
        </w:rPr>
        <w:t>改写后的错误选项解析与错误类型：</w:t>
      </w:r>
    </w:p>
    <w:p>
      <w:pPr>
        <w:spacing w:after="60"/>
      </w:pPr>
      <w:r>
        <w:rPr>
          <w:b w:val="0"/>
          <w:i w:val="0"/>
          <w:sz w:val="18"/>
        </w:rPr>
        <w:t xml:space="preserve">  A（未改）Granting second-line risk functions independent challenge and veto authority is an acceptable, core governance mechanism under the Three Lines Model to ensure adherence to established risk appetites.　【类型：Sound practice: second-line challenge with power to stop deployments】</w:t>
      </w:r>
    </w:p>
    <w:p>
      <w:pPr>
        <w:spacing w:after="60"/>
      </w:pPr>
      <w:r>
        <w:rPr>
          <w:b w:val="0"/>
          <w:i w:val="0"/>
          <w:sz w:val="18"/>
        </w:rPr>
        <w:t xml:space="preserve">  B（未改）Tracking statistical parity and disparate impact metrics is an acceptable and necessary technical control to support fairness measurement under the MEASURE function, making it an appropriate governance requirement.　【类型：Sound practice: fairness metrics tracked before release】</w:t>
      </w:r>
    </w:p>
    <w:p>
      <w:pPr>
        <w:spacing w:after="60"/>
      </w:pPr>
      <w:r>
        <w:rPr>
          <w:b w:val="0"/>
          <w:i w:val="0"/>
          <w:sz w:val="18"/>
        </w:rPr>
        <w:t xml:space="preserve">  C（未改）Conducting multi-disciplinary stakeholder consultations prior to formalizing operational thresholds is an acceptable, well-timed engagement practice recommended in responsible AI frameworks to prevent biased policy definitions.　【类型：Sound practice: stakeholder consultation before fairness thresholds】</w:t>
      </w:r>
    </w:p>
    <w:p>
      <w:pPr>
        <w:spacing w:after="60"/>
      </w:pPr>
      <w:r>
        <w:rPr>
          <w:b w:val="0"/>
          <w:i w:val="0"/>
          <w:color w:val="5A5A5A"/>
          <w:sz w:val="17"/>
        </w:rPr>
        <w:t>出处（沿用原文，未核验）：NIST AI RMF 1.0 GOVERN 1.2, 1.3 &amp; 2.1; IIA Three Lines Model (2020); OECD AI Principles (2024); ISO/IEC 42001:2023 Cl. 5 &amp; 6 (verify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25. 第七批 · LEAST · D3.5 Auditability, Logging &amp; Continuous Assurance</w:t>
      </w:r>
    </w:p>
    <w:p>
      <w:pPr>
        <w:spacing w:after="60"/>
      </w:pPr>
      <w:r>
        <w:rPr>
          <w:b w:val="0"/>
          <w:i w:val="0"/>
          <w:color w:val="5A5A5A"/>
          <w:sz w:val="17"/>
        </w:rPr>
        <w:t>ID：aaig-pipe-1791943564576-114-jdy9q　难度：Intermediate</w:t>
      </w:r>
    </w:p>
    <w:p>
      <w:pPr>
        <w:spacing w:after="60"/>
      </w:pPr>
      <w:r>
        <w:rPr>
          <w:b w:val="0"/>
          <w:i w:val="0"/>
        </w:rPr>
        <w:t>情境：A multinational financial enterprise is integrating a high-risk credit underwriting AI model into its production environment under ISO/IEC 42001 and NIST AI RMF governance frameworks. The AI steering committee has mandated comprehensive auditability, immutable logging, and continuous assurance controls to satisfy regulatory compliance and internal risk thresholds.</w:t>
      </w:r>
    </w:p>
    <w:p>
      <w:pPr>
        <w:spacing w:after="60"/>
      </w:pPr>
      <w:r>
        <w:rPr>
          <w:b/>
          <w:i w:val="0"/>
        </w:rPr>
        <w:t>问题：Which of the following operational practices is LEAST appropriate for maintaining auditability and continuous assurance for this AI system?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Capturing comprehensive input prompts, model weights versioning, feature attributions, and inference outputs within a write-once, tamper-evident repository.</w:t>
            </w:r>
          </w:p>
        </w:tc>
        <w:tc>
          <w:tcPr>
            <w:tcW w:type="dxa" w:w="5669"/>
          </w:tcPr>
          <w:p>
            <w:r/>
            <w:r>
              <w:rPr>
                <w:b w:val="0"/>
              </w:rPr>
              <w:t>Capturing comprehensive input prompts, model weights versioning, feature attributions, and inference outputs within a write-once, tamper-evident repository.</w:t>
            </w:r>
          </w:p>
        </w:tc>
        <w:tc>
          <w:tcPr>
            <w:tcW w:type="dxa" w:w="1361"/>
          </w:tcPr>
          <w:p>
            <w:r/>
            <w:r>
              <w:rPr>
                <w:b w:val="0"/>
                <w:color w:val="787878"/>
              </w:rPr>
              <w:t>未改</w:t>
            </w:r>
          </w:p>
        </w:tc>
      </w:tr>
      <w:tr>
        <w:tc>
          <w:tcPr>
            <w:tcW w:type="dxa" w:w="907"/>
          </w:tcPr>
          <w:p>
            <w:r/>
            <w:r>
              <w:rPr>
                <w:b/>
                <w:color w:val="00783C"/>
              </w:rPr>
              <w:t>B ✓</w:t>
            </w:r>
          </w:p>
        </w:tc>
        <w:tc>
          <w:tcPr>
            <w:tcW w:type="dxa" w:w="5669"/>
          </w:tcPr>
          <w:p>
            <w:r/>
            <w:r>
              <w:rPr>
                <w:b w:val="0"/>
              </w:rPr>
              <w:t>Allowing first-line AI engineers to dynamically modify audit log retention periods based on operational storage capacity constraints.</w:t>
            </w:r>
          </w:p>
        </w:tc>
        <w:tc>
          <w:tcPr>
            <w:tcW w:type="dxa" w:w="5669"/>
            <w:shd w:val="clear" w:color="auto" w:fill="FFF2CC"/>
          </w:tcPr>
          <w:p>
            <w:r/>
            <w:r>
              <w:rPr>
                <w:b/>
              </w:rPr>
              <w:t>Allowing AI engineers to shorten the retention period of audit logs whenever storage capacity runs low on the platform.</w:t>
            </w:r>
          </w:p>
        </w:tc>
        <w:tc>
          <w:tcPr>
            <w:tcW w:type="dxa" w:w="1361"/>
          </w:tcPr>
          <w:p>
            <w:r/>
            <w:r>
              <w:rPr>
                <w:b w:val="0"/>
                <w:color w:val="BE5000"/>
              </w:rPr>
              <w:t>✱ 已改</w:t>
            </w:r>
          </w:p>
        </w:tc>
      </w:tr>
      <w:tr>
        <w:tc>
          <w:tcPr>
            <w:tcW w:type="dxa" w:w="907"/>
          </w:tcPr>
          <w:p>
            <w:r/>
            <w:r>
              <w:rPr>
                <w:b/>
              </w:rPr>
              <w:t>C</w:t>
            </w:r>
          </w:p>
        </w:tc>
        <w:tc>
          <w:tcPr>
            <w:tcW w:type="dxa" w:w="5669"/>
          </w:tcPr>
          <w:p>
            <w:r/>
            <w:r>
              <w:rPr>
                <w:b w:val="0"/>
              </w:rPr>
              <w:t>Establishing continuous automated baseline drift alerts before expanding logging controls to downstream model consumer applications.</w:t>
            </w:r>
          </w:p>
        </w:tc>
        <w:tc>
          <w:tcPr>
            <w:tcW w:type="dxa" w:w="5669"/>
          </w:tcPr>
          <w:p>
            <w:r/>
            <w:r>
              <w:rPr>
                <w:b w:val="0"/>
              </w:rPr>
              <w:t>Establishing continuous automated baseline drift alerts before expanding logging controls to downstream model consumer applications.</w:t>
            </w:r>
          </w:p>
        </w:tc>
        <w:tc>
          <w:tcPr>
            <w:tcW w:type="dxa" w:w="1361"/>
          </w:tcPr>
          <w:p>
            <w:r/>
            <w:r>
              <w:rPr>
                <w:b w:val="0"/>
                <w:color w:val="787878"/>
              </w:rPr>
              <w:t>未改</w:t>
            </w:r>
          </w:p>
        </w:tc>
      </w:tr>
      <w:tr>
        <w:tc>
          <w:tcPr>
            <w:tcW w:type="dxa" w:w="907"/>
          </w:tcPr>
          <w:p>
            <w:r/>
            <w:r>
              <w:rPr>
                <w:b/>
              </w:rPr>
              <w:t>D</w:t>
            </w:r>
          </w:p>
        </w:tc>
        <w:tc>
          <w:tcPr>
            <w:tcW w:type="dxa" w:w="5669"/>
          </w:tcPr>
          <w:p>
            <w:r/>
            <w:r>
              <w:rPr>
                <w:b w:val="0"/>
              </w:rPr>
              <w:t>Requiring the internal audit function to independently assess the adequacy and effectiveness of continuous monitoring controls established by the second line.</w:t>
            </w:r>
          </w:p>
        </w:tc>
        <w:tc>
          <w:tcPr>
            <w:tcW w:type="dxa" w:w="5669"/>
          </w:tcPr>
          <w:p>
            <w:r/>
            <w:r>
              <w:rPr>
                <w:b w:val="0"/>
              </w:rPr>
              <w:t>Requiring the internal audit function to independently assess the adequacy and effectiveness of continuous monitoring controls established by the second line.</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主解析（未改动）：Allowing first-line AI engineering personnel to dynamically alter audit log retention schedules based on operational resource constraints undermines auditability, data integrity, and compliance mandates. Under ISO/IEC 42001 (Clause 9 &amp; Annex A.9) and NIST AI RMF (GOVERN 1.2, MEASURE 2.7), retention schedules must be formally established by enterprise policy, regulatory requirements, and risk appetite (governed by the second line and approved by leadership), rather than bypassed unilaterally by the first line to manage infrastructure costs.</w:t>
      </w:r>
    </w:p>
    <w:p>
      <w:pPr>
        <w:spacing w:after="60"/>
      </w:pPr>
      <w:r>
        <w:rPr>
          <w:b/>
          <w:i w:val="0"/>
          <w:sz w:val="18"/>
        </w:rPr>
        <w:t>改写后的错误选项解析与错误类型：</w:t>
      </w:r>
    </w:p>
    <w:p>
      <w:pPr>
        <w:spacing w:after="60"/>
      </w:pPr>
      <w:r>
        <w:rPr>
          <w:b w:val="0"/>
          <w:i w:val="0"/>
          <w:sz w:val="18"/>
        </w:rPr>
        <w:t xml:space="preserve">  A（未改）This is an appropriate governance and technical practice; capturing versioning, inputs, feature importance, and outputs in an immutable repository is essential for post-hoc explainability and forensic auditability.　【类型：Sound practice: write-once tamper-evident capture】</w:t>
      </w:r>
    </w:p>
    <w:p>
      <w:pPr>
        <w:spacing w:after="60"/>
      </w:pPr>
      <w:r>
        <w:rPr>
          <w:b w:val="0"/>
          <w:i w:val="0"/>
          <w:sz w:val="18"/>
        </w:rPr>
        <w:t xml:space="preserve">  C（未改）This is an appropriate phased governance practice; stabilizing and calibrating baseline drift detection at the core model layer prior to instrumenting downstream consumer workflows ensures reliable metric thresholds.　【类型：Sound practice: drift alerts set before logging expands】</w:t>
      </w:r>
    </w:p>
    <w:p>
      <w:pPr>
        <w:spacing w:after="60"/>
      </w:pPr>
      <w:r>
        <w:rPr>
          <w:b w:val="0"/>
          <w:i w:val="0"/>
          <w:sz w:val="18"/>
        </w:rPr>
        <w:t xml:space="preserve">  D（未改）This is an appropriate governance practice; having the third line (internal audit) provide independent assurance over control designs established by the second line strictly adheres to the IIA Three Lines Model.　【类型：Sound practice: independent assessment of monitoring controls】</w:t>
      </w:r>
    </w:p>
    <w:p>
      <w:pPr>
        <w:spacing w:after="60"/>
      </w:pPr>
      <w:r>
        <w:rPr>
          <w:b w:val="0"/>
          <w:i w:val="0"/>
          <w:color w:val="5A5A5A"/>
          <w:sz w:val="17"/>
        </w:rPr>
        <w:t>出处（沿用原文，未核验）：EU AI Act Arts. 12, 19 &amp; 26(6); NIST AI RMF 1.0 MEASURE 2.4, 2.6, 2.7 &amp; MANAGE 4.1; IIA Three Lines Model (2020); ISO/IEC 42001:2023 Cl. 9.1 (verify logging controls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26. 第七批 · LEAST · D1.9 Risk Appetite, Tolerance &amp; Continuous Oversight</w:t>
      </w:r>
    </w:p>
    <w:p>
      <w:pPr>
        <w:spacing w:after="60"/>
      </w:pPr>
      <w:r>
        <w:rPr>
          <w:b w:val="0"/>
          <w:i w:val="0"/>
          <w:color w:val="5A5A5A"/>
          <w:sz w:val="17"/>
        </w:rPr>
        <w:t>ID：aaig-pipe-1791943983566-199-mxwfl　难度：Director-Level</w:t>
      </w:r>
    </w:p>
    <w:p>
      <w:pPr>
        <w:spacing w:after="60"/>
      </w:pPr>
      <w:r>
        <w:rPr>
          <w:b w:val="0"/>
          <w:i w:val="0"/>
        </w:rPr>
        <w:t>情境：A multinational financial services enterprise is operationalizing customer-facing generative AI tools under its newly adopted ISO/IEC 42001 Artificial Intelligence Management System (AIMS). The Board Risk Committee has tasked the AI Governance Director with establishing continuous oversight mechanisms to ensure all production AI systems operate strictly within board-approved risk appetite and tolerance boundaries.</w:t>
      </w:r>
    </w:p>
    <w:p>
      <w:pPr>
        <w:spacing w:after="60"/>
      </w:pPr>
      <w:r>
        <w:rPr>
          <w:b/>
          <w:i w:val="0"/>
        </w:rPr>
        <w:t>问题：In establishing continuous risk oversight and tolerance management, which of the following practices is LEAST aligned with sound AI governance frameworks?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Establishing dynamic operational key risk indicators (KRIs) that trigger automated reporting and escalation to executive risk leadership prior to breaching risk tolerance boundaries.</w:t>
            </w:r>
          </w:p>
        </w:tc>
        <w:tc>
          <w:tcPr>
            <w:tcW w:type="dxa" w:w="5669"/>
          </w:tcPr>
          <w:p>
            <w:r/>
            <w:r>
              <w:rPr>
                <w:b w:val="0"/>
              </w:rPr>
              <w:t>Establishing dynamic operational key risk indicators (KRIs) that trigger automated reporting and escalation to executive risk leadership prior to breaching risk tolerance boundaries.</w:t>
            </w:r>
          </w:p>
        </w:tc>
        <w:tc>
          <w:tcPr>
            <w:tcW w:type="dxa" w:w="1361"/>
          </w:tcPr>
          <w:p>
            <w:r/>
            <w:r>
              <w:rPr>
                <w:b w:val="0"/>
                <w:color w:val="787878"/>
              </w:rPr>
              <w:t>未改</w:t>
            </w:r>
          </w:p>
        </w:tc>
      </w:tr>
      <w:tr>
        <w:tc>
          <w:tcPr>
            <w:tcW w:type="dxa" w:w="907"/>
          </w:tcPr>
          <w:p>
            <w:r/>
            <w:r>
              <w:rPr>
                <w:b/>
              </w:rPr>
              <w:t>B</w:t>
            </w:r>
          </w:p>
        </w:tc>
        <w:tc>
          <w:tcPr>
            <w:tcW w:type="dxa" w:w="5669"/>
          </w:tcPr>
          <w:p>
            <w:r/>
            <w:r>
              <w:rPr>
                <w:b w:val="0"/>
              </w:rPr>
              <w:t>Calibrating model-level tolerance thresholds and operational metrics only after formal alignment with enterprise-wide risk appetite approved by the board of directors.</w:t>
            </w:r>
          </w:p>
        </w:tc>
        <w:tc>
          <w:tcPr>
            <w:tcW w:type="dxa" w:w="5669"/>
          </w:tcPr>
          <w:p>
            <w:r/>
            <w:r>
              <w:rPr>
                <w:b w:val="0"/>
              </w:rPr>
              <w:t>Calibrating model-level tolerance thresholds and operational metrics only after formal alignment with enterprise-wide risk appetite approved by the board of directors.</w:t>
            </w:r>
          </w:p>
        </w:tc>
        <w:tc>
          <w:tcPr>
            <w:tcW w:type="dxa" w:w="1361"/>
          </w:tcPr>
          <w:p>
            <w:r/>
            <w:r>
              <w:rPr>
                <w:b w:val="0"/>
                <w:color w:val="787878"/>
              </w:rPr>
              <w:t>未改</w:t>
            </w:r>
          </w:p>
        </w:tc>
      </w:tr>
      <w:tr>
        <w:tc>
          <w:tcPr>
            <w:tcW w:type="dxa" w:w="907"/>
          </w:tcPr>
          <w:p>
            <w:r/>
            <w:r>
              <w:rPr>
                <w:b/>
              </w:rPr>
              <w:t>C</w:t>
            </w:r>
          </w:p>
        </w:tc>
        <w:tc>
          <w:tcPr>
            <w:tcW w:type="dxa" w:w="5669"/>
          </w:tcPr>
          <w:p>
            <w:r/>
            <w:r>
              <w:rPr>
                <w:b w:val="0"/>
              </w:rPr>
              <w:t>Mandating that the second-line risk management function independently challenge model metrics and verify ongoing adherence to approved risk appetite parameters.</w:t>
            </w:r>
          </w:p>
        </w:tc>
        <w:tc>
          <w:tcPr>
            <w:tcW w:type="dxa" w:w="5669"/>
          </w:tcPr>
          <w:p>
            <w:r/>
            <w:r>
              <w:rPr>
                <w:b w:val="0"/>
              </w:rPr>
              <w:t>Mandating that the second-line risk management function independently challenge model metrics and verify ongoing adherence to approved risk appetite parameters.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Permitting first-line business units to temporarily adjust risk tolerance thresholds when deployment velocity is constrained, provided changes are logged.</w:t>
            </w:r>
          </w:p>
        </w:tc>
        <w:tc>
          <w:tcPr>
            <w:tcW w:type="dxa" w:w="5669"/>
            <w:shd w:val="clear" w:color="auto" w:fill="FFF2CC"/>
          </w:tcPr>
          <w:p>
            <w:r/>
            <w:r>
              <w:rPr>
                <w:b/>
              </w:rPr>
              <w:t>Permitting business units to temporarily adjust risk tolerance thresholds when delivery deadlines are tight, as long as the changes are logged.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主解析（未改动）：Permitting operational units (the first line) to unilaterally modify or widen risk tolerance boundaries undermines enterprise risk governance. Under ISO/IEC 42001 (Clause 6 and Clause 9) and NIST AI RMF (GOVERN 1.2 and MANAGE), risk appetite and tolerance thresholds are set and governed by executive leadership and the governing body. Any exception, waiver, or tolerance change requires formal risk assessment, second-line challenge, and appropriate governance committee approval—never unilateral adjustment by the asset owners facing deployment pressures.</w:t>
      </w:r>
    </w:p>
    <w:p>
      <w:pPr>
        <w:spacing w:after="60"/>
      </w:pPr>
      <w:r>
        <w:rPr>
          <w:b/>
          <w:i w:val="0"/>
          <w:sz w:val="18"/>
        </w:rPr>
        <w:t>改写后的错误选项解析与错误类型：</w:t>
      </w:r>
    </w:p>
    <w:p>
      <w:pPr>
        <w:spacing w:after="60"/>
      </w:pPr>
      <w:r>
        <w:rPr>
          <w:b w:val="0"/>
          <w:i w:val="0"/>
          <w:sz w:val="18"/>
        </w:rPr>
        <w:t xml:space="preserve">  A（未改）Establishing dynamic KRIs with pre-emptive escalation thresholds is an industry-standard, proactive oversight mechanism that aligns with NIST AI RMF GOVERN and MEASURE functions.　【类型：Sound practice: indicators that escalate before a breach】</w:t>
      </w:r>
    </w:p>
    <w:p>
      <w:pPr>
        <w:spacing w:after="60"/>
      </w:pPr>
      <w:r>
        <w:rPr>
          <w:b w:val="0"/>
          <w:i w:val="0"/>
          <w:sz w:val="18"/>
        </w:rPr>
        <w:t xml:space="preserve">  B（未改）Sequencing the calibration of technical/model tolerances to derive directly from top-down, board-approved enterprise risk appetite ensures proper strategic alignment under ISO/IEC 42001 Clause 5 and Clause 6.　【类型：Sound practice: model thresholds calibrated to board-approved appetite】</w:t>
      </w:r>
    </w:p>
    <w:p>
      <w:pPr>
        <w:spacing w:after="60"/>
      </w:pPr>
      <w:r>
        <w:rPr>
          <w:b w:val="0"/>
          <w:i w:val="0"/>
          <w:sz w:val="18"/>
        </w:rPr>
        <w:t xml:space="preserve">  C（未改）Enforcing an independent second-line challenge of first-line operational risk metrics strictly adheres to the Three Lines Model and ensures objective oversight of risk tolerance compliance.　【类型：Sound practice: second-line challenge of metrics】</w:t>
      </w:r>
    </w:p>
    <w:p>
      <w:pPr>
        <w:spacing w:after="60"/>
      </w:pPr>
      <w:r>
        <w:rPr>
          <w:b w:val="0"/>
          <w:i w:val="0"/>
          <w:color w:val="5A5A5A"/>
          <w:sz w:val="17"/>
        </w:rPr>
        <w:t>出处（沿用原文，未核验）：NIST AI RMF 1.0 GOVERN 1.2, MANAGE 1.3, MANAGE 2.4 &amp; MANAGE 4.1; IIA Three Lines Model (2020) Principles 2 &amp; 3; ISO/IEC 42001:2023 Cl. 6.1 &amp; 9.1 (verify against licensed standard).</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27. 第七批 · BEST · D1.1 AI Governance Structure &amp; Board Oversight</w:t>
      </w:r>
    </w:p>
    <w:p>
      <w:pPr>
        <w:spacing w:after="60"/>
      </w:pPr>
      <w:r>
        <w:rPr>
          <w:b w:val="0"/>
          <w:i w:val="0"/>
          <w:color w:val="5A5A5A"/>
          <w:sz w:val="17"/>
        </w:rPr>
        <w:t>ID：aaig-pipe-1791943026259-0-006uc　难度：Intermediate</w:t>
      </w:r>
    </w:p>
    <w:p>
      <w:pPr>
        <w:spacing w:after="60"/>
      </w:pPr>
      <w:r>
        <w:rPr>
          <w:b w:val="0"/>
          <w:i w:val="0"/>
        </w:rPr>
        <w:t>情境：A multinational financial institution is expanding its deployment of customer-facing machine learning credit-scoring models across multiple business units. The board of directors notes that current AI oversight is fragmented across individual product teams without consolidated reporting or explicit risk boundary definitions.</w:t>
      </w:r>
    </w:p>
    <w:p>
      <w:pPr>
        <w:spacing w:after="60"/>
      </w:pPr>
      <w:r>
        <w:rPr>
          <w:b/>
          <w:i w:val="0"/>
        </w:rPr>
        <w:t>问题：To establish defensible governance and board oversight in alignment with ISO/IEC 42001 and the NIST AI RMF GOVERN function, which action should the board take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operational product teams to define technical performance thresholds prior to integrating models into credit workflows.</w:t>
            </w:r>
          </w:p>
        </w:tc>
        <w:tc>
          <w:tcPr>
            <w:tcW w:type="dxa" w:w="5669"/>
          </w:tcPr>
          <w:p>
            <w:r/>
            <w:r>
              <w:rPr>
                <w:b w:val="0"/>
              </w:rPr>
              <w:t>Direct operational product teams to define technical performance thresholds prior to integrating models into credit workflows.</w:t>
            </w:r>
          </w:p>
        </w:tc>
        <w:tc>
          <w:tcPr>
            <w:tcW w:type="dxa" w:w="1361"/>
          </w:tcPr>
          <w:p>
            <w:r/>
            <w:r>
              <w:rPr>
                <w:b w:val="0"/>
                <w:color w:val="787878"/>
              </w:rPr>
              <w:t>未改</w:t>
            </w:r>
          </w:p>
        </w:tc>
      </w:tr>
      <w:tr>
        <w:tc>
          <w:tcPr>
            <w:tcW w:type="dxa" w:w="907"/>
          </w:tcPr>
          <w:p>
            <w:r/>
            <w:r>
              <w:rPr>
                <w:b/>
              </w:rPr>
              <w:t>B</w:t>
            </w:r>
          </w:p>
        </w:tc>
        <w:tc>
          <w:tcPr>
            <w:tcW w:type="dxa" w:w="5669"/>
          </w:tcPr>
          <w:p>
            <w:r/>
            <w:r>
              <w:rPr>
                <w:b w:val="0"/>
              </w:rPr>
              <w:t>Deploy centralized model monitoring tools to continuously inspect all production credit-scoring models for drift and demographic bias.</w:t>
            </w:r>
          </w:p>
        </w:tc>
        <w:tc>
          <w:tcPr>
            <w:tcW w:type="dxa" w:w="5669"/>
            <w:shd w:val="clear" w:color="auto" w:fill="FFF2CC"/>
          </w:tcPr>
          <w:p>
            <w:r/>
            <w:r>
              <w:rPr>
                <w:b/>
              </w:rPr>
              <w:t>Ask each product team to report its AI risks to the board in its own format once a year.</w:t>
            </w:r>
          </w:p>
        </w:tc>
        <w:tc>
          <w:tcPr>
            <w:tcW w:type="dxa" w:w="1361"/>
          </w:tcPr>
          <w:p>
            <w:r/>
            <w:r>
              <w:rPr>
                <w:b w:val="0"/>
                <w:color w:val="BE5000"/>
              </w:rPr>
              <w:t>✱ 已改</w:t>
            </w:r>
          </w:p>
        </w:tc>
      </w:tr>
      <w:tr>
        <w:tc>
          <w:tcPr>
            <w:tcW w:type="dxa" w:w="907"/>
          </w:tcPr>
          <w:p>
            <w:r/>
            <w:r>
              <w:rPr>
                <w:b/>
              </w:rPr>
              <w:t>C</w:t>
            </w:r>
          </w:p>
        </w:tc>
        <w:tc>
          <w:tcPr>
            <w:tcW w:type="dxa" w:w="5669"/>
          </w:tcPr>
          <w:p>
            <w:r/>
            <w:r>
              <w:rPr>
                <w:b w:val="0"/>
              </w:rPr>
              <w:t>Require the internal audit function to design baseline algorithmic impact assessment controls for first-line model operators.</w:t>
            </w:r>
          </w:p>
        </w:tc>
        <w:tc>
          <w:tcPr>
            <w:tcW w:type="dxa" w:w="5669"/>
            <w:shd w:val="clear" w:color="auto" w:fill="FFF2CC"/>
          </w:tcPr>
          <w:p>
            <w:r/>
            <w:r>
              <w:rPr>
                <w:b/>
              </w:rPr>
              <w:t>Ask the board to appoint an AI specialist to its audit committee before any other step is taken.</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Approve an AI governance charter defining decision rights, accountability, and organizational risk tolerance.</w:t>
            </w:r>
          </w:p>
        </w:tc>
        <w:tc>
          <w:tcPr>
            <w:tcW w:type="dxa" w:w="5669"/>
            <w:shd w:val="clear" w:color="auto" w:fill="FFF2CC"/>
          </w:tcPr>
          <w:p>
            <w:r/>
            <w:r>
              <w:rPr>
                <w:b/>
              </w:rPr>
              <w:t>Approve a written mandate that sets who decides on AI, who answers for results and how much risk is acceptable.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Leadership) and NIST AI RMF (GOVERN 1.1 and 1.2), establishing an organizational AI governance policy and charter that defines decision rights, clear roles, accountability, and alignment with the organization's risk tolerance is the foundational prerequisite before deploying technical controls or operational frameworks.</w:t>
      </w:r>
    </w:p>
    <w:p>
      <w:pPr>
        <w:spacing w:after="60"/>
      </w:pPr>
      <w:r>
        <w:rPr>
          <w:b/>
          <w:i w:val="0"/>
          <w:sz w:val="18"/>
        </w:rPr>
        <w:t>改写后的错误选项解析与错误类型：</w:t>
      </w:r>
    </w:p>
    <w:p>
      <w:pPr>
        <w:spacing w:after="60"/>
      </w:pPr>
      <w:r>
        <w:rPr>
          <w:b w:val="0"/>
          <w:i w:val="0"/>
          <w:sz w:val="18"/>
        </w:rPr>
        <w:t xml:space="preserve">  A（未改）Internal audit is the third line of defense responsible for providing independent assurance; assigning audit to design operational controls violates the Three Lines Model by impairing independence.　【类型：Thresholds set by product teams before the mandate】</w:t>
      </w:r>
    </w:p>
    <w:p>
      <w:pPr>
        <w:spacing w:after="60"/>
      </w:pPr>
      <w:r>
        <w:rPr>
          <w:b w:val="0"/>
          <w:i w:val="0"/>
          <w:sz w:val="18"/>
        </w:rPr>
        <w:t xml:space="preserve">  B（已改）B: Unit reports give the board some visibility, but with no common format and no decision rights they cannot be compared or acted upon.　【类型：Reporting without a mandate】</w:t>
      </w:r>
    </w:p>
    <w:p>
      <w:pPr>
        <w:spacing w:after="60"/>
      </w:pPr>
      <w:r>
        <w:rPr>
          <w:b w:val="0"/>
          <w:i w:val="0"/>
          <w:sz w:val="18"/>
        </w:rPr>
        <w:t xml:space="preserve">  C（已改）C: Expertise on the board helps, but it does not create the mandate that sets who decides on AI and how much risk is accepted.　【类型：Expertise added before a mandate】</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28. 第七批 · MOST · D1.3 Policies, Principles, Charters &amp; Procedures</w:t>
      </w:r>
    </w:p>
    <w:p>
      <w:pPr>
        <w:spacing w:after="60"/>
      </w:pPr>
      <w:r>
        <w:rPr>
          <w:b w:val="0"/>
          <w:i w:val="0"/>
          <w:color w:val="5A5A5A"/>
          <w:sz w:val="17"/>
        </w:rPr>
        <w:t>ID：aaig-pipe-1791943242476-42-b4cm9　难度：Intermediate</w:t>
      </w:r>
    </w:p>
    <w:p>
      <w:pPr>
        <w:spacing w:after="60"/>
      </w:pPr>
      <w:r>
        <w:rPr>
          <w:b w:val="0"/>
          <w:i w:val="0"/>
        </w:rPr>
        <w:t>情境：A multinational financial services firm is accelerating the enterprise-wide adoption of generative AI systems across customer-facing and back-office operations. Although the board of directors has approved high-level AI ethics principles, decentralized product teams are applying these principles inconsistently, resulting in regulatory compliance gaps.</w:t>
      </w:r>
    </w:p>
    <w:p>
      <w:pPr>
        <w:spacing w:after="60"/>
      </w:pPr>
      <w:r>
        <w:rPr>
          <w:b/>
          <w:i w:val="0"/>
        </w:rPr>
        <w:t>问题：Which of the following controls is the MOST effective governance mechanism to ensure consistent, enterprise-wide adherence to the organization's AI principles?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automated real-time input and output monitoring filters across all generative model interfaces to detect data leaks and ethical non-compliance.</w:t>
            </w:r>
          </w:p>
        </w:tc>
        <w:tc>
          <w:tcPr>
            <w:tcW w:type="dxa" w:w="5669"/>
            <w:shd w:val="clear" w:color="auto" w:fill="FFF2CC"/>
          </w:tcPr>
          <w:p>
            <w:r/>
            <w:r>
              <w:rPr>
                <w:b/>
              </w:rPr>
              <w:t>Publish the AI principles in the code of conduct and ask all staff to sign every year that they have read it.</w:t>
            </w:r>
          </w:p>
        </w:tc>
        <w:tc>
          <w:tcPr>
            <w:tcW w:type="dxa" w:w="1361"/>
          </w:tcPr>
          <w:p>
            <w:r/>
            <w:r>
              <w:rPr>
                <w:b w:val="0"/>
                <w:color w:val="BE5000"/>
              </w:rPr>
              <w:t>✱ 已改</w:t>
            </w:r>
          </w:p>
        </w:tc>
      </w:tr>
      <w:tr>
        <w:tc>
          <w:tcPr>
            <w:tcW w:type="dxa" w:w="907"/>
          </w:tcPr>
          <w:p>
            <w:r/>
            <w:r>
              <w:rPr>
                <w:b/>
              </w:rPr>
              <w:t>B</w:t>
            </w:r>
          </w:p>
        </w:tc>
        <w:tc>
          <w:tcPr>
            <w:tcW w:type="dxa" w:w="5669"/>
          </w:tcPr>
          <w:p>
            <w:r/>
            <w:r>
              <w:rPr>
                <w:b w:val="0"/>
              </w:rPr>
              <w:t>Conducting comprehensive third-party algorithmic impact assessments on current pipeline models before defining institutional policy statements.</w:t>
            </w:r>
          </w:p>
        </w:tc>
        <w:tc>
          <w:tcPr>
            <w:tcW w:type="dxa" w:w="5669"/>
          </w:tcPr>
          <w:p>
            <w:r/>
            <w:r>
              <w:rPr>
                <w:b w:val="0"/>
              </w:rPr>
              <w:t>Conducting comprehensive third-party algorithmic impact assessments on current pipeline models before defining institutional policy statements.</w:t>
            </w:r>
          </w:p>
        </w:tc>
        <w:tc>
          <w:tcPr>
            <w:tcW w:type="dxa" w:w="1361"/>
          </w:tcPr>
          <w:p>
            <w:r/>
            <w:r>
              <w:rPr>
                <w:b w:val="0"/>
                <w:color w:val="787878"/>
              </w:rPr>
              <w:t>未改</w:t>
            </w:r>
          </w:p>
        </w:tc>
      </w:tr>
      <w:tr>
        <w:tc>
          <w:tcPr>
            <w:tcW w:type="dxa" w:w="907"/>
          </w:tcPr>
          <w:p>
            <w:r/>
            <w:r>
              <w:rPr>
                <w:b/>
              </w:rPr>
              <w:t>C</w:t>
            </w:r>
          </w:p>
        </w:tc>
        <w:tc>
          <w:tcPr>
            <w:tcW w:type="dxa" w:w="5669"/>
          </w:tcPr>
          <w:p>
            <w:r/>
            <w:r>
              <w:rPr>
                <w:b w:val="0"/>
              </w:rPr>
              <w:t>Empowering individual business unit application owners to interpret ethical principles and determine their own specific model exception thresholds.</w:t>
            </w:r>
          </w:p>
        </w:tc>
        <w:tc>
          <w:tcPr>
            <w:tcW w:type="dxa" w:w="5669"/>
            <w:shd w:val="clear" w:color="auto" w:fill="FFF2CC"/>
          </w:tcPr>
          <w:p>
            <w:r/>
            <w:r>
              <w:rPr>
                <w:b/>
              </w:rPr>
              <w:t>Let each business unit adopt the principles in its own procedures and report breaches to the ethics office.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Establishing an enterprise AI policy framework that operationalizes principles into mandatory procedural controls and stage-gate approvals.</w:t>
            </w:r>
          </w:p>
        </w:tc>
        <w:tc>
          <w:tcPr>
            <w:tcW w:type="dxa" w:w="5669"/>
            <w:shd w:val="clear" w:color="auto" w:fill="FFF2CC"/>
          </w:tcPr>
          <w:p>
            <w:r/>
            <w:r>
              <w:rPr>
                <w:b/>
              </w:rPr>
              <w:t>Turn the AI principles into a policy with mandatory procedures and stage-gate approvals for every business unit.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5.2 and 6.2) and NIST AI RMF (GOVERN 1.1 and 1.2), high-level ethical principles must be operationalized through an enterprise-wide AI policy framework. Translating organizational values into binding procedural requirements, baseline controls, and lifecycle stage-gate approvals ensures consistent, accountable execution across all lines of business.</w:t>
      </w:r>
    </w:p>
    <w:p>
      <w:pPr>
        <w:spacing w:after="60"/>
      </w:pPr>
      <w:r>
        <w:rPr>
          <w:b/>
          <w:i w:val="0"/>
          <w:sz w:val="18"/>
        </w:rPr>
        <w:t>改写后的错误选项解析与错误类型：</w:t>
      </w:r>
    </w:p>
    <w:p>
      <w:pPr>
        <w:spacing w:after="60"/>
      </w:pPr>
      <w:r>
        <w:rPr>
          <w:b w:val="0"/>
          <w:i w:val="0"/>
          <w:sz w:val="18"/>
        </w:rPr>
        <w:t xml:space="preserve">  A（已改）A: A signed statement builds awareness, but it adds no procedure or approval step that can stop a use that breaches the principles.　【类型：Awareness mistaken for control】</w:t>
      </w:r>
    </w:p>
    <w:p>
      <w:pPr>
        <w:spacing w:after="60"/>
      </w:pPr>
      <w:r>
        <w:rPr>
          <w:b w:val="0"/>
          <w:i w:val="0"/>
          <w:sz w:val="18"/>
        </w:rPr>
        <w:t xml:space="preserve">  B（未改）Option B exhibits a sequencing error; performing detailed algorithmic audits prior to formalizing governance standards and criteria leads to ad-hoc, unanchored evaluation metrics.　【类型：Impact assessments before the policy statements exist】</w:t>
      </w:r>
    </w:p>
    <w:p>
      <w:pPr>
        <w:spacing w:after="60"/>
      </w:pPr>
      <w:r>
        <w:rPr>
          <w:b w:val="0"/>
          <w:i w:val="0"/>
          <w:sz w:val="18"/>
        </w:rPr>
        <w:t xml:space="preserve">  C（已改）C: Local procedures adapt the principles to each unit, but without common mandatory controls adherence differs between units.　【类型：Local procedures without common controls】</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29. 第七批 · MOST · D3.3 Model Drift, Degradation &amp; Performance KPIs</w:t>
      </w:r>
    </w:p>
    <w:p>
      <w:pPr>
        <w:spacing w:after="60"/>
      </w:pPr>
      <w:r>
        <w:rPr>
          <w:b w:val="0"/>
          <w:i w:val="0"/>
          <w:color w:val="5A5A5A"/>
          <w:sz w:val="17"/>
        </w:rPr>
        <w:t>ID：aaig-pipe-1791943290779-52-tsbao　难度：Intermediate</w:t>
      </w:r>
    </w:p>
    <w:p>
      <w:pPr>
        <w:spacing w:after="60"/>
      </w:pPr>
      <w:r>
        <w:rPr>
          <w:b w:val="0"/>
          <w:i w:val="0"/>
        </w:rPr>
        <w:t>情境：A multinational financial institution deployed a machine learning model for automated commercial credit scoring six months ago. Routine surveillance indicates gradual input feature drift and minor accuracy degradation, though performance currently remains within existing operational tolerances.</w:t>
      </w:r>
    </w:p>
    <w:p>
      <w:pPr>
        <w:spacing w:after="60"/>
      </w:pPr>
      <w:r>
        <w:rPr>
          <w:b/>
          <w:i w:val="0"/>
        </w:rPr>
        <w:t>问题：Which of the following represents the MOST effective governance control to mitigate the risks associated with this model degradation?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Authorize the first-line machine learning engineering team to independently adjust decision boundaries whenever statistical drift metrics fluctuate.</w:t>
            </w:r>
          </w:p>
        </w:tc>
        <w:tc>
          <w:tcPr>
            <w:tcW w:type="dxa" w:w="5669"/>
            <w:shd w:val="clear" w:color="auto" w:fill="FFF2CC"/>
          </w:tcPr>
          <w:p>
            <w:r/>
            <w:r>
              <w:rPr>
                <w:b/>
              </w:rPr>
              <w:t>Ask the model owner to compare live results with the launch figures every month and file the comparison with the model record.</w:t>
            </w:r>
          </w:p>
        </w:tc>
        <w:tc>
          <w:tcPr>
            <w:tcW w:type="dxa" w:w="1361"/>
          </w:tcPr>
          <w:p>
            <w:r/>
            <w:r>
              <w:rPr>
                <w:b w:val="0"/>
                <w:color w:val="BE5000"/>
              </w:rPr>
              <w:t>✱ 已改</w:t>
            </w:r>
          </w:p>
        </w:tc>
      </w:tr>
      <w:tr>
        <w:tc>
          <w:tcPr>
            <w:tcW w:type="dxa" w:w="907"/>
          </w:tcPr>
          <w:p>
            <w:r/>
            <w:r>
              <w:rPr>
                <w:b/>
              </w:rPr>
              <w:t>B</w:t>
            </w:r>
          </w:p>
        </w:tc>
        <w:tc>
          <w:tcPr>
            <w:tcW w:type="dxa" w:w="5669"/>
          </w:tcPr>
          <w:p>
            <w:r/>
            <w:r>
              <w:rPr>
                <w:b w:val="0"/>
              </w:rPr>
              <w:t>Retrain the production machine learning model immediately on the most recent operational dataset using an automated continuous learning pipeline to eliminate the statistical shift.</w:t>
            </w:r>
          </w:p>
        </w:tc>
        <w:tc>
          <w:tcPr>
            <w:tcW w:type="dxa" w:w="5669"/>
            <w:shd w:val="clear" w:color="auto" w:fill="FFF2CC"/>
          </w:tcPr>
          <w:p>
            <w:r/>
            <w:r>
              <w:rPr>
                <w:b/>
              </w:rPr>
              <w:t>Retrain the model on the most recent operational data every week so that it follows the shift.</w:t>
            </w:r>
          </w:p>
        </w:tc>
        <w:tc>
          <w:tcPr>
            <w:tcW w:type="dxa" w:w="1361"/>
          </w:tcPr>
          <w:p>
            <w:r/>
            <w:r>
              <w:rPr>
                <w:b w:val="0"/>
                <w:color w:val="BE5000"/>
              </w:rPr>
              <w:t>✱ 已改</w:t>
            </w:r>
          </w:p>
        </w:tc>
      </w:tr>
      <w:tr>
        <w:tc>
          <w:tcPr>
            <w:tcW w:type="dxa" w:w="907"/>
          </w:tcPr>
          <w:p>
            <w:r/>
            <w:r>
              <w:rPr>
                <w:b/>
              </w:rPr>
              <w:t>C</w:t>
            </w:r>
          </w:p>
        </w:tc>
        <w:tc>
          <w:tcPr>
            <w:tcW w:type="dxa" w:w="5669"/>
          </w:tcPr>
          <w:p>
            <w:r/>
            <w:r>
              <w:rPr>
                <w:b w:val="0"/>
              </w:rPr>
              <w:t>Commission an independent third-line internal audit review to evaluate the overall predictive efficacy and algorithmic fairness of the credit scoring system.</w:t>
            </w:r>
          </w:p>
        </w:tc>
        <w:tc>
          <w:tcPr>
            <w:tcW w:type="dxa" w:w="5669"/>
            <w:shd w:val="clear" w:color="auto" w:fill="FFF2CC"/>
          </w:tcPr>
          <w:p>
            <w:r/>
            <w:r>
              <w:rPr>
                <w:b/>
              </w:rPr>
              <w:t>Ask the second line to review the credit scoring model each quarter and report its view on predictive efficacy and fairness.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predefined performance degradation thresholds aligned with enterprise risk appetite that trigger formal model re-evaluation workflows.</w:t>
            </w:r>
          </w:p>
        </w:tc>
        <w:tc>
          <w:tcPr>
            <w:tcW w:type="dxa" w:w="5669"/>
            <w:shd w:val="clear" w:color="auto" w:fill="FFF2CC"/>
          </w:tcPr>
          <w:p>
            <w:r/>
            <w:r>
              <w:rPr>
                <w:b/>
              </w:rPr>
              <w:t>Set predefined degradation limits linked to the firm's risk appetite that start a formal model re-evaluation.</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9.1) and NIST AI RMF (MEASURE 2.6 and MANAGE 2.4), the most effective governance control for managing degradation is defining explicit, risk-aligned tolerance thresholds that trigger predefined escalation, review, and mitigation protocols before risks exceed enterprise appetite. This ensures accountability, controlled remediation, and structured oversight rather than uncontrolled changes or premature escalations.</w:t>
      </w:r>
    </w:p>
    <w:p>
      <w:pPr>
        <w:spacing w:after="60"/>
      </w:pPr>
      <w:r>
        <w:rPr>
          <w:b/>
          <w:i w:val="0"/>
          <w:sz w:val="18"/>
        </w:rPr>
        <w:t>改写后的错误选项解析与错误类型：</w:t>
      </w:r>
    </w:p>
    <w:p>
      <w:pPr>
        <w:spacing w:after="60"/>
      </w:pPr>
      <w:r>
        <w:rPr>
          <w:b w:val="0"/>
          <w:i w:val="0"/>
          <w:sz w:val="18"/>
        </w:rPr>
        <w:t xml:space="preserve">  A（已改）A: A monthly comparison records the decline, but with no agreed limit nothing obliges anyone to re-evaluate the model.　【类型：Monitoring without a limit】</w:t>
      </w:r>
    </w:p>
    <w:p>
      <w:pPr>
        <w:spacing w:after="60"/>
      </w:pPr>
      <w:r>
        <w:rPr>
          <w:b w:val="0"/>
          <w:i w:val="0"/>
          <w:sz w:val="18"/>
        </w:rPr>
        <w:t xml:space="preserve">  B（已改）B: Frequent retraining chases the shift and may build in the new bias, and it sets no limit that tells reviewers when the model is no longer acceptable.　【类型：Retraining as the control】</w:t>
      </w:r>
    </w:p>
    <w:p>
      <w:pPr>
        <w:spacing w:after="60"/>
      </w:pPr>
      <w:r>
        <w:rPr>
          <w:b w:val="0"/>
          <w:i w:val="0"/>
          <w:sz w:val="18"/>
        </w:rPr>
        <w:t xml:space="preserve">  C（已改）C: A periodic review gives an independent view, but between reviews the degradation continues and nothing defines when to act.　【类型：Periodic review without triggers】</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30. 第七批 · PRIMARY · D2.4 Algorithmic Bias &amp; Representation Drift</w:t>
      </w:r>
    </w:p>
    <w:p>
      <w:pPr>
        <w:spacing w:after="60"/>
      </w:pPr>
      <w:r>
        <w:rPr>
          <w:b w:val="0"/>
          <w:i w:val="0"/>
          <w:color w:val="5A5A5A"/>
          <w:sz w:val="17"/>
        </w:rPr>
        <w:t>ID：aaig-pipe-1791943271485-48-c6uyk　难度：Intermediate</w:t>
      </w:r>
    </w:p>
    <w:p>
      <w:pPr>
        <w:spacing w:after="60"/>
      </w:pPr>
      <w:r>
        <w:rPr>
          <w:b w:val="0"/>
          <w:i w:val="0"/>
        </w:rPr>
        <w:t>情境：A commercial lending institution observes that recent macroeconomic shifts and shifting applicant demographics have caused representation drift in its automated credit scoring system. Consequently, the model's approval rates for certain demographic segments are beginning to diverge, introducing potential disparate impact and compliance risks.</w:t>
      </w:r>
    </w:p>
    <w:p>
      <w:pPr>
        <w:spacing w:after="60"/>
      </w:pPr>
      <w:r>
        <w:rPr>
          <w:b/>
          <w:i w:val="0"/>
        </w:rPr>
        <w:t>问题：In accordance with AI governance best practices, what is the PRIMARY objective of the enterprise AI governance body in responding to this representation drift?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Authorize the immediate operational deployment of production retraining pipelines before determining the root causes of the demographic variance.</w:t>
            </w:r>
          </w:p>
        </w:tc>
        <w:tc>
          <w:tcPr>
            <w:tcW w:type="dxa" w:w="5669"/>
            <w:shd w:val="clear" w:color="auto" w:fill="FFF2CC"/>
          </w:tcPr>
          <w:p>
            <w:r/>
            <w:r>
              <w:rPr>
                <w:b/>
              </w:rPr>
              <w:t>Ask the model owner to oversample the under-represented group and retrain, then report the updated accuracy to the committee.</w:t>
            </w:r>
          </w:p>
        </w:tc>
        <w:tc>
          <w:tcPr>
            <w:tcW w:type="dxa" w:w="1361"/>
          </w:tcPr>
          <w:p>
            <w:r/>
            <w:r>
              <w:rPr>
                <w:b w:val="0"/>
                <w:color w:val="BE5000"/>
              </w:rPr>
              <w:t>✱ 已改</w:t>
            </w:r>
          </w:p>
        </w:tc>
      </w:tr>
      <w:tr>
        <w:tc>
          <w:tcPr>
            <w:tcW w:type="dxa" w:w="907"/>
          </w:tcPr>
          <w:p>
            <w:r/>
            <w:r>
              <w:rPr>
                <w:b/>
              </w:rPr>
              <w:t>B</w:t>
            </w:r>
          </w:p>
        </w:tc>
        <w:tc>
          <w:tcPr>
            <w:tcW w:type="dxa" w:w="5669"/>
          </w:tcPr>
          <w:p>
            <w:r/>
            <w:r>
              <w:rPr>
                <w:b w:val="0"/>
              </w:rPr>
              <w:t>Direct engineering teams to maximize technical predictive accuracy through algorithmic hyperparameter optimization and synthetic cohort oversampling.</w:t>
            </w:r>
          </w:p>
        </w:tc>
        <w:tc>
          <w:tcPr>
            <w:tcW w:type="dxa" w:w="5669"/>
          </w:tcPr>
          <w:p>
            <w:r/>
            <w:r>
              <w:rPr>
                <w:b w:val="0"/>
              </w:rPr>
              <w:t>Direct engineering teams to maximize technical predictive accuracy through algorithmic hyperparameter optimization and synthetic cohort oversampling.</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Ensure model outcomes remain aligned with established risk appetite, non-discrimination policies, and regulatory fairness requirements.</w:t>
            </w:r>
          </w:p>
        </w:tc>
        <w:tc>
          <w:tcPr>
            <w:tcW w:type="dxa" w:w="5669"/>
            <w:shd w:val="clear" w:color="auto" w:fill="FFF2CC"/>
          </w:tcPr>
          <w:p>
            <w:r/>
            <w:r>
              <w:rPr>
                <w:b/>
              </w:rPr>
              <w:t>Ensure model outcomes remain consistent with the firm's non-discrimination policy and with regulatory fairness duties.</w:t>
            </w:r>
          </w:p>
        </w:tc>
        <w:tc>
          <w:tcPr>
            <w:tcW w:type="dxa" w:w="1361"/>
          </w:tcPr>
          <w:p>
            <w:r/>
            <w:r>
              <w:rPr>
                <w:b w:val="0"/>
                <w:color w:val="BE5000"/>
              </w:rPr>
              <w:t>✱ 已改</w:t>
            </w:r>
          </w:p>
        </w:tc>
      </w:tr>
      <w:tr>
        <w:tc>
          <w:tcPr>
            <w:tcW w:type="dxa" w:w="907"/>
          </w:tcPr>
          <w:p>
            <w:r/>
            <w:r>
              <w:rPr>
                <w:b/>
              </w:rPr>
              <w:t>D</w:t>
            </w:r>
          </w:p>
        </w:tc>
        <w:tc>
          <w:tcPr>
            <w:tcW w:type="dxa" w:w="5669"/>
          </w:tcPr>
          <w:p>
            <w:r/>
            <w:r>
              <w:rPr>
                <w:b w:val="0"/>
              </w:rPr>
              <w:t>Empower the first-line model development team to formally redefine the enterprise's acceptable disparate impact threshold for this system.</w:t>
            </w:r>
          </w:p>
        </w:tc>
        <w:tc>
          <w:tcPr>
            <w:tcW w:type="dxa" w:w="5669"/>
            <w:shd w:val="clear" w:color="auto" w:fill="FFF2CC"/>
          </w:tcPr>
          <w:p>
            <w:r/>
            <w:r>
              <w:rPr>
                <w:b/>
              </w:rPr>
              <w:t>Have the second line set a new disparate impact threshold that fits the observed drift and apply it to this system.</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and NIST AI RMF (GOVERN / MEASURE) governance perspective, the primary objective of an oversight body is to maintain alignment between system outcomes and the enterprise's risk appetite, legal mandates, and ethical standards. While technical remediation may follow, governance ensures that representation drift does not violate organizational tolerance levels or regulatory anti-bias obligations.</w:t>
      </w:r>
    </w:p>
    <w:p>
      <w:pPr>
        <w:spacing w:after="60"/>
      </w:pPr>
      <w:r>
        <w:rPr>
          <w:b/>
          <w:i w:val="0"/>
          <w:sz w:val="18"/>
        </w:rPr>
        <w:t>改写后的错误选项解析与错误类型：</w:t>
      </w:r>
    </w:p>
    <w:p>
      <w:pPr>
        <w:spacing w:after="60"/>
      </w:pPr>
      <w:r>
        <w:rPr>
          <w:b w:val="0"/>
          <w:i w:val="0"/>
          <w:sz w:val="18"/>
        </w:rPr>
        <w:t xml:space="preserve">  A（已改）A: Rebalancing the data may help, but the objective of the governance body is fairness and legal compliance, which accuracy figures alone do not show.　【类型：Technical correction mistaken for the objective】</w:t>
      </w:r>
    </w:p>
    <w:p>
      <w:pPr>
        <w:spacing w:after="60"/>
      </w:pPr>
      <w:r>
        <w:rPr>
          <w:b w:val="0"/>
          <w:i w:val="0"/>
          <w:sz w:val="18"/>
        </w:rPr>
        <w:t xml:space="preserve">  B（未改）Focuses purely on technical performance and predictive accuracy, which misaligns governance priorities by prioritizing model optimization over compliance and risk boundaries.　【类型：Accuracy goal that ignores fairness】</w:t>
      </w:r>
    </w:p>
    <w:p>
      <w:pPr>
        <w:spacing w:after="60"/>
      </w:pPr>
      <w:r>
        <w:rPr>
          <w:b w:val="0"/>
          <w:i w:val="0"/>
          <w:sz w:val="18"/>
        </w:rPr>
        <w:t xml:space="preserve">  D（已改）D: Moving a threshold to fit the drift hides the problem. The governance body sets the threshold from fairness criteria and the law, not the other way round.　【类型：Threshold adjusted to fit the drift】</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